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CF4F" w14:textId="77777777" w:rsidR="00C6733C" w:rsidRDefault="006D0638">
      <w:pPr>
        <w:tabs>
          <w:tab w:val="left" w:pos="426"/>
        </w:tabs>
        <w:jc w:val="both"/>
        <w:rPr>
          <w:rFonts w:ascii="Arial" w:hAnsi="Arial" w:cs="Arial"/>
        </w:rPr>
      </w:pPr>
      <w:r>
        <w:rPr>
          <w:rFonts w:ascii="Arial" w:hAnsi="Arial" w:cs="Arial"/>
        </w:rPr>
        <w:t xml:space="preserve">Palacio de Gobierno, Oaxaca de Juárez, Oaxaca, a 13 de noviembre de 2019. </w:t>
      </w:r>
    </w:p>
    <w:p w14:paraId="7F6AE688" w14:textId="77777777" w:rsidR="00C6733C" w:rsidRDefault="00C6733C">
      <w:pPr>
        <w:tabs>
          <w:tab w:val="left" w:pos="426"/>
        </w:tabs>
        <w:jc w:val="both"/>
        <w:rPr>
          <w:rFonts w:ascii="Arial" w:hAnsi="Arial" w:cs="Arial"/>
        </w:rPr>
      </w:pPr>
    </w:p>
    <w:p w14:paraId="431AF1A2" w14:textId="77777777" w:rsidR="00C6733C" w:rsidRDefault="006D0638">
      <w:pPr>
        <w:tabs>
          <w:tab w:val="left" w:pos="426"/>
        </w:tabs>
        <w:jc w:val="both"/>
        <w:rPr>
          <w:rFonts w:ascii="Arial" w:hAnsi="Arial" w:cs="Arial"/>
          <w:b/>
        </w:rPr>
      </w:pPr>
      <w:r>
        <w:rPr>
          <w:rFonts w:ascii="Arial" w:hAnsi="Arial" w:cs="Arial"/>
          <w:b/>
        </w:rPr>
        <w:t xml:space="preserve">Ciudadano Diputado, </w:t>
      </w:r>
    </w:p>
    <w:p w14:paraId="7BB4A200" w14:textId="77777777" w:rsidR="00C6733C" w:rsidRDefault="006D0638">
      <w:pPr>
        <w:tabs>
          <w:tab w:val="left" w:pos="426"/>
        </w:tabs>
        <w:jc w:val="both"/>
        <w:rPr>
          <w:rFonts w:ascii="Arial" w:hAnsi="Arial" w:cs="Arial"/>
          <w:b/>
        </w:rPr>
      </w:pPr>
      <w:r>
        <w:rPr>
          <w:rFonts w:ascii="Arial" w:hAnsi="Arial" w:cs="Arial"/>
          <w:b/>
        </w:rPr>
        <w:t xml:space="preserve">Presidente de la Mesa Directiva, Sexagésima </w:t>
      </w:r>
    </w:p>
    <w:p w14:paraId="5BB7C525" w14:textId="77777777" w:rsidR="00C6733C" w:rsidRDefault="006D0638">
      <w:pPr>
        <w:tabs>
          <w:tab w:val="left" w:pos="426"/>
        </w:tabs>
        <w:jc w:val="both"/>
        <w:rPr>
          <w:rFonts w:ascii="Arial" w:hAnsi="Arial" w:cs="Arial"/>
          <w:b/>
        </w:rPr>
      </w:pPr>
      <w:r>
        <w:rPr>
          <w:rFonts w:ascii="Arial" w:hAnsi="Arial" w:cs="Arial"/>
          <w:b/>
        </w:rPr>
        <w:t xml:space="preserve">Cuarta Legislatura Constitucional del Honorable </w:t>
      </w:r>
    </w:p>
    <w:p w14:paraId="3413130E" w14:textId="77777777" w:rsidR="00C6733C" w:rsidRDefault="006D0638">
      <w:pPr>
        <w:tabs>
          <w:tab w:val="left" w:pos="426"/>
        </w:tabs>
        <w:jc w:val="both"/>
        <w:rPr>
          <w:rFonts w:ascii="Arial" w:hAnsi="Arial" w:cs="Arial"/>
          <w:b/>
        </w:rPr>
      </w:pPr>
      <w:r>
        <w:rPr>
          <w:rFonts w:ascii="Arial" w:hAnsi="Arial" w:cs="Arial"/>
          <w:b/>
        </w:rPr>
        <w:t>Congreso del Estado.</w:t>
      </w:r>
    </w:p>
    <w:p w14:paraId="5ACEC82A" w14:textId="77777777" w:rsidR="00C6733C" w:rsidRDefault="00C6733C">
      <w:pPr>
        <w:tabs>
          <w:tab w:val="left" w:pos="426"/>
        </w:tabs>
        <w:jc w:val="both"/>
        <w:rPr>
          <w:rFonts w:ascii="Arial" w:hAnsi="Arial" w:cs="Arial"/>
          <w:b/>
        </w:rPr>
      </w:pPr>
    </w:p>
    <w:p w14:paraId="49E1E96B" w14:textId="77777777" w:rsidR="00C6733C" w:rsidRDefault="00C6733C">
      <w:pPr>
        <w:tabs>
          <w:tab w:val="left" w:pos="426"/>
        </w:tabs>
        <w:jc w:val="both"/>
        <w:rPr>
          <w:rFonts w:ascii="Arial" w:hAnsi="Arial" w:cs="Arial"/>
          <w:b/>
        </w:rPr>
      </w:pPr>
    </w:p>
    <w:p w14:paraId="7AC498DE" w14:textId="77777777" w:rsidR="00C6733C" w:rsidRDefault="006D0638">
      <w:pPr>
        <w:tabs>
          <w:tab w:val="left" w:pos="426"/>
        </w:tabs>
        <w:jc w:val="both"/>
        <w:rPr>
          <w:rFonts w:ascii="Arial" w:hAnsi="Arial" w:cs="Arial"/>
          <w:lang w:eastAsia="es-ES"/>
        </w:rPr>
      </w:pPr>
      <w:r>
        <w:rPr>
          <w:rFonts w:ascii="Arial" w:eastAsia="Times New Roman" w:hAnsi="Arial" w:cs="Arial"/>
          <w:b/>
          <w:lang w:eastAsia="es-ES"/>
        </w:rPr>
        <w:t xml:space="preserve">Maestro </w:t>
      </w:r>
      <w:r>
        <w:rPr>
          <w:rFonts w:ascii="Arial" w:eastAsia="Times New Roman" w:hAnsi="Arial" w:cs="Arial"/>
          <w:b/>
          <w:lang w:eastAsia="es-ES"/>
        </w:rPr>
        <w:t>Alejandro Ismael Murat Hinojosa</w:t>
      </w:r>
      <w:r>
        <w:rPr>
          <w:rFonts w:ascii="Arial" w:eastAsia="Times New Roman" w:hAnsi="Arial" w:cs="Arial"/>
          <w:lang w:eastAsia="es-ES"/>
        </w:rPr>
        <w:t>, Gobernador Constitucional del Estado Libre y Soberano de Oaxaca, en ejercicio de las facultades y atribuciones que me confieren los artículos 50, fracción II: 66; 79, fracción I y 80 fracciones I, II y IV de la Constitución</w:t>
      </w:r>
      <w:r>
        <w:rPr>
          <w:rFonts w:ascii="Arial" w:eastAsia="Times New Roman" w:hAnsi="Arial" w:cs="Arial"/>
          <w:lang w:eastAsia="es-ES"/>
        </w:rPr>
        <w:t xml:space="preserve"> Política del Estado Libre y Soberano de Oaxaca; en cumplimiento al artículo 37 fracción II de la Ley Estatal de Presupuesto y Responsabilidad Hacendaria y 54, 55 del Reglamento Interior del Congreso del Estado Libre y Soberano de Oaxaca por su conducto, p</w:t>
      </w:r>
      <w:r>
        <w:rPr>
          <w:rFonts w:ascii="Arial" w:eastAsia="Times New Roman" w:hAnsi="Arial" w:cs="Arial"/>
          <w:lang w:eastAsia="es-ES"/>
        </w:rPr>
        <w:t>resento a consideración de</w:t>
      </w:r>
      <w:r>
        <w:rPr>
          <w:rFonts w:ascii="Arial" w:hAnsi="Arial" w:cs="Arial"/>
          <w:lang w:val="es-ES" w:eastAsia="es-ES"/>
        </w:rPr>
        <w:t xml:space="preserve"> esa Honorable Legislatura, </w:t>
      </w:r>
      <w:r>
        <w:rPr>
          <w:rFonts w:ascii="Arial" w:hAnsi="Arial" w:cs="Arial"/>
          <w:lang w:eastAsia="es-ES"/>
        </w:rPr>
        <w:t>la Iniciativa de Decreto de Presupuesto de Egresos del Estado de Oaxaca para el ejercicio fiscal 2020</w:t>
      </w:r>
      <w:r>
        <w:rPr>
          <w:rFonts w:ascii="Arial" w:hAnsi="Arial" w:cs="Arial"/>
          <w:lang w:val="es-ES" w:eastAsia="es-ES"/>
        </w:rPr>
        <w:t>.</w:t>
      </w:r>
    </w:p>
    <w:p w14:paraId="6329652C" w14:textId="77777777" w:rsidR="00C6733C" w:rsidRDefault="00C6733C">
      <w:pPr>
        <w:tabs>
          <w:tab w:val="left" w:pos="426"/>
        </w:tabs>
        <w:jc w:val="both"/>
        <w:rPr>
          <w:rFonts w:ascii="Arial" w:hAnsi="Arial" w:cs="Arial"/>
        </w:rPr>
      </w:pPr>
    </w:p>
    <w:p w14:paraId="461B31CF" w14:textId="77777777" w:rsidR="00C6733C" w:rsidRDefault="00C6733C">
      <w:pPr>
        <w:tabs>
          <w:tab w:val="left" w:pos="426"/>
        </w:tabs>
        <w:jc w:val="both"/>
        <w:rPr>
          <w:rFonts w:ascii="Arial" w:hAnsi="Arial" w:cs="Arial"/>
        </w:rPr>
      </w:pPr>
    </w:p>
    <w:p w14:paraId="1C52B076" w14:textId="77777777" w:rsidR="00C6733C" w:rsidRDefault="006D0638">
      <w:pPr>
        <w:tabs>
          <w:tab w:val="left" w:pos="426"/>
        </w:tabs>
        <w:jc w:val="both"/>
        <w:rPr>
          <w:rFonts w:ascii="Arial" w:hAnsi="Arial" w:cs="Arial"/>
        </w:rPr>
      </w:pPr>
      <w:r>
        <w:rPr>
          <w:rFonts w:ascii="Arial" w:hAnsi="Arial" w:cs="Arial"/>
        </w:rPr>
        <w:t xml:space="preserve">En la actualidad, la economía global se desenvuelve en un ambiente de escepticismo generalizado, </w:t>
      </w:r>
      <w:r>
        <w:rPr>
          <w:rFonts w:ascii="Arial" w:hAnsi="Arial" w:cs="Arial"/>
        </w:rPr>
        <w:t>el cual se deriva de la incertidumbre en torno al comercio internacional y la situación geopolítica en diversas regiones del mundo, el aumento de los aranceles, los recortes de la tasa de interés por las principales economías del mundo, la volatilidad en l</w:t>
      </w:r>
      <w:r>
        <w:rPr>
          <w:rFonts w:ascii="Arial" w:hAnsi="Arial" w:cs="Arial"/>
        </w:rPr>
        <w:t>os precios del petróleo y los problemas migratorios. Bajo este entorno, el Fondo Monetario Internacional (FMI) en su Informe de Perspectivas de la Economía Mundial publicado en octubre del presente año (2019)</w:t>
      </w:r>
      <w:r>
        <w:rPr>
          <w:rFonts w:ascii="Arial" w:hAnsi="Arial" w:cs="Arial"/>
          <w:vertAlign w:val="superscript"/>
        </w:rPr>
        <w:footnoteReference w:id="1"/>
      </w:r>
      <w:r>
        <w:rPr>
          <w:rFonts w:ascii="Arial" w:hAnsi="Arial" w:cs="Arial"/>
        </w:rPr>
        <w:t>, señala que después de una notable ralentizac</w:t>
      </w:r>
      <w:r>
        <w:rPr>
          <w:rFonts w:ascii="Arial" w:hAnsi="Arial" w:cs="Arial"/>
        </w:rPr>
        <w:t xml:space="preserve">ión del crecimiento de la economía global durante 2019, para el 2020 se proyecta una mejora del mismo, sin embargo, señala que, a diferencia de la desaceleración sincronizada a nivel mundial, la recuperación no será generalizada y en parte será precaria. </w:t>
      </w:r>
    </w:p>
    <w:p w14:paraId="2B4865AD" w14:textId="77777777" w:rsidR="00C6733C" w:rsidRDefault="00C6733C">
      <w:pPr>
        <w:tabs>
          <w:tab w:val="left" w:pos="426"/>
        </w:tabs>
        <w:jc w:val="both"/>
        <w:rPr>
          <w:rFonts w:ascii="Arial" w:hAnsi="Arial" w:cs="Arial"/>
        </w:rPr>
      </w:pPr>
    </w:p>
    <w:p w14:paraId="13716A47" w14:textId="77777777" w:rsidR="00C6733C" w:rsidRDefault="006D0638">
      <w:pPr>
        <w:tabs>
          <w:tab w:val="left" w:pos="426"/>
        </w:tabs>
        <w:jc w:val="both"/>
        <w:rPr>
          <w:rFonts w:ascii="Arial" w:hAnsi="Arial" w:cs="Arial"/>
        </w:rPr>
      </w:pPr>
      <w:r>
        <w:rPr>
          <w:rFonts w:ascii="Arial" w:hAnsi="Arial" w:cs="Arial"/>
        </w:rPr>
        <w:t xml:space="preserve">El FMI prevé un crecimiento anual de la economía global para 2019 de 3.0 por ciento y de 3.4 por ciento para 2020, proyectando para las dos principales economías del mundo crecimientos menores a los estimados para 2019; para la economía de Estados Unidos </w:t>
      </w:r>
      <w:r>
        <w:rPr>
          <w:rFonts w:ascii="Arial" w:hAnsi="Arial" w:cs="Arial"/>
        </w:rPr>
        <w:t xml:space="preserve">de 2.4 por ciento para 2019 y de 2.1 por ciento para 2020 y, para China un crecimiento de 6.1 y 5.8 para 2019 y 2020 respectivamente. </w:t>
      </w:r>
    </w:p>
    <w:p w14:paraId="0106E3C3" w14:textId="77777777" w:rsidR="00C6733C" w:rsidRDefault="00C6733C">
      <w:pPr>
        <w:tabs>
          <w:tab w:val="left" w:pos="426"/>
        </w:tabs>
        <w:jc w:val="both"/>
        <w:rPr>
          <w:rFonts w:ascii="Arial" w:hAnsi="Arial" w:cs="Arial"/>
        </w:rPr>
      </w:pPr>
    </w:p>
    <w:p w14:paraId="005C6BA3" w14:textId="77777777" w:rsidR="00C6733C" w:rsidRDefault="006D0638">
      <w:pPr>
        <w:tabs>
          <w:tab w:val="left" w:pos="426"/>
        </w:tabs>
        <w:jc w:val="both"/>
        <w:rPr>
          <w:rFonts w:ascii="Arial" w:hAnsi="Arial" w:cs="Arial"/>
        </w:rPr>
      </w:pPr>
      <w:r>
        <w:rPr>
          <w:rFonts w:ascii="Arial" w:hAnsi="Arial" w:cs="Arial"/>
        </w:rPr>
        <w:t xml:space="preserve">Bajo este entorno, y con la finalidad de basarse en argumentos sólidos y prudentes para la toma de decisiones </w:t>
      </w:r>
      <w:r>
        <w:rPr>
          <w:rFonts w:ascii="Arial" w:hAnsi="Arial" w:cs="Arial"/>
        </w:rPr>
        <w:t>presupuestarias, el presente documento considera las estimaciones realizadas por la Secretaría de Hacienda y Crédito Público (SHCP) señaladas en los Criterios Generales de Política Económica 2020 (CGPE 2020) y en la Encuesta sobre las Expectativas de los E</w:t>
      </w:r>
      <w:r>
        <w:rPr>
          <w:rFonts w:ascii="Arial" w:hAnsi="Arial" w:cs="Arial"/>
        </w:rPr>
        <w:t>specialistas en Economía del Sector Privado del Banco de México (Banxico)</w:t>
      </w:r>
      <w:r>
        <w:rPr>
          <w:rFonts w:ascii="Arial" w:hAnsi="Arial" w:cs="Arial"/>
          <w:vertAlign w:val="superscript"/>
        </w:rPr>
        <w:footnoteReference w:id="2"/>
      </w:r>
      <w:r>
        <w:rPr>
          <w:rFonts w:ascii="Arial" w:hAnsi="Arial" w:cs="Arial"/>
        </w:rPr>
        <w:t>, de donde se destaca lo siguiente:</w:t>
      </w:r>
    </w:p>
    <w:p w14:paraId="7499FDBE" w14:textId="77777777" w:rsidR="00C6733C" w:rsidRDefault="00C6733C">
      <w:pPr>
        <w:tabs>
          <w:tab w:val="left" w:pos="426"/>
        </w:tabs>
        <w:jc w:val="both"/>
        <w:rPr>
          <w:rFonts w:ascii="Arial" w:hAnsi="Arial" w:cs="Arial"/>
        </w:rPr>
      </w:pPr>
    </w:p>
    <w:p w14:paraId="52A849D5" w14:textId="77777777" w:rsidR="00C6733C" w:rsidRDefault="006D0638">
      <w:pPr>
        <w:numPr>
          <w:ilvl w:val="0"/>
          <w:numId w:val="20"/>
        </w:numPr>
        <w:tabs>
          <w:tab w:val="left" w:pos="426"/>
        </w:tabs>
        <w:jc w:val="both"/>
        <w:rPr>
          <w:rFonts w:ascii="Arial" w:hAnsi="Arial" w:cs="Arial"/>
        </w:rPr>
      </w:pPr>
      <w:r>
        <w:rPr>
          <w:rFonts w:ascii="Arial" w:hAnsi="Arial" w:cs="Arial"/>
        </w:rPr>
        <w:t>En lo que respecta a la expectativa de crecimiento del Producto Interno Bruto (PIB), los CGPE 2020 fijan un rango de crecimiento de entre 0.6-1.</w:t>
      </w:r>
      <w:r>
        <w:rPr>
          <w:rFonts w:ascii="Arial" w:hAnsi="Arial" w:cs="Arial"/>
        </w:rPr>
        <w:t>2 por ciento para 2019 y uno de 1.5-2.5 por ciento para 2020. Los especialistas del sector privado de Banxico estiman un crecimiento anual de 0.43 por ciento para 2019 y 1.35 por ciento para 2020.</w:t>
      </w:r>
    </w:p>
    <w:p w14:paraId="1D2562CC" w14:textId="77777777" w:rsidR="00C6733C" w:rsidRDefault="006D0638">
      <w:pPr>
        <w:tabs>
          <w:tab w:val="left" w:pos="426"/>
        </w:tabs>
        <w:jc w:val="both"/>
        <w:rPr>
          <w:rFonts w:ascii="Arial" w:hAnsi="Arial" w:cs="Arial"/>
        </w:rPr>
      </w:pPr>
      <w:r>
        <w:rPr>
          <w:noProof/>
          <w:lang w:bidi="ar-SA"/>
        </w:rPr>
        <w:drawing>
          <wp:anchor distT="0" distB="0" distL="114300" distR="114300" simplePos="0" relativeHeight="251660288" behindDoc="0" locked="0" layoutInCell="1" allowOverlap="1" wp14:anchorId="57A0CBEF" wp14:editId="4EBC6278">
            <wp:simplePos x="0" y="0"/>
            <wp:positionH relativeFrom="column">
              <wp:posOffset>2977515</wp:posOffset>
            </wp:positionH>
            <wp:positionV relativeFrom="paragraph">
              <wp:posOffset>195580</wp:posOffset>
            </wp:positionV>
            <wp:extent cx="2519680" cy="2159635"/>
            <wp:effectExtent l="0" t="0" r="13970" b="12065"/>
            <wp:wrapSquare wrapText="bothSides"/>
            <wp:docPr id="5" name="Gráfico 5">
              <a:extLst xmlns:a="http://schemas.openxmlformats.org/drawingml/2006/main">
                <a:ext uri="{FF2B5EF4-FFF2-40B4-BE49-F238E27FC236}">
                  <a16:creationId xmlns:a16="http://schemas.microsoft.com/office/drawing/2014/main" id="{BE65D3C1-B25F-47EB-9FC1-1DD7D733B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E4BED99" w14:textId="77777777" w:rsidR="00C6733C" w:rsidRDefault="006D0638">
      <w:pPr>
        <w:rPr>
          <w:rFonts w:cstheme="minorHAnsi"/>
        </w:rPr>
      </w:pPr>
      <w:r>
        <w:rPr>
          <w:rFonts w:cstheme="minorHAnsi"/>
          <w:noProof/>
          <w:lang w:bidi="ar-SA"/>
        </w:rPr>
        <w:drawing>
          <wp:anchor distT="0" distB="0" distL="114300" distR="114300" simplePos="0" relativeHeight="251682816" behindDoc="0" locked="0" layoutInCell="1" allowOverlap="1" wp14:anchorId="2C1A7CD9" wp14:editId="0F344FDA">
            <wp:simplePos x="0" y="0"/>
            <wp:positionH relativeFrom="column">
              <wp:posOffset>457835</wp:posOffset>
            </wp:positionH>
            <wp:positionV relativeFrom="paragraph">
              <wp:posOffset>34925</wp:posOffset>
            </wp:positionV>
            <wp:extent cx="2519680" cy="2159635"/>
            <wp:effectExtent l="0" t="0" r="13970" b="12065"/>
            <wp:wrapSquare wrapText="bothSides"/>
            <wp:docPr id="16" name="Gráfico 16">
              <a:extLst xmlns:a="http://schemas.openxmlformats.org/drawingml/2006/main">
                <a:ext uri="{FF2B5EF4-FFF2-40B4-BE49-F238E27FC236}">
                  <a16:creationId xmlns:a16="http://schemas.microsoft.com/office/drawing/2014/main" id="{B4540CA9-C272-4B9D-8CE7-168C3BA3B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1E6D6FC" w14:textId="77777777" w:rsidR="00C6733C" w:rsidRDefault="00C6733C">
      <w:pPr>
        <w:rPr>
          <w:rFonts w:cstheme="minorHAnsi"/>
          <w:b/>
          <w:bCs/>
          <w:sz w:val="18"/>
          <w:szCs w:val="18"/>
          <w:lang w:bidi="es-ES"/>
        </w:rPr>
      </w:pPr>
    </w:p>
    <w:p w14:paraId="0FD23134" w14:textId="77777777" w:rsidR="00C6733C" w:rsidRDefault="00C6733C">
      <w:pPr>
        <w:rPr>
          <w:rFonts w:cstheme="minorHAnsi"/>
          <w:b/>
          <w:bCs/>
          <w:sz w:val="18"/>
          <w:szCs w:val="18"/>
          <w:lang w:bidi="es-ES"/>
        </w:rPr>
      </w:pPr>
    </w:p>
    <w:p w14:paraId="0DB65F74" w14:textId="77777777" w:rsidR="00C6733C" w:rsidRDefault="00C6733C">
      <w:pPr>
        <w:rPr>
          <w:rFonts w:cstheme="minorHAnsi"/>
          <w:b/>
          <w:bCs/>
          <w:sz w:val="18"/>
          <w:szCs w:val="18"/>
          <w:lang w:bidi="es-ES"/>
        </w:rPr>
      </w:pPr>
    </w:p>
    <w:p w14:paraId="28789B2A" w14:textId="77777777" w:rsidR="00C6733C" w:rsidRDefault="00C6733C">
      <w:pPr>
        <w:rPr>
          <w:rFonts w:cstheme="minorHAnsi"/>
          <w:b/>
          <w:bCs/>
          <w:sz w:val="18"/>
          <w:szCs w:val="18"/>
          <w:lang w:bidi="es-ES"/>
        </w:rPr>
      </w:pPr>
    </w:p>
    <w:p w14:paraId="35E572AD" w14:textId="77777777" w:rsidR="00C6733C" w:rsidRDefault="00C6733C">
      <w:pPr>
        <w:rPr>
          <w:rFonts w:cstheme="minorHAnsi"/>
          <w:b/>
          <w:bCs/>
          <w:sz w:val="18"/>
          <w:szCs w:val="18"/>
          <w:lang w:bidi="es-ES"/>
        </w:rPr>
      </w:pPr>
    </w:p>
    <w:p w14:paraId="3E6D1736" w14:textId="77777777" w:rsidR="00C6733C" w:rsidRDefault="00C6733C">
      <w:pPr>
        <w:rPr>
          <w:rFonts w:cstheme="minorHAnsi"/>
          <w:b/>
          <w:bCs/>
          <w:sz w:val="18"/>
          <w:szCs w:val="18"/>
          <w:lang w:bidi="es-ES"/>
        </w:rPr>
      </w:pPr>
    </w:p>
    <w:p w14:paraId="7A204D94" w14:textId="77777777" w:rsidR="00C6733C" w:rsidRDefault="00C6733C">
      <w:pPr>
        <w:rPr>
          <w:rFonts w:cstheme="minorHAnsi"/>
          <w:b/>
          <w:bCs/>
          <w:sz w:val="18"/>
          <w:szCs w:val="18"/>
          <w:lang w:bidi="es-ES"/>
        </w:rPr>
      </w:pPr>
    </w:p>
    <w:p w14:paraId="444D143C" w14:textId="77777777" w:rsidR="00C6733C" w:rsidRDefault="00C6733C">
      <w:pPr>
        <w:rPr>
          <w:rFonts w:cstheme="minorHAnsi"/>
          <w:b/>
          <w:bCs/>
          <w:sz w:val="18"/>
          <w:szCs w:val="18"/>
          <w:lang w:bidi="es-ES"/>
        </w:rPr>
      </w:pPr>
    </w:p>
    <w:p w14:paraId="5C0E2A2C" w14:textId="77777777" w:rsidR="00C6733C" w:rsidRDefault="00C6733C">
      <w:pPr>
        <w:rPr>
          <w:rFonts w:cstheme="minorHAnsi"/>
          <w:b/>
          <w:bCs/>
          <w:sz w:val="18"/>
          <w:szCs w:val="18"/>
          <w:lang w:bidi="es-ES"/>
        </w:rPr>
      </w:pPr>
    </w:p>
    <w:p w14:paraId="2674B4CD" w14:textId="77777777" w:rsidR="00C6733C" w:rsidRDefault="00C6733C">
      <w:pPr>
        <w:rPr>
          <w:rFonts w:cstheme="minorHAnsi"/>
          <w:b/>
          <w:bCs/>
          <w:sz w:val="18"/>
          <w:szCs w:val="18"/>
          <w:lang w:bidi="es-ES"/>
        </w:rPr>
      </w:pPr>
    </w:p>
    <w:p w14:paraId="6648D5A4" w14:textId="77777777" w:rsidR="00C6733C" w:rsidRDefault="00C6733C">
      <w:pPr>
        <w:rPr>
          <w:rFonts w:cstheme="minorHAnsi"/>
          <w:b/>
          <w:bCs/>
          <w:sz w:val="18"/>
          <w:szCs w:val="18"/>
          <w:lang w:bidi="es-ES"/>
        </w:rPr>
      </w:pPr>
    </w:p>
    <w:p w14:paraId="1338E520" w14:textId="77777777" w:rsidR="00C6733C" w:rsidRDefault="00C6733C">
      <w:pPr>
        <w:rPr>
          <w:rFonts w:cstheme="minorHAnsi"/>
          <w:b/>
          <w:bCs/>
          <w:sz w:val="18"/>
          <w:szCs w:val="18"/>
          <w:lang w:bidi="es-ES"/>
        </w:rPr>
      </w:pPr>
    </w:p>
    <w:p w14:paraId="08BAA95C" w14:textId="77777777" w:rsidR="00C6733C" w:rsidRDefault="00C6733C">
      <w:pPr>
        <w:rPr>
          <w:rFonts w:cstheme="minorHAnsi"/>
          <w:b/>
          <w:bCs/>
          <w:sz w:val="18"/>
          <w:szCs w:val="18"/>
          <w:lang w:bidi="es-ES"/>
        </w:rPr>
      </w:pPr>
    </w:p>
    <w:p w14:paraId="7BFFF2C1" w14:textId="77777777" w:rsidR="00C6733C" w:rsidRDefault="00C6733C">
      <w:pPr>
        <w:rPr>
          <w:rFonts w:cstheme="minorHAnsi"/>
          <w:b/>
          <w:bCs/>
          <w:sz w:val="18"/>
          <w:szCs w:val="18"/>
          <w:lang w:bidi="es-ES"/>
        </w:rPr>
      </w:pPr>
    </w:p>
    <w:p w14:paraId="2510C921" w14:textId="77777777" w:rsidR="00C6733C" w:rsidRDefault="00C6733C">
      <w:pPr>
        <w:rPr>
          <w:rFonts w:cstheme="minorHAnsi"/>
          <w:b/>
          <w:bCs/>
          <w:sz w:val="18"/>
          <w:szCs w:val="18"/>
          <w:lang w:bidi="es-ES"/>
        </w:rPr>
      </w:pPr>
    </w:p>
    <w:p w14:paraId="1000C9F0" w14:textId="77777777" w:rsidR="00C6733C" w:rsidRDefault="00C6733C">
      <w:pPr>
        <w:rPr>
          <w:rFonts w:cstheme="minorHAnsi"/>
          <w:b/>
          <w:bCs/>
          <w:sz w:val="18"/>
          <w:szCs w:val="18"/>
          <w:lang w:bidi="es-ES"/>
        </w:rPr>
      </w:pPr>
    </w:p>
    <w:p w14:paraId="094FB297" w14:textId="77777777" w:rsidR="00C6733C" w:rsidRDefault="00C6733C">
      <w:pPr>
        <w:rPr>
          <w:rFonts w:cstheme="minorHAnsi"/>
          <w:b/>
          <w:bCs/>
          <w:sz w:val="18"/>
          <w:szCs w:val="18"/>
          <w:lang w:bidi="es-ES"/>
        </w:rPr>
      </w:pPr>
    </w:p>
    <w:p w14:paraId="5182F963" w14:textId="77777777" w:rsidR="00C6733C" w:rsidRDefault="006D0638">
      <w:pPr>
        <w:pStyle w:val="Prrafodelista"/>
        <w:widowControl/>
        <w:numPr>
          <w:ilvl w:val="0"/>
          <w:numId w:val="20"/>
        </w:numPr>
        <w:autoSpaceDE/>
        <w:autoSpaceDN/>
        <w:spacing w:before="0" w:after="160"/>
        <w:contextualSpacing/>
        <w:rPr>
          <w:rFonts w:cstheme="minorHAnsi"/>
        </w:rPr>
      </w:pPr>
      <w:r>
        <w:rPr>
          <w:rFonts w:cstheme="minorHAnsi"/>
        </w:rPr>
        <w:t xml:space="preserve">Con respecto a las </w:t>
      </w:r>
      <w:r>
        <w:rPr>
          <w:rFonts w:cstheme="minorHAnsi"/>
        </w:rPr>
        <w:t>expectativas inflacionarias, en los CGPE 2020 se estima una inflación anual en 3.2 por ciento para 2019 y 3.0 por ciento para 2020, Banxico prevé la inflación en 3.08 y 3.49 por ciento para 2019 y 2020 respectivamente.</w:t>
      </w:r>
    </w:p>
    <w:p w14:paraId="28A61D17" w14:textId="77777777" w:rsidR="00C6733C" w:rsidRDefault="00C6733C">
      <w:pPr>
        <w:pStyle w:val="Prrafodelista"/>
        <w:rPr>
          <w:rFonts w:cstheme="minorHAnsi"/>
        </w:rPr>
      </w:pPr>
    </w:p>
    <w:p w14:paraId="07B6B1D5" w14:textId="77777777" w:rsidR="00C6733C" w:rsidRDefault="00C6733C">
      <w:pPr>
        <w:pStyle w:val="Prrafodelista"/>
        <w:rPr>
          <w:rFonts w:cstheme="minorHAnsi"/>
        </w:rPr>
      </w:pPr>
    </w:p>
    <w:p w14:paraId="06D0EDE2" w14:textId="77777777" w:rsidR="00C6733C" w:rsidRDefault="006D0638">
      <w:pPr>
        <w:pStyle w:val="Prrafodelista"/>
        <w:widowControl/>
        <w:numPr>
          <w:ilvl w:val="0"/>
          <w:numId w:val="20"/>
        </w:numPr>
        <w:autoSpaceDE/>
        <w:autoSpaceDN/>
        <w:spacing w:before="0" w:after="160"/>
        <w:contextualSpacing/>
        <w:rPr>
          <w:rFonts w:cstheme="minorHAnsi"/>
        </w:rPr>
      </w:pPr>
      <w:r>
        <w:rPr>
          <w:rFonts w:cstheme="minorHAnsi"/>
        </w:rPr>
        <w:t xml:space="preserve">Los CGPE 2020 pronostican una tasa de interés internacional de 2.3 y 1.6 por ciento, para México una de 8 y 7.4 por ciento para 2019 y 2020 respectivamente. El sector privado por medio de Banxico estima tasas nacionales de 7.46 y 6.83 por ciento para 2019 </w:t>
      </w:r>
      <w:r>
        <w:rPr>
          <w:rFonts w:cstheme="minorHAnsi"/>
        </w:rPr>
        <w:t xml:space="preserve">y 2020. </w:t>
      </w:r>
    </w:p>
    <w:p w14:paraId="18429EBE" w14:textId="77777777" w:rsidR="00C6733C" w:rsidRDefault="00C6733C">
      <w:pPr>
        <w:pStyle w:val="Prrafodelista"/>
        <w:jc w:val="center"/>
        <w:rPr>
          <w:rFonts w:cstheme="minorHAnsi"/>
        </w:rPr>
      </w:pPr>
    </w:p>
    <w:p w14:paraId="4ED095DF" w14:textId="77777777" w:rsidR="00C6733C" w:rsidRDefault="00C6733C">
      <w:pPr>
        <w:pStyle w:val="Prrafodelista"/>
        <w:jc w:val="center"/>
        <w:rPr>
          <w:rFonts w:cstheme="minorHAnsi"/>
        </w:rPr>
      </w:pPr>
    </w:p>
    <w:p w14:paraId="3312645A" w14:textId="77777777" w:rsidR="00C6733C" w:rsidRDefault="006D0638">
      <w:pPr>
        <w:pStyle w:val="Prrafodelista"/>
        <w:widowControl/>
        <w:numPr>
          <w:ilvl w:val="0"/>
          <w:numId w:val="20"/>
        </w:numPr>
        <w:autoSpaceDE/>
        <w:autoSpaceDN/>
        <w:spacing w:before="0" w:after="160"/>
        <w:contextualSpacing/>
        <w:rPr>
          <w:rFonts w:cstheme="minorHAnsi"/>
        </w:rPr>
      </w:pPr>
      <w:r>
        <w:rPr>
          <w:rFonts w:cstheme="minorHAnsi"/>
        </w:rPr>
        <w:t>En cuanto al precio del petróleo, en los CGPE 2020 se estima un precio promedio de 55 dólares por barril (dpb) para 2019, y un precio de 49 dpb para 2020. Ahora bien, con respecto a la plataforma de producción del petróleo, la SHCP prevé un crec</w:t>
      </w:r>
      <w:r>
        <w:rPr>
          <w:rFonts w:cstheme="minorHAnsi"/>
        </w:rPr>
        <w:t>imiento de, 1,783 millones de barriles diarios (mbd) para el 2019 a 1,916 mbd para el 2020. De la misma manera, prevé un incremento de 1008 a 1085 mbd en la plataforma de exportación de petróleo de 2019 a 2020 respectivamente.</w:t>
      </w:r>
    </w:p>
    <w:p w14:paraId="63A0B074" w14:textId="77777777" w:rsidR="00C6733C" w:rsidRDefault="00C6733C">
      <w:pPr>
        <w:pStyle w:val="Prrafodelista"/>
        <w:rPr>
          <w:rFonts w:cstheme="minorHAnsi"/>
        </w:rPr>
      </w:pPr>
    </w:p>
    <w:p w14:paraId="269E313A" w14:textId="77777777" w:rsidR="00C6733C" w:rsidRDefault="006D0638">
      <w:pPr>
        <w:pStyle w:val="Prrafodelista"/>
        <w:widowControl/>
        <w:numPr>
          <w:ilvl w:val="0"/>
          <w:numId w:val="20"/>
        </w:numPr>
        <w:autoSpaceDE/>
        <w:autoSpaceDN/>
        <w:spacing w:before="0" w:after="160"/>
        <w:contextualSpacing/>
        <w:rPr>
          <w:rFonts w:cstheme="minorHAnsi"/>
        </w:rPr>
      </w:pPr>
      <w:r>
        <w:rPr>
          <w:rFonts w:cstheme="minorHAnsi"/>
        </w:rPr>
        <w:t>En cuanto al superávit prima</w:t>
      </w:r>
      <w:r>
        <w:rPr>
          <w:rFonts w:cstheme="minorHAnsi"/>
        </w:rPr>
        <w:t>rio, los CGPE 2020 estiman un superávit del 1.0 por ciento del PIB para 2019 y de 0.7 por ciento para 2020.</w:t>
      </w:r>
    </w:p>
    <w:p w14:paraId="1DD344CE" w14:textId="77777777" w:rsidR="00C6733C" w:rsidRDefault="00C6733C">
      <w:pPr>
        <w:pStyle w:val="Prrafodelista"/>
        <w:rPr>
          <w:rFonts w:cstheme="minorHAnsi"/>
        </w:rPr>
      </w:pPr>
    </w:p>
    <w:p w14:paraId="4D03584B" w14:textId="77777777" w:rsidR="00C6733C" w:rsidRDefault="00C6733C">
      <w:pPr>
        <w:widowControl/>
        <w:autoSpaceDE/>
        <w:autoSpaceDN/>
        <w:spacing w:after="160"/>
        <w:contextualSpacing/>
        <w:rPr>
          <w:rFonts w:cstheme="minorHAnsi"/>
        </w:rPr>
      </w:pPr>
    </w:p>
    <w:p w14:paraId="145F1DB3" w14:textId="77777777" w:rsidR="00C6733C" w:rsidRDefault="006D0638">
      <w:pPr>
        <w:tabs>
          <w:tab w:val="left" w:pos="426"/>
        </w:tabs>
        <w:jc w:val="both"/>
        <w:rPr>
          <w:rFonts w:ascii="Arial" w:hAnsi="Arial" w:cs="Arial"/>
        </w:rPr>
      </w:pPr>
      <w:r>
        <w:rPr>
          <w:rFonts w:ascii="Arial" w:hAnsi="Arial" w:cs="Arial"/>
        </w:rPr>
        <w:t>Adicionalmente, es importante señalar que la economía del país no estará exenta de las presiones económicas exógenas, por lo que las variaciones e</w:t>
      </w:r>
      <w:r>
        <w:rPr>
          <w:rFonts w:ascii="Arial" w:hAnsi="Arial" w:cs="Arial"/>
        </w:rPr>
        <w:t>n los precios y en la plataforma de producción petrolera, la actual situación comercial entre Estados Unidos y China, el temor de los mercados por los cambios en materia de política monetaria de las principales economías del mundo, ocasionarían reajustes y</w:t>
      </w:r>
      <w:r>
        <w:rPr>
          <w:rFonts w:ascii="Arial" w:hAnsi="Arial" w:cs="Arial"/>
        </w:rPr>
        <w:t xml:space="preserve"> posibles cambios de dirección en las expectativas económicas a lo largo del año 2020.</w:t>
      </w:r>
    </w:p>
    <w:p w14:paraId="20031773" w14:textId="77777777" w:rsidR="00C6733C" w:rsidRDefault="00C6733C">
      <w:pPr>
        <w:tabs>
          <w:tab w:val="left" w:pos="426"/>
        </w:tabs>
        <w:jc w:val="both"/>
        <w:rPr>
          <w:rFonts w:ascii="Arial" w:hAnsi="Arial" w:cs="Arial"/>
        </w:rPr>
      </w:pPr>
    </w:p>
    <w:p w14:paraId="31A74BD4" w14:textId="77777777" w:rsidR="00C6733C" w:rsidRDefault="006D0638">
      <w:pPr>
        <w:tabs>
          <w:tab w:val="left" w:pos="426"/>
        </w:tabs>
        <w:jc w:val="both"/>
        <w:rPr>
          <w:rFonts w:ascii="Arial" w:hAnsi="Arial" w:cs="Arial"/>
        </w:rPr>
      </w:pPr>
      <w:r>
        <w:rPr>
          <w:rFonts w:ascii="Arial" w:hAnsi="Arial" w:cs="Arial"/>
        </w:rPr>
        <w:t>En cuanto a las estadísticas estatales, la distribución del PIB por actividades económicas, señala que la principal actividad económica del Estado corresponde a la terc</w:t>
      </w:r>
      <w:r>
        <w:rPr>
          <w:rFonts w:ascii="Arial" w:hAnsi="Arial" w:cs="Arial"/>
        </w:rPr>
        <w:t>iaria, seguida de la secundaria y en último lugar las actividades primarias. Es importante mencionar que las actividades primarias de 2010 a 2017 han aumentado moderadamente su contribución, pasando de un 5.86 por ciento a un 6.15 por ciento respectivament</w:t>
      </w:r>
      <w:r>
        <w:rPr>
          <w:rFonts w:ascii="Arial" w:hAnsi="Arial" w:cs="Arial"/>
        </w:rPr>
        <w:t>e; en contraste las secundarias han pasado de un 26.07 por ciento en 2010 a un 22.45 por ciento al 2017; finalmente, las actividades terciarias han continuado consolidándose como la principal actividad económica del Estado, pasando de un 68.07 por ciento e</w:t>
      </w:r>
      <w:r>
        <w:rPr>
          <w:rFonts w:ascii="Arial" w:hAnsi="Arial" w:cs="Arial"/>
        </w:rPr>
        <w:t>n 2010 a un 71.41 por ciento en 2017.</w:t>
      </w:r>
    </w:p>
    <w:p w14:paraId="7A14CE91" w14:textId="77777777" w:rsidR="00C6733C" w:rsidRDefault="00C6733C">
      <w:pPr>
        <w:tabs>
          <w:tab w:val="left" w:pos="426"/>
        </w:tabs>
        <w:jc w:val="both"/>
        <w:rPr>
          <w:rFonts w:ascii="Arial" w:hAnsi="Arial" w:cs="Arial"/>
        </w:rPr>
      </w:pPr>
    </w:p>
    <w:p w14:paraId="0B45869E" w14:textId="77777777" w:rsidR="00C6733C" w:rsidRDefault="006D0638">
      <w:pPr>
        <w:tabs>
          <w:tab w:val="left" w:pos="426"/>
        </w:tabs>
        <w:jc w:val="both"/>
        <w:rPr>
          <w:rFonts w:ascii="Arial" w:hAnsi="Arial" w:cs="Arial"/>
        </w:rPr>
      </w:pPr>
      <w:r>
        <w:rPr>
          <w:rFonts w:ascii="Arial" w:hAnsi="Arial" w:cs="Arial"/>
        </w:rPr>
        <w:t>Dentro de las actividades económicas especificas con determinada relevancia para el Estado, en el sector secundario se encuentra la producción y comercialización del mezcal, la fabricación de textiles y, las artesanía</w:t>
      </w:r>
      <w:r>
        <w:rPr>
          <w:rFonts w:ascii="Arial" w:hAnsi="Arial" w:cs="Arial"/>
        </w:rPr>
        <w:t>s con madera que han dado giros positivos importantes; en las actividades terciarias, la actividad turística es sin duda la actividad que más beneficios económicos reporta y; finalmente en las actividades primarias, la agricultura y la ganadería no han dej</w:t>
      </w:r>
      <w:r>
        <w:rPr>
          <w:rFonts w:ascii="Arial" w:hAnsi="Arial" w:cs="Arial"/>
        </w:rPr>
        <w:t>ado de ser actividades sustanciales en la economía de la población Oaxaqueña.</w:t>
      </w:r>
    </w:p>
    <w:p w14:paraId="054A0B48" w14:textId="77777777" w:rsidR="00C6733C" w:rsidRDefault="00C6733C">
      <w:pPr>
        <w:jc w:val="both"/>
        <w:rPr>
          <w:rFonts w:cstheme="minorHAnsi"/>
        </w:rPr>
      </w:pPr>
    </w:p>
    <w:p w14:paraId="049F7F42" w14:textId="77777777" w:rsidR="00C6733C" w:rsidRDefault="006D0638">
      <w:pPr>
        <w:jc w:val="center"/>
        <w:rPr>
          <w:rFonts w:cstheme="minorHAnsi"/>
          <w:b/>
          <w:bCs/>
          <w:sz w:val="18"/>
          <w:szCs w:val="18"/>
          <w:lang w:bidi="es-ES"/>
        </w:rPr>
      </w:pPr>
      <w:r>
        <w:rPr>
          <w:rFonts w:cstheme="minorHAnsi"/>
          <w:noProof/>
          <w:lang w:bidi="ar-SA"/>
        </w:rPr>
        <w:drawing>
          <wp:inline distT="0" distB="0" distL="0" distR="0" wp14:anchorId="64E80874" wp14:editId="34993510">
            <wp:extent cx="4428000" cy="2160000"/>
            <wp:effectExtent l="0" t="0" r="10795" b="12065"/>
            <wp:docPr id="17" name="Gráfico 17">
              <a:extLst xmlns:a="http://schemas.openxmlformats.org/drawingml/2006/main">
                <a:ext uri="{FF2B5EF4-FFF2-40B4-BE49-F238E27FC236}">
                  <a16:creationId xmlns:a16="http://schemas.microsoft.com/office/drawing/2014/main" id="{3EA97249-AF28-42B3-8BDA-B805FAF1D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E1BFFE" w14:textId="77777777" w:rsidR="00C6733C" w:rsidRDefault="006D0638">
      <w:pPr>
        <w:ind w:firstLine="708"/>
        <w:rPr>
          <w:rFonts w:cstheme="minorHAnsi"/>
          <w:sz w:val="18"/>
          <w:szCs w:val="18"/>
          <w:lang w:bidi="es-ES"/>
        </w:rPr>
      </w:pPr>
      <w:r>
        <w:rPr>
          <w:rFonts w:cstheme="minorHAnsi"/>
          <w:b/>
          <w:bCs/>
          <w:sz w:val="18"/>
          <w:szCs w:val="18"/>
          <w:lang w:bidi="es-ES"/>
        </w:rPr>
        <w:t xml:space="preserve">      Fuente:</w:t>
      </w:r>
      <w:r>
        <w:rPr>
          <w:rFonts w:cstheme="minorHAnsi"/>
          <w:sz w:val="18"/>
          <w:szCs w:val="18"/>
          <w:lang w:bidi="es-ES"/>
        </w:rPr>
        <w:t xml:space="preserve"> Banco de información económica, INEGI (2019)</w:t>
      </w:r>
    </w:p>
    <w:p w14:paraId="708F7C3D" w14:textId="77777777" w:rsidR="00C6733C" w:rsidRDefault="00C6733C">
      <w:pPr>
        <w:rPr>
          <w:rFonts w:cstheme="minorHAnsi"/>
          <w:sz w:val="14"/>
        </w:rPr>
      </w:pPr>
    </w:p>
    <w:p w14:paraId="4B9E31DC" w14:textId="77777777" w:rsidR="00C6733C" w:rsidRDefault="006D0638">
      <w:pPr>
        <w:jc w:val="both"/>
        <w:rPr>
          <w:rFonts w:ascii="Arial" w:hAnsi="Arial" w:cs="Arial"/>
        </w:rPr>
      </w:pPr>
      <w:r>
        <w:rPr>
          <w:rFonts w:ascii="Arial" w:hAnsi="Arial" w:cs="Arial"/>
        </w:rPr>
        <w:t>Las variaciones en las tasas de crecimiento por actividad económica, demuestran que la actividad secundaria es la m</w:t>
      </w:r>
      <w:r>
        <w:rPr>
          <w:rFonts w:ascii="Arial" w:hAnsi="Arial" w:cs="Arial"/>
        </w:rPr>
        <w:t xml:space="preserve">ás volátil, con fluctuaciones muy marcadas para algunos años (principalmente de 2015 al primer trimestre de 2019); la actividad terciaria desde 2013 al </w:t>
      </w:r>
      <w:r>
        <w:rPr>
          <w:rFonts w:ascii="Arial" w:hAnsi="Arial" w:cs="Arial"/>
        </w:rPr>
        <w:lastRenderedPageBreak/>
        <w:t>primer trimestre de 2019 ha mantenido sus variaciones en campos positivos, siendo la actividad con mejor</w:t>
      </w:r>
      <w:r>
        <w:rPr>
          <w:rFonts w:ascii="Arial" w:hAnsi="Arial" w:cs="Arial"/>
        </w:rPr>
        <w:t xml:space="preserve"> desempeño para la Entidad. La actividad primaria después de un moderado periodo de desaceleración (de 2013 a 2015), de 2016 al primer trimestre de 2019, registra un desempeño positivo.</w:t>
      </w:r>
    </w:p>
    <w:p w14:paraId="0EEBAEF3" w14:textId="77777777" w:rsidR="00C6733C" w:rsidRDefault="00C6733C">
      <w:pPr>
        <w:rPr>
          <w:rFonts w:ascii="Arial" w:hAnsi="Arial" w:cs="Arial"/>
        </w:rPr>
      </w:pPr>
    </w:p>
    <w:p w14:paraId="02A35495" w14:textId="77777777" w:rsidR="00C6733C" w:rsidRDefault="00C6733C">
      <w:pPr>
        <w:jc w:val="both"/>
        <w:rPr>
          <w:rFonts w:cstheme="minorHAnsi"/>
          <w:lang w:bidi="es-ES"/>
        </w:rPr>
      </w:pPr>
    </w:p>
    <w:p w14:paraId="4EF0835D" w14:textId="77777777" w:rsidR="00C6733C" w:rsidRDefault="006D0638">
      <w:pPr>
        <w:jc w:val="center"/>
        <w:rPr>
          <w:rFonts w:cstheme="minorHAnsi"/>
          <w:lang w:bidi="es-ES"/>
        </w:rPr>
      </w:pPr>
      <w:r>
        <w:rPr>
          <w:rFonts w:cstheme="minorHAnsi"/>
          <w:noProof/>
          <w:lang w:bidi="ar-SA"/>
        </w:rPr>
        <w:drawing>
          <wp:inline distT="0" distB="0" distL="0" distR="0" wp14:anchorId="7495885E" wp14:editId="279D6B05">
            <wp:extent cx="4320000" cy="2160000"/>
            <wp:effectExtent l="0" t="0" r="4445" b="12065"/>
            <wp:docPr id="19" name="Gráfico 19">
              <a:extLst xmlns:a="http://schemas.openxmlformats.org/drawingml/2006/main">
                <a:ext uri="{FF2B5EF4-FFF2-40B4-BE49-F238E27FC236}">
                  <a16:creationId xmlns:a16="http://schemas.microsoft.com/office/drawing/2014/main" id="{4D6377B6-8460-4518-8922-A16C82ED69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EC5935" w14:textId="77777777" w:rsidR="00C6733C" w:rsidRDefault="00C6733C">
      <w:pPr>
        <w:ind w:firstLine="708"/>
        <w:rPr>
          <w:rFonts w:cstheme="minorHAnsi"/>
          <w:b/>
          <w:bCs/>
          <w:sz w:val="18"/>
          <w:szCs w:val="18"/>
          <w:lang w:bidi="es-ES"/>
        </w:rPr>
      </w:pPr>
    </w:p>
    <w:p w14:paraId="35272F9B" w14:textId="77777777" w:rsidR="00C6733C" w:rsidRDefault="006D0638">
      <w:pPr>
        <w:ind w:firstLine="708"/>
        <w:rPr>
          <w:rFonts w:cstheme="minorHAnsi"/>
          <w:sz w:val="18"/>
          <w:szCs w:val="18"/>
          <w:lang w:bidi="es-ES"/>
        </w:rPr>
      </w:pPr>
      <w:r>
        <w:rPr>
          <w:rFonts w:cstheme="minorHAnsi"/>
          <w:b/>
          <w:bCs/>
          <w:sz w:val="18"/>
          <w:szCs w:val="18"/>
          <w:lang w:bidi="es-ES"/>
        </w:rPr>
        <w:t xml:space="preserve">Nota: </w:t>
      </w:r>
      <w:r>
        <w:rPr>
          <w:rFonts w:cstheme="minorHAnsi"/>
          <w:sz w:val="18"/>
          <w:szCs w:val="18"/>
          <w:lang w:bidi="es-ES"/>
        </w:rPr>
        <w:t xml:space="preserve">La variación considerada para 2019 corresponde al </w:t>
      </w:r>
      <w:r>
        <w:rPr>
          <w:rFonts w:cstheme="minorHAnsi"/>
          <w:sz w:val="18"/>
          <w:szCs w:val="18"/>
          <w:lang w:bidi="es-ES"/>
        </w:rPr>
        <w:t>primer trimestre del mismo año.</w:t>
      </w:r>
    </w:p>
    <w:p w14:paraId="3B5A0FC5" w14:textId="77777777" w:rsidR="00C6733C" w:rsidRDefault="006D0638">
      <w:pPr>
        <w:ind w:firstLine="708"/>
        <w:rPr>
          <w:rFonts w:cstheme="minorHAnsi"/>
          <w:sz w:val="18"/>
          <w:szCs w:val="18"/>
          <w:lang w:bidi="es-ES"/>
        </w:rPr>
      </w:pPr>
      <w:r>
        <w:rPr>
          <w:rFonts w:cstheme="minorHAnsi"/>
          <w:b/>
          <w:bCs/>
          <w:sz w:val="18"/>
          <w:szCs w:val="18"/>
          <w:lang w:bidi="es-ES"/>
        </w:rPr>
        <w:t>Fuente:</w:t>
      </w:r>
      <w:r>
        <w:rPr>
          <w:rFonts w:cstheme="minorHAnsi"/>
          <w:sz w:val="18"/>
          <w:szCs w:val="18"/>
          <w:lang w:bidi="es-ES"/>
        </w:rPr>
        <w:t xml:space="preserve"> Banco de Información Económica, INEGI (2019).</w:t>
      </w:r>
    </w:p>
    <w:p w14:paraId="091BD6D4" w14:textId="77777777" w:rsidR="00C6733C" w:rsidRDefault="00C6733C">
      <w:pPr>
        <w:jc w:val="both"/>
        <w:rPr>
          <w:rFonts w:cstheme="minorHAnsi"/>
          <w:sz w:val="10"/>
          <w:lang w:bidi="es-ES"/>
        </w:rPr>
      </w:pPr>
    </w:p>
    <w:p w14:paraId="0C0D49D4" w14:textId="77777777" w:rsidR="00C6733C" w:rsidRDefault="00C6733C">
      <w:pPr>
        <w:jc w:val="both"/>
        <w:rPr>
          <w:rFonts w:ascii="Arial" w:hAnsi="Arial" w:cs="Arial"/>
        </w:rPr>
      </w:pPr>
    </w:p>
    <w:p w14:paraId="74D5F014" w14:textId="77777777" w:rsidR="00C6733C" w:rsidRDefault="00C6733C">
      <w:pPr>
        <w:jc w:val="both"/>
        <w:rPr>
          <w:rFonts w:ascii="Arial" w:hAnsi="Arial" w:cs="Arial"/>
        </w:rPr>
      </w:pPr>
    </w:p>
    <w:p w14:paraId="4E681398" w14:textId="77777777" w:rsidR="00C6733C" w:rsidRDefault="006D0638">
      <w:pPr>
        <w:jc w:val="both"/>
        <w:rPr>
          <w:rFonts w:ascii="Arial" w:hAnsi="Arial" w:cs="Arial"/>
        </w:rPr>
      </w:pPr>
      <w:r>
        <w:rPr>
          <w:rFonts w:ascii="Arial" w:hAnsi="Arial" w:cs="Arial"/>
        </w:rPr>
        <w:t>En cuanto al entorno socioeconómico del Estado, la población de acuerdo con la Encuesta Nacional de Ocupación y Empleo (ENOE), en su actualización más reciente del seg</w:t>
      </w:r>
      <w:r>
        <w:rPr>
          <w:rFonts w:ascii="Arial" w:hAnsi="Arial" w:cs="Arial"/>
        </w:rPr>
        <w:t>undo trimestre de 2019, estima la población total del estado en 4,104,125 habitantes de los cuales el 47 por ciento señala son hombres y el 53 por ciento son mujeres; asimismo, el 72.48 por ciento corresponde a la Población en Edad de Trabajar  (PET); de m</w:t>
      </w:r>
      <w:r>
        <w:rPr>
          <w:rFonts w:ascii="Arial" w:hAnsi="Arial" w:cs="Arial"/>
        </w:rPr>
        <w:t xml:space="preserve">odo que, el 61.54 por ciento corresponde a la Población Económicamente Activa (PEA) y el 38.46 por ciento a la Población Económicamente Inactiva (PEI). </w:t>
      </w:r>
    </w:p>
    <w:p w14:paraId="09C49074" w14:textId="77777777" w:rsidR="00C6733C" w:rsidRDefault="00C6733C">
      <w:pPr>
        <w:jc w:val="both"/>
        <w:rPr>
          <w:rFonts w:ascii="Arial" w:hAnsi="Arial" w:cs="Arial"/>
        </w:rPr>
      </w:pPr>
    </w:p>
    <w:p w14:paraId="54E66AA3" w14:textId="77777777" w:rsidR="00C6733C" w:rsidRDefault="00C6733C">
      <w:pPr>
        <w:jc w:val="both"/>
        <w:rPr>
          <w:rFonts w:ascii="Arial" w:hAnsi="Arial" w:cs="Arial"/>
        </w:rPr>
      </w:pPr>
    </w:p>
    <w:p w14:paraId="2695C768" w14:textId="77777777" w:rsidR="00C6733C" w:rsidRDefault="00C6733C">
      <w:pPr>
        <w:jc w:val="both"/>
        <w:rPr>
          <w:rFonts w:ascii="Arial" w:hAnsi="Arial" w:cs="Arial"/>
        </w:rPr>
      </w:pPr>
    </w:p>
    <w:p w14:paraId="5B0FB29A" w14:textId="77777777" w:rsidR="00C6733C" w:rsidRDefault="00C6733C">
      <w:pPr>
        <w:jc w:val="both"/>
        <w:rPr>
          <w:rFonts w:ascii="Arial" w:hAnsi="Arial" w:cs="Arial"/>
        </w:rPr>
      </w:pPr>
    </w:p>
    <w:p w14:paraId="0443A547" w14:textId="77777777" w:rsidR="00C6733C" w:rsidRDefault="00C6733C">
      <w:pPr>
        <w:jc w:val="both"/>
        <w:rPr>
          <w:rFonts w:ascii="Arial" w:hAnsi="Arial" w:cs="Arial"/>
        </w:rPr>
      </w:pPr>
    </w:p>
    <w:p w14:paraId="3228346A" w14:textId="77777777" w:rsidR="00C6733C" w:rsidRDefault="00C6733C">
      <w:pPr>
        <w:jc w:val="both"/>
        <w:rPr>
          <w:rFonts w:ascii="Arial" w:hAnsi="Arial" w:cs="Arial"/>
        </w:rPr>
      </w:pPr>
    </w:p>
    <w:p w14:paraId="4B6F9302" w14:textId="77777777" w:rsidR="00C6733C" w:rsidRDefault="00C6733C">
      <w:pPr>
        <w:jc w:val="both"/>
        <w:rPr>
          <w:rFonts w:ascii="Arial" w:hAnsi="Arial" w:cs="Arial"/>
        </w:rPr>
      </w:pPr>
    </w:p>
    <w:p w14:paraId="12679F07" w14:textId="77777777" w:rsidR="00C6733C" w:rsidRDefault="00C6733C">
      <w:pPr>
        <w:jc w:val="both"/>
        <w:rPr>
          <w:rFonts w:ascii="Arial" w:hAnsi="Arial" w:cs="Arial"/>
        </w:rPr>
      </w:pPr>
    </w:p>
    <w:p w14:paraId="2C4C8737" w14:textId="77777777" w:rsidR="00C6733C" w:rsidRDefault="00C6733C">
      <w:pPr>
        <w:jc w:val="both"/>
        <w:rPr>
          <w:rFonts w:ascii="Arial" w:hAnsi="Arial" w:cs="Arial"/>
        </w:rPr>
      </w:pPr>
    </w:p>
    <w:p w14:paraId="0EEC2140" w14:textId="77777777" w:rsidR="00C6733C" w:rsidRDefault="00C6733C">
      <w:pPr>
        <w:jc w:val="both"/>
        <w:rPr>
          <w:rFonts w:cstheme="minorHAnsi"/>
          <w:sz w:val="10"/>
          <w:lang w:bidi="es-ES"/>
        </w:rPr>
      </w:pPr>
    </w:p>
    <w:p w14:paraId="13C446AE" w14:textId="77777777" w:rsidR="00C6733C" w:rsidRDefault="006D0638">
      <w:pPr>
        <w:jc w:val="center"/>
        <w:rPr>
          <w:rFonts w:cstheme="minorHAnsi"/>
          <w:b/>
          <w:bCs/>
          <w:lang w:bidi="es-ES"/>
        </w:rPr>
      </w:pPr>
      <w:r>
        <w:rPr>
          <w:rFonts w:cstheme="minorHAnsi"/>
          <w:b/>
          <w:bCs/>
          <w:lang w:bidi="es-ES"/>
        </w:rPr>
        <w:t>Pirámide Poblacional de Oaxaca</w:t>
      </w:r>
    </w:p>
    <w:p w14:paraId="6BD83E0D" w14:textId="77777777" w:rsidR="00C6733C" w:rsidRDefault="006D0638">
      <w:pPr>
        <w:keepNext/>
        <w:spacing w:before="240"/>
        <w:jc w:val="center"/>
      </w:pPr>
      <w:r>
        <w:rPr>
          <w:rFonts w:cstheme="minorHAnsi"/>
          <w:noProof/>
          <w:lang w:bidi="ar-SA"/>
        </w:rPr>
        <w:lastRenderedPageBreak/>
        <w:drawing>
          <wp:inline distT="0" distB="0" distL="0" distR="0" wp14:anchorId="5D1F75CF" wp14:editId="1AF75B9F">
            <wp:extent cx="3036570" cy="2419350"/>
            <wp:effectExtent l="0" t="0" r="0" b="0"/>
            <wp:docPr id="2" name="Imagen 4">
              <a:extLst xmlns:a="http://schemas.openxmlformats.org/drawingml/2006/main">
                <a:ext uri="{FF2B5EF4-FFF2-40B4-BE49-F238E27FC236}">
                  <a16:creationId xmlns:a16="http://schemas.microsoft.com/office/drawing/2014/main" id="{3C253128-D63A-4852-A909-BF1E48DB57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C253128-D63A-4852-A909-BF1E48DB5756}"/>
                        </a:ext>
                      </a:extLst>
                    </pic:cNvPr>
                    <pic:cNvPicPr>
                      <a:picLocks noChangeAspect="1"/>
                    </pic:cNvPicPr>
                  </pic:nvPicPr>
                  <pic:blipFill rotWithShape="1">
                    <a:blip r:embed="rId12"/>
                    <a:srcRect l="22387" t="11497" r="29318" b="7050"/>
                    <a:stretch/>
                  </pic:blipFill>
                  <pic:spPr>
                    <a:xfrm>
                      <a:off x="0" y="0"/>
                      <a:ext cx="3045514" cy="2426476"/>
                    </a:xfrm>
                    <a:prstGeom prst="rect">
                      <a:avLst/>
                    </a:prstGeom>
                  </pic:spPr>
                </pic:pic>
              </a:graphicData>
            </a:graphic>
          </wp:inline>
        </w:drawing>
      </w:r>
    </w:p>
    <w:p w14:paraId="61D16571" w14:textId="77777777" w:rsidR="00C6733C" w:rsidRDefault="006D0638">
      <w:pPr>
        <w:spacing w:before="240"/>
        <w:ind w:left="708" w:firstLine="708"/>
        <w:jc w:val="both"/>
        <w:rPr>
          <w:rFonts w:cstheme="minorHAnsi"/>
          <w:sz w:val="18"/>
          <w:szCs w:val="18"/>
          <w:highlight w:val="yellow"/>
          <w:lang w:bidi="es-ES"/>
        </w:rPr>
      </w:pPr>
      <w:r>
        <w:rPr>
          <w:rFonts w:cstheme="minorHAnsi"/>
          <w:b/>
          <w:bCs/>
          <w:sz w:val="18"/>
          <w:szCs w:val="18"/>
          <w:lang w:bidi="es-ES"/>
        </w:rPr>
        <w:t>Fuente:</w:t>
      </w:r>
      <w:r>
        <w:rPr>
          <w:rFonts w:cstheme="minorHAnsi"/>
          <w:sz w:val="18"/>
          <w:szCs w:val="18"/>
          <w:lang w:bidi="es-ES"/>
        </w:rPr>
        <w:t xml:space="preserve"> DIGEPO, elaboración propia con base en INEGI 2015, encuesta intercensal.</w:t>
      </w:r>
      <w:r>
        <w:rPr>
          <w:rFonts w:cstheme="minorHAnsi"/>
          <w:sz w:val="18"/>
          <w:szCs w:val="18"/>
          <w:highlight w:val="yellow"/>
          <w:lang w:bidi="es-ES"/>
        </w:rPr>
        <w:t xml:space="preserve"> </w:t>
      </w:r>
    </w:p>
    <w:p w14:paraId="392D8F78" w14:textId="77777777" w:rsidR="00C6733C" w:rsidRDefault="00C6733C">
      <w:pPr>
        <w:jc w:val="both"/>
        <w:rPr>
          <w:rFonts w:ascii="Arial" w:hAnsi="Arial" w:cs="Arial"/>
        </w:rPr>
      </w:pPr>
    </w:p>
    <w:p w14:paraId="23E5CC42" w14:textId="77777777" w:rsidR="00C6733C" w:rsidRDefault="006D0638">
      <w:pPr>
        <w:spacing w:before="240"/>
        <w:jc w:val="both"/>
        <w:rPr>
          <w:rFonts w:ascii="Arial" w:hAnsi="Arial" w:cs="Arial"/>
        </w:rPr>
      </w:pPr>
      <w:r>
        <w:rPr>
          <w:rFonts w:ascii="Arial" w:hAnsi="Arial" w:cs="Arial"/>
        </w:rPr>
        <w:t>Una de las políticas transversales del actual Gobierno del Estado estipulada en el Plan Estatal de Desarrollo 2016-2022 (PED) indica que se enfocará a fortalecer los derechos de lo</w:t>
      </w:r>
      <w:r>
        <w:rPr>
          <w:rFonts w:ascii="Arial" w:hAnsi="Arial" w:cs="Arial"/>
        </w:rPr>
        <w:t>s pueblos y población indígena. La encuesta intercensal del INEGI (2015), registra que el 65.73 por ciento (2,608,093) de la población total se considera indígena; el 32.15 por ciento (1,275,676) de la población total de tres y más años habla una lengua in</w:t>
      </w:r>
      <w:r>
        <w:rPr>
          <w:rFonts w:ascii="Arial" w:hAnsi="Arial" w:cs="Arial"/>
        </w:rPr>
        <w:t>dígena de los cuales el 13.42 por ciento (171,196) de esa población no habla el español. Además, el 4.95 por ciento (196,410) del total de la población se considera afrodescendiente.</w:t>
      </w:r>
    </w:p>
    <w:p w14:paraId="41D9B567" w14:textId="77777777" w:rsidR="00C6733C" w:rsidRDefault="006D0638">
      <w:pPr>
        <w:spacing w:before="240"/>
        <w:jc w:val="both"/>
        <w:rPr>
          <w:rFonts w:ascii="Arial" w:hAnsi="Arial" w:cs="Arial"/>
        </w:rPr>
      </w:pPr>
      <w:r>
        <w:rPr>
          <w:rFonts w:ascii="Arial" w:hAnsi="Arial" w:cs="Arial"/>
        </w:rPr>
        <w:t>Por consiguiente, atender los derechos de los niños, niñas y adolescentes</w:t>
      </w:r>
      <w:r>
        <w:rPr>
          <w:rFonts w:ascii="Arial" w:hAnsi="Arial" w:cs="Arial"/>
        </w:rPr>
        <w:t xml:space="preserve"> es también una política transversal que contempla el PED. En la encuesta intercensal del INEGI (2015); el 38.78 por ciento de la población del Estado para ese año, se encontraba dentro de la edad considerada niñez y adolescencia (de 0 a 19 años).</w:t>
      </w:r>
    </w:p>
    <w:p w14:paraId="5810F773" w14:textId="77777777" w:rsidR="00C6733C" w:rsidRDefault="00C6733C">
      <w:pPr>
        <w:spacing w:before="24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1033"/>
        <w:gridCol w:w="972"/>
        <w:gridCol w:w="902"/>
        <w:gridCol w:w="2862"/>
      </w:tblGrid>
      <w:tr w:rsidR="00C6733C" w14:paraId="61FC8223" w14:textId="77777777">
        <w:trPr>
          <w:trHeight w:val="397"/>
          <w:jc w:val="center"/>
        </w:trPr>
        <w:tc>
          <w:tcPr>
            <w:tcW w:w="0" w:type="auto"/>
            <w:gridSpan w:val="5"/>
            <w:shd w:val="clear" w:color="auto" w:fill="A8D08D" w:themeFill="accent6" w:themeFillTint="99"/>
            <w:noWrap/>
          </w:tcPr>
          <w:p w14:paraId="1DF1D81D"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Niños, niñas y adolescentes en Oaxaca 2015</w:t>
            </w:r>
          </w:p>
        </w:tc>
      </w:tr>
      <w:tr w:rsidR="00C6733C" w14:paraId="4B8D0291" w14:textId="77777777">
        <w:trPr>
          <w:trHeight w:val="397"/>
          <w:jc w:val="center"/>
        </w:trPr>
        <w:tc>
          <w:tcPr>
            <w:tcW w:w="0" w:type="auto"/>
            <w:shd w:val="clear" w:color="auto" w:fill="A8D08D" w:themeFill="accent6" w:themeFillTint="99"/>
            <w:noWrap/>
            <w:hideMark/>
          </w:tcPr>
          <w:p w14:paraId="2F195BFF" w14:textId="77777777" w:rsidR="00C6733C" w:rsidRDefault="00C6733C">
            <w:pPr>
              <w:jc w:val="center"/>
              <w:rPr>
                <w:rFonts w:eastAsia="Times New Roman" w:cstheme="minorHAnsi"/>
                <w:sz w:val="20"/>
                <w:szCs w:val="20"/>
              </w:rPr>
            </w:pPr>
          </w:p>
        </w:tc>
        <w:tc>
          <w:tcPr>
            <w:tcW w:w="0" w:type="auto"/>
            <w:noWrap/>
            <w:hideMark/>
          </w:tcPr>
          <w:p w14:paraId="7AEB12F6"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Población</w:t>
            </w:r>
          </w:p>
        </w:tc>
        <w:tc>
          <w:tcPr>
            <w:tcW w:w="0" w:type="auto"/>
            <w:noWrap/>
            <w:hideMark/>
          </w:tcPr>
          <w:p w14:paraId="27435297"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Hombres</w:t>
            </w:r>
          </w:p>
        </w:tc>
        <w:tc>
          <w:tcPr>
            <w:tcW w:w="0" w:type="auto"/>
            <w:noWrap/>
            <w:hideMark/>
          </w:tcPr>
          <w:p w14:paraId="5CC441FF"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Mujeres</w:t>
            </w:r>
          </w:p>
        </w:tc>
        <w:tc>
          <w:tcPr>
            <w:tcW w:w="0" w:type="auto"/>
          </w:tcPr>
          <w:p w14:paraId="7024B6FD"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 xml:space="preserve">Porcentaje de la población total </w:t>
            </w:r>
          </w:p>
        </w:tc>
      </w:tr>
      <w:tr w:rsidR="00C6733C" w14:paraId="2AA81AA1" w14:textId="77777777">
        <w:trPr>
          <w:trHeight w:val="397"/>
          <w:jc w:val="center"/>
        </w:trPr>
        <w:tc>
          <w:tcPr>
            <w:tcW w:w="0" w:type="auto"/>
            <w:shd w:val="clear" w:color="auto" w:fill="A8D08D" w:themeFill="accent6" w:themeFillTint="99"/>
            <w:noWrap/>
            <w:hideMark/>
          </w:tcPr>
          <w:p w14:paraId="7BA85BD9"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De 0 a 4 años</w:t>
            </w:r>
          </w:p>
        </w:tc>
        <w:tc>
          <w:tcPr>
            <w:tcW w:w="0" w:type="auto"/>
            <w:hideMark/>
          </w:tcPr>
          <w:p w14:paraId="04D8989C"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369,238</w:t>
            </w:r>
          </w:p>
        </w:tc>
        <w:tc>
          <w:tcPr>
            <w:tcW w:w="0" w:type="auto"/>
            <w:hideMark/>
          </w:tcPr>
          <w:p w14:paraId="0463470E"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186,838</w:t>
            </w:r>
          </w:p>
        </w:tc>
        <w:tc>
          <w:tcPr>
            <w:tcW w:w="0" w:type="auto"/>
            <w:hideMark/>
          </w:tcPr>
          <w:p w14:paraId="6FA9A845"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182,400</w:t>
            </w:r>
          </w:p>
        </w:tc>
        <w:tc>
          <w:tcPr>
            <w:tcW w:w="0" w:type="auto"/>
          </w:tcPr>
          <w:p w14:paraId="5AA94425"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9.30</w:t>
            </w:r>
          </w:p>
        </w:tc>
      </w:tr>
      <w:tr w:rsidR="00C6733C" w14:paraId="713536B5" w14:textId="77777777">
        <w:trPr>
          <w:trHeight w:val="397"/>
          <w:jc w:val="center"/>
        </w:trPr>
        <w:tc>
          <w:tcPr>
            <w:tcW w:w="0" w:type="auto"/>
            <w:shd w:val="clear" w:color="auto" w:fill="A8D08D" w:themeFill="accent6" w:themeFillTint="99"/>
            <w:noWrap/>
            <w:hideMark/>
          </w:tcPr>
          <w:p w14:paraId="0E126E81"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De 5 a 9 años</w:t>
            </w:r>
          </w:p>
        </w:tc>
        <w:tc>
          <w:tcPr>
            <w:tcW w:w="0" w:type="auto"/>
            <w:hideMark/>
          </w:tcPr>
          <w:p w14:paraId="7426006F"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396,224</w:t>
            </w:r>
          </w:p>
        </w:tc>
        <w:tc>
          <w:tcPr>
            <w:tcW w:w="0" w:type="auto"/>
            <w:hideMark/>
          </w:tcPr>
          <w:p w14:paraId="70EB9DA7"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199,528</w:t>
            </w:r>
          </w:p>
        </w:tc>
        <w:tc>
          <w:tcPr>
            <w:tcW w:w="0" w:type="auto"/>
            <w:hideMark/>
          </w:tcPr>
          <w:p w14:paraId="1A0C0F46"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196,696</w:t>
            </w:r>
          </w:p>
        </w:tc>
        <w:tc>
          <w:tcPr>
            <w:tcW w:w="0" w:type="auto"/>
          </w:tcPr>
          <w:p w14:paraId="5BB2B0CB"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9.99</w:t>
            </w:r>
          </w:p>
        </w:tc>
      </w:tr>
      <w:tr w:rsidR="00C6733C" w14:paraId="11555496" w14:textId="77777777">
        <w:trPr>
          <w:trHeight w:val="397"/>
          <w:jc w:val="center"/>
        </w:trPr>
        <w:tc>
          <w:tcPr>
            <w:tcW w:w="0" w:type="auto"/>
            <w:shd w:val="clear" w:color="auto" w:fill="A8D08D" w:themeFill="accent6" w:themeFillTint="99"/>
            <w:noWrap/>
            <w:hideMark/>
          </w:tcPr>
          <w:p w14:paraId="2180AB3A"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De 10 a 14 años</w:t>
            </w:r>
          </w:p>
        </w:tc>
        <w:tc>
          <w:tcPr>
            <w:tcW w:w="0" w:type="auto"/>
            <w:hideMark/>
          </w:tcPr>
          <w:p w14:paraId="60359215"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404,120</w:t>
            </w:r>
          </w:p>
        </w:tc>
        <w:tc>
          <w:tcPr>
            <w:tcW w:w="0" w:type="auto"/>
            <w:hideMark/>
          </w:tcPr>
          <w:p w14:paraId="02320A72"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204,445</w:t>
            </w:r>
          </w:p>
        </w:tc>
        <w:tc>
          <w:tcPr>
            <w:tcW w:w="0" w:type="auto"/>
            <w:hideMark/>
          </w:tcPr>
          <w:p w14:paraId="54C77095"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199,675</w:t>
            </w:r>
          </w:p>
        </w:tc>
        <w:tc>
          <w:tcPr>
            <w:tcW w:w="0" w:type="auto"/>
          </w:tcPr>
          <w:p w14:paraId="0236F4AD"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10.18</w:t>
            </w:r>
          </w:p>
        </w:tc>
      </w:tr>
      <w:tr w:rsidR="00C6733C" w14:paraId="0F424C4E" w14:textId="77777777">
        <w:trPr>
          <w:trHeight w:val="397"/>
          <w:jc w:val="center"/>
        </w:trPr>
        <w:tc>
          <w:tcPr>
            <w:tcW w:w="0" w:type="auto"/>
            <w:shd w:val="clear" w:color="auto" w:fill="A8D08D" w:themeFill="accent6" w:themeFillTint="99"/>
            <w:noWrap/>
            <w:hideMark/>
          </w:tcPr>
          <w:p w14:paraId="119AB9C4"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 xml:space="preserve">De 15 a 19 </w:t>
            </w:r>
            <w:r>
              <w:rPr>
                <w:rFonts w:eastAsia="Times New Roman" w:cstheme="minorHAnsi"/>
                <w:b/>
                <w:bCs/>
                <w:color w:val="000000"/>
                <w:sz w:val="20"/>
                <w:szCs w:val="20"/>
              </w:rPr>
              <w:t>años</w:t>
            </w:r>
          </w:p>
        </w:tc>
        <w:tc>
          <w:tcPr>
            <w:tcW w:w="0" w:type="auto"/>
            <w:hideMark/>
          </w:tcPr>
          <w:p w14:paraId="77D55251"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369,335</w:t>
            </w:r>
          </w:p>
        </w:tc>
        <w:tc>
          <w:tcPr>
            <w:tcW w:w="0" w:type="auto"/>
            <w:hideMark/>
          </w:tcPr>
          <w:p w14:paraId="4DC3DD85"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183,174</w:t>
            </w:r>
          </w:p>
        </w:tc>
        <w:tc>
          <w:tcPr>
            <w:tcW w:w="0" w:type="auto"/>
            <w:hideMark/>
          </w:tcPr>
          <w:p w14:paraId="6E1606F6"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186,161</w:t>
            </w:r>
          </w:p>
        </w:tc>
        <w:tc>
          <w:tcPr>
            <w:tcW w:w="0" w:type="auto"/>
          </w:tcPr>
          <w:p w14:paraId="5E160ECA"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9.31</w:t>
            </w:r>
          </w:p>
        </w:tc>
      </w:tr>
      <w:tr w:rsidR="00C6733C" w14:paraId="1F690A97" w14:textId="77777777">
        <w:trPr>
          <w:trHeight w:val="397"/>
          <w:jc w:val="center"/>
        </w:trPr>
        <w:tc>
          <w:tcPr>
            <w:tcW w:w="0" w:type="auto"/>
            <w:shd w:val="clear" w:color="auto" w:fill="A8D08D" w:themeFill="accent6" w:themeFillTint="99"/>
            <w:noWrap/>
            <w:hideMark/>
          </w:tcPr>
          <w:p w14:paraId="7D75F58B" w14:textId="77777777" w:rsidR="00C6733C" w:rsidRDefault="006D0638">
            <w:pPr>
              <w:jc w:val="center"/>
              <w:rPr>
                <w:rFonts w:eastAsia="Times New Roman" w:cstheme="minorHAnsi"/>
                <w:b/>
                <w:bCs/>
                <w:color w:val="000000"/>
                <w:sz w:val="20"/>
                <w:szCs w:val="20"/>
              </w:rPr>
            </w:pPr>
            <w:r>
              <w:rPr>
                <w:rFonts w:eastAsia="Times New Roman" w:cstheme="minorHAnsi"/>
                <w:b/>
                <w:bCs/>
                <w:color w:val="000000"/>
                <w:sz w:val="20"/>
                <w:szCs w:val="20"/>
              </w:rPr>
              <w:t>Total, niños, niñas y adolescentes</w:t>
            </w:r>
          </w:p>
        </w:tc>
        <w:tc>
          <w:tcPr>
            <w:tcW w:w="0" w:type="auto"/>
            <w:noWrap/>
            <w:hideMark/>
          </w:tcPr>
          <w:p w14:paraId="3159D1F4"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1,538,917</w:t>
            </w:r>
          </w:p>
        </w:tc>
        <w:tc>
          <w:tcPr>
            <w:tcW w:w="0" w:type="auto"/>
            <w:noWrap/>
            <w:hideMark/>
          </w:tcPr>
          <w:p w14:paraId="5DD84C3D"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773,985</w:t>
            </w:r>
          </w:p>
        </w:tc>
        <w:tc>
          <w:tcPr>
            <w:tcW w:w="0" w:type="auto"/>
            <w:noWrap/>
            <w:hideMark/>
          </w:tcPr>
          <w:p w14:paraId="4DF1AEC1"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764,932</w:t>
            </w:r>
          </w:p>
        </w:tc>
        <w:tc>
          <w:tcPr>
            <w:tcW w:w="0" w:type="auto"/>
          </w:tcPr>
          <w:p w14:paraId="4BC9FFD9" w14:textId="77777777" w:rsidR="00C6733C" w:rsidRDefault="006D0638">
            <w:pPr>
              <w:jc w:val="center"/>
              <w:rPr>
                <w:rFonts w:eastAsia="Times New Roman" w:cstheme="minorHAnsi"/>
                <w:color w:val="000000"/>
                <w:sz w:val="20"/>
                <w:szCs w:val="20"/>
              </w:rPr>
            </w:pPr>
            <w:r>
              <w:rPr>
                <w:rFonts w:eastAsia="Times New Roman" w:cstheme="minorHAnsi"/>
                <w:color w:val="000000"/>
                <w:sz w:val="20"/>
                <w:szCs w:val="20"/>
              </w:rPr>
              <w:t>38.78</w:t>
            </w:r>
          </w:p>
        </w:tc>
      </w:tr>
    </w:tbl>
    <w:p w14:paraId="1BC805C5" w14:textId="77777777" w:rsidR="00C6733C" w:rsidRDefault="006D0638">
      <w:pPr>
        <w:spacing w:before="240"/>
        <w:rPr>
          <w:rFonts w:cstheme="minorHAnsi"/>
          <w:lang w:bidi="es-ES"/>
        </w:rPr>
      </w:pPr>
      <w:r>
        <w:rPr>
          <w:rFonts w:cstheme="minorHAnsi"/>
          <w:b/>
          <w:bCs/>
          <w:lang w:bidi="es-ES"/>
        </w:rPr>
        <w:lastRenderedPageBreak/>
        <w:t>Fuente:</w:t>
      </w:r>
      <w:r>
        <w:rPr>
          <w:rFonts w:cstheme="minorHAnsi"/>
          <w:lang w:bidi="es-ES"/>
        </w:rPr>
        <w:t xml:space="preserve"> Encuesta Intercensal, INEGI (2015).</w:t>
      </w:r>
    </w:p>
    <w:p w14:paraId="639211E8" w14:textId="77777777" w:rsidR="00C6733C" w:rsidRDefault="006D0638">
      <w:pPr>
        <w:spacing w:before="240"/>
        <w:jc w:val="both"/>
        <w:rPr>
          <w:rFonts w:ascii="Arial" w:hAnsi="Arial" w:cs="Arial"/>
          <w:lang w:bidi="es-ES"/>
        </w:rPr>
      </w:pPr>
      <w:r>
        <w:rPr>
          <w:rFonts w:ascii="Arial" w:hAnsi="Arial" w:cs="Arial"/>
          <w:lang w:bidi="es-ES"/>
        </w:rPr>
        <w:t>La actual política del gobierno federal en el transcurso del presente año (2019), ha anunciado enfáticamente la creación del Instituto Nacional de Salud para el Bienestar, mismo que tiene como objetivo afiliar a toda la población que aún no cuenta con segu</w:t>
      </w:r>
      <w:r>
        <w:rPr>
          <w:rFonts w:ascii="Arial" w:hAnsi="Arial" w:cs="Arial"/>
          <w:lang w:bidi="es-ES"/>
        </w:rPr>
        <w:t>ro médico, tarea que el Gobierno de Oaxaca respalda uniendo esfuerzos para alcanzar dicho objetivo, derivado de que la población afiliada a servicios de salud de acuerdo a la última estadística oficial del INEGI (2015), es del 81.1 por ciento, es decir, el</w:t>
      </w:r>
      <w:r>
        <w:rPr>
          <w:rFonts w:ascii="Arial" w:hAnsi="Arial" w:cs="Arial"/>
          <w:lang w:bidi="es-ES"/>
        </w:rPr>
        <w:t xml:space="preserve"> 18.9 por ciento aún no cuenta con seguro médico. </w:t>
      </w:r>
    </w:p>
    <w:p w14:paraId="75C5EC16" w14:textId="77777777" w:rsidR="00C6733C" w:rsidRDefault="006D0638">
      <w:pPr>
        <w:spacing w:before="240"/>
        <w:jc w:val="both"/>
        <w:rPr>
          <w:rFonts w:ascii="Arial" w:hAnsi="Arial" w:cs="Arial"/>
          <w:lang w:bidi="es-ES"/>
        </w:rPr>
      </w:pPr>
      <w:r>
        <w:rPr>
          <w:rFonts w:ascii="Arial" w:hAnsi="Arial" w:cs="Arial"/>
          <w:lang w:bidi="es-ES"/>
        </w:rPr>
        <w:t>La distribución económica de la población, según la Encuesta Nacional de Ocupación y Empleo (ENOE), en su actualización más reciente del segundo trimestre de 2019, estima la población total del Estado en 4</w:t>
      </w:r>
      <w:r>
        <w:rPr>
          <w:rFonts w:ascii="Arial" w:hAnsi="Arial" w:cs="Arial"/>
          <w:lang w:bidi="es-ES"/>
        </w:rPr>
        <w:t>,104,125 habitantes de los cuales el 47 por ciento señala son hombres y el 53 por ciento son mujeres; asimismo, el 72.48 por ciento corresponde a la Población en Edad de Trabajar</w:t>
      </w:r>
      <w:r>
        <w:rPr>
          <w:rStyle w:val="Refdenotaalpie"/>
          <w:rFonts w:ascii="Arial" w:hAnsi="Arial" w:cs="Arial"/>
          <w:lang w:bidi="es-ES"/>
        </w:rPr>
        <w:footnoteReference w:id="3"/>
      </w:r>
      <w:r>
        <w:rPr>
          <w:rFonts w:ascii="Arial" w:hAnsi="Arial" w:cs="Arial"/>
          <w:lang w:bidi="es-ES"/>
        </w:rPr>
        <w:t xml:space="preserve"> (PET); de modo que, el 61.54 por ciento corresponde a la Población Económic</w:t>
      </w:r>
      <w:r>
        <w:rPr>
          <w:rFonts w:ascii="Arial" w:hAnsi="Arial" w:cs="Arial"/>
          <w:lang w:bidi="es-ES"/>
        </w:rPr>
        <w:t>amente Activa (PEA) y el 38.46 por ciento a la Población Económicamente Inactiva (PEI).</w:t>
      </w:r>
    </w:p>
    <w:p w14:paraId="44FEFD08" w14:textId="77777777" w:rsidR="00C6733C" w:rsidRDefault="00C6733C">
      <w:pPr>
        <w:spacing w:before="240"/>
        <w:jc w:val="both"/>
        <w:rPr>
          <w:rFonts w:ascii="Arial" w:hAnsi="Arial" w:cs="Arial"/>
          <w:lang w:bidi="es-E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50"/>
        <w:gridCol w:w="1041"/>
        <w:gridCol w:w="1577"/>
        <w:gridCol w:w="1430"/>
      </w:tblGrid>
      <w:tr w:rsidR="00C6733C" w14:paraId="3377042A" w14:textId="77777777">
        <w:trPr>
          <w:trHeight w:val="454"/>
        </w:trPr>
        <w:tc>
          <w:tcPr>
            <w:tcW w:w="8838" w:type="dxa"/>
            <w:gridSpan w:val="5"/>
            <w:shd w:val="clear" w:color="auto" w:fill="A8D08D" w:themeFill="accent6" w:themeFillTint="99"/>
            <w:noWrap/>
            <w:vAlign w:val="center"/>
            <w:hideMark/>
          </w:tcPr>
          <w:p w14:paraId="053DEB42" w14:textId="77777777" w:rsidR="00C6733C" w:rsidRDefault="006D0638">
            <w:pPr>
              <w:jc w:val="center"/>
              <w:rPr>
                <w:rFonts w:eastAsia="Times New Roman" w:cstheme="minorHAnsi"/>
                <w:b/>
                <w:bCs/>
                <w:sz w:val="20"/>
                <w:szCs w:val="20"/>
              </w:rPr>
            </w:pPr>
            <w:r>
              <w:rPr>
                <w:rFonts w:eastAsia="Times New Roman" w:cstheme="minorHAnsi"/>
                <w:b/>
                <w:bCs/>
                <w:sz w:val="20"/>
                <w:szCs w:val="20"/>
              </w:rPr>
              <w:t>Distribución económica de la población de Oaxaca, segundo trimestre del 2019</w:t>
            </w:r>
          </w:p>
        </w:tc>
      </w:tr>
      <w:tr w:rsidR="00C6733C" w14:paraId="50C8B5D7" w14:textId="77777777">
        <w:trPr>
          <w:trHeight w:val="454"/>
        </w:trPr>
        <w:tc>
          <w:tcPr>
            <w:tcW w:w="3440" w:type="dxa"/>
            <w:shd w:val="clear" w:color="auto" w:fill="A8D08D" w:themeFill="accent6" w:themeFillTint="99"/>
            <w:noWrap/>
            <w:vAlign w:val="center"/>
            <w:hideMark/>
          </w:tcPr>
          <w:p w14:paraId="77E79A25" w14:textId="77777777" w:rsidR="00C6733C" w:rsidRDefault="00C6733C">
            <w:pPr>
              <w:jc w:val="center"/>
              <w:rPr>
                <w:rFonts w:eastAsia="Times New Roman" w:cstheme="minorHAnsi"/>
                <w:sz w:val="20"/>
                <w:szCs w:val="20"/>
              </w:rPr>
            </w:pPr>
          </w:p>
        </w:tc>
        <w:tc>
          <w:tcPr>
            <w:tcW w:w="1350" w:type="dxa"/>
            <w:shd w:val="clear" w:color="auto" w:fill="A8D08D" w:themeFill="accent6" w:themeFillTint="99"/>
            <w:noWrap/>
            <w:vAlign w:val="center"/>
            <w:hideMark/>
          </w:tcPr>
          <w:p w14:paraId="0B1163F2" w14:textId="77777777" w:rsidR="00C6733C" w:rsidRDefault="006D0638">
            <w:pPr>
              <w:jc w:val="center"/>
              <w:rPr>
                <w:rFonts w:eastAsia="Times New Roman" w:cstheme="minorHAnsi"/>
                <w:b/>
                <w:bCs/>
                <w:sz w:val="20"/>
                <w:szCs w:val="20"/>
              </w:rPr>
            </w:pPr>
            <w:r>
              <w:rPr>
                <w:rFonts w:eastAsia="Times New Roman" w:cstheme="minorHAnsi"/>
                <w:b/>
                <w:bCs/>
                <w:sz w:val="20"/>
                <w:szCs w:val="20"/>
              </w:rPr>
              <w:t>Total</w:t>
            </w:r>
          </w:p>
        </w:tc>
        <w:tc>
          <w:tcPr>
            <w:tcW w:w="1041" w:type="dxa"/>
            <w:shd w:val="clear" w:color="auto" w:fill="A8D08D" w:themeFill="accent6" w:themeFillTint="99"/>
            <w:noWrap/>
            <w:vAlign w:val="center"/>
            <w:hideMark/>
          </w:tcPr>
          <w:p w14:paraId="353400F9" w14:textId="77777777" w:rsidR="00C6733C" w:rsidRDefault="006D0638">
            <w:pPr>
              <w:jc w:val="center"/>
              <w:rPr>
                <w:rFonts w:eastAsia="Times New Roman" w:cstheme="minorHAnsi"/>
                <w:b/>
                <w:bCs/>
                <w:sz w:val="20"/>
                <w:szCs w:val="20"/>
              </w:rPr>
            </w:pPr>
            <w:r>
              <w:rPr>
                <w:rFonts w:eastAsia="Times New Roman" w:cstheme="minorHAnsi"/>
                <w:b/>
                <w:bCs/>
                <w:sz w:val="20"/>
                <w:szCs w:val="20"/>
              </w:rPr>
              <w:t>Total %</w:t>
            </w:r>
          </w:p>
        </w:tc>
        <w:tc>
          <w:tcPr>
            <w:tcW w:w="1577" w:type="dxa"/>
            <w:shd w:val="clear" w:color="auto" w:fill="A8D08D" w:themeFill="accent6" w:themeFillTint="99"/>
            <w:noWrap/>
            <w:vAlign w:val="center"/>
            <w:hideMark/>
          </w:tcPr>
          <w:p w14:paraId="271623EE" w14:textId="77777777" w:rsidR="00C6733C" w:rsidRDefault="006D0638">
            <w:pPr>
              <w:jc w:val="center"/>
              <w:rPr>
                <w:rFonts w:eastAsia="Times New Roman" w:cstheme="minorHAnsi"/>
                <w:b/>
                <w:bCs/>
                <w:sz w:val="20"/>
                <w:szCs w:val="20"/>
              </w:rPr>
            </w:pPr>
            <w:r>
              <w:rPr>
                <w:rFonts w:eastAsia="Times New Roman" w:cstheme="minorHAnsi"/>
                <w:b/>
                <w:bCs/>
                <w:sz w:val="20"/>
                <w:szCs w:val="20"/>
              </w:rPr>
              <w:t>Hombres %</w:t>
            </w:r>
          </w:p>
        </w:tc>
        <w:tc>
          <w:tcPr>
            <w:tcW w:w="1430" w:type="dxa"/>
            <w:shd w:val="clear" w:color="auto" w:fill="A8D08D" w:themeFill="accent6" w:themeFillTint="99"/>
            <w:noWrap/>
            <w:vAlign w:val="center"/>
            <w:hideMark/>
          </w:tcPr>
          <w:p w14:paraId="176D2247" w14:textId="77777777" w:rsidR="00C6733C" w:rsidRDefault="006D0638">
            <w:pPr>
              <w:jc w:val="center"/>
              <w:rPr>
                <w:rFonts w:eastAsia="Times New Roman" w:cstheme="minorHAnsi"/>
                <w:b/>
                <w:bCs/>
                <w:sz w:val="20"/>
                <w:szCs w:val="20"/>
              </w:rPr>
            </w:pPr>
            <w:r>
              <w:rPr>
                <w:rFonts w:eastAsia="Times New Roman" w:cstheme="minorHAnsi"/>
                <w:b/>
                <w:bCs/>
                <w:sz w:val="20"/>
                <w:szCs w:val="20"/>
              </w:rPr>
              <w:t>Mujeres %</w:t>
            </w:r>
          </w:p>
        </w:tc>
      </w:tr>
      <w:tr w:rsidR="00C6733C" w14:paraId="083F3169" w14:textId="77777777">
        <w:trPr>
          <w:trHeight w:val="454"/>
        </w:trPr>
        <w:tc>
          <w:tcPr>
            <w:tcW w:w="3440" w:type="dxa"/>
            <w:shd w:val="clear" w:color="auto" w:fill="A8D08D" w:themeFill="accent6" w:themeFillTint="99"/>
            <w:noWrap/>
            <w:vAlign w:val="center"/>
            <w:hideMark/>
          </w:tcPr>
          <w:p w14:paraId="3EF4CDDA" w14:textId="77777777" w:rsidR="00C6733C" w:rsidRDefault="006D0638">
            <w:pPr>
              <w:jc w:val="center"/>
              <w:rPr>
                <w:rFonts w:eastAsia="Times New Roman" w:cstheme="minorHAnsi"/>
                <w:b/>
                <w:bCs/>
                <w:sz w:val="20"/>
                <w:szCs w:val="20"/>
              </w:rPr>
            </w:pPr>
            <w:r>
              <w:rPr>
                <w:rFonts w:eastAsia="Times New Roman" w:cstheme="minorHAnsi"/>
                <w:b/>
                <w:bCs/>
                <w:sz w:val="20"/>
                <w:szCs w:val="20"/>
              </w:rPr>
              <w:t>Población Total</w:t>
            </w:r>
          </w:p>
        </w:tc>
        <w:tc>
          <w:tcPr>
            <w:tcW w:w="1350" w:type="dxa"/>
            <w:noWrap/>
            <w:vAlign w:val="center"/>
            <w:hideMark/>
          </w:tcPr>
          <w:p w14:paraId="5089E861" w14:textId="77777777" w:rsidR="00C6733C" w:rsidRDefault="006D0638">
            <w:pPr>
              <w:jc w:val="center"/>
              <w:rPr>
                <w:rFonts w:eastAsia="Times New Roman" w:cstheme="minorHAnsi"/>
                <w:sz w:val="20"/>
                <w:szCs w:val="20"/>
              </w:rPr>
            </w:pPr>
            <w:r>
              <w:rPr>
                <w:rFonts w:eastAsia="Times New Roman" w:cstheme="minorHAnsi"/>
                <w:sz w:val="20"/>
                <w:szCs w:val="20"/>
              </w:rPr>
              <w:t>4,104,125</w:t>
            </w:r>
          </w:p>
        </w:tc>
        <w:tc>
          <w:tcPr>
            <w:tcW w:w="1041" w:type="dxa"/>
            <w:noWrap/>
            <w:vAlign w:val="center"/>
            <w:hideMark/>
          </w:tcPr>
          <w:p w14:paraId="55A4B651" w14:textId="77777777" w:rsidR="00C6733C" w:rsidRDefault="006D0638">
            <w:pPr>
              <w:jc w:val="center"/>
              <w:rPr>
                <w:rFonts w:eastAsia="Times New Roman" w:cstheme="minorHAnsi"/>
                <w:sz w:val="20"/>
                <w:szCs w:val="20"/>
              </w:rPr>
            </w:pPr>
            <w:r>
              <w:rPr>
                <w:rFonts w:eastAsia="Times New Roman" w:cstheme="minorHAnsi"/>
                <w:sz w:val="20"/>
                <w:szCs w:val="20"/>
              </w:rPr>
              <w:t>100</w:t>
            </w:r>
          </w:p>
        </w:tc>
        <w:tc>
          <w:tcPr>
            <w:tcW w:w="1577" w:type="dxa"/>
            <w:noWrap/>
            <w:vAlign w:val="center"/>
            <w:hideMark/>
          </w:tcPr>
          <w:p w14:paraId="2AF31C8A" w14:textId="77777777" w:rsidR="00C6733C" w:rsidRDefault="006D0638">
            <w:pPr>
              <w:jc w:val="center"/>
              <w:rPr>
                <w:rFonts w:eastAsia="Times New Roman" w:cstheme="minorHAnsi"/>
                <w:sz w:val="20"/>
                <w:szCs w:val="20"/>
              </w:rPr>
            </w:pPr>
            <w:r>
              <w:rPr>
                <w:rFonts w:eastAsia="Times New Roman" w:cstheme="minorHAnsi"/>
                <w:sz w:val="20"/>
                <w:szCs w:val="20"/>
              </w:rPr>
              <w:t>47</w:t>
            </w:r>
          </w:p>
        </w:tc>
        <w:tc>
          <w:tcPr>
            <w:tcW w:w="1430" w:type="dxa"/>
            <w:noWrap/>
            <w:vAlign w:val="center"/>
            <w:hideMark/>
          </w:tcPr>
          <w:p w14:paraId="4B9AAF2D" w14:textId="77777777" w:rsidR="00C6733C" w:rsidRDefault="006D0638">
            <w:pPr>
              <w:jc w:val="center"/>
              <w:rPr>
                <w:rFonts w:eastAsia="Times New Roman" w:cstheme="minorHAnsi"/>
                <w:sz w:val="20"/>
                <w:szCs w:val="20"/>
              </w:rPr>
            </w:pPr>
            <w:r>
              <w:rPr>
                <w:rFonts w:eastAsia="Times New Roman" w:cstheme="minorHAnsi"/>
                <w:sz w:val="20"/>
                <w:szCs w:val="20"/>
              </w:rPr>
              <w:t>53</w:t>
            </w:r>
          </w:p>
        </w:tc>
      </w:tr>
      <w:tr w:rsidR="00C6733C" w14:paraId="64BF8CC0" w14:textId="77777777">
        <w:trPr>
          <w:trHeight w:val="454"/>
        </w:trPr>
        <w:tc>
          <w:tcPr>
            <w:tcW w:w="3440" w:type="dxa"/>
            <w:shd w:val="clear" w:color="auto" w:fill="A8D08D" w:themeFill="accent6" w:themeFillTint="99"/>
            <w:noWrap/>
            <w:vAlign w:val="center"/>
            <w:hideMark/>
          </w:tcPr>
          <w:p w14:paraId="7B57375F" w14:textId="77777777" w:rsidR="00C6733C" w:rsidRDefault="006D0638">
            <w:pPr>
              <w:jc w:val="center"/>
              <w:rPr>
                <w:rFonts w:eastAsia="Times New Roman" w:cstheme="minorHAnsi"/>
                <w:b/>
                <w:bCs/>
                <w:sz w:val="20"/>
                <w:szCs w:val="20"/>
              </w:rPr>
            </w:pPr>
            <w:r>
              <w:rPr>
                <w:rFonts w:eastAsia="Times New Roman" w:cstheme="minorHAnsi"/>
                <w:b/>
                <w:bCs/>
                <w:sz w:val="20"/>
                <w:szCs w:val="20"/>
              </w:rPr>
              <w:t>Población menor de 15 años</w:t>
            </w:r>
          </w:p>
        </w:tc>
        <w:tc>
          <w:tcPr>
            <w:tcW w:w="1350" w:type="dxa"/>
            <w:noWrap/>
            <w:vAlign w:val="center"/>
            <w:hideMark/>
          </w:tcPr>
          <w:p w14:paraId="5BF43A7C" w14:textId="77777777" w:rsidR="00C6733C" w:rsidRDefault="006D0638">
            <w:pPr>
              <w:jc w:val="center"/>
              <w:rPr>
                <w:rFonts w:eastAsia="Times New Roman" w:cstheme="minorHAnsi"/>
                <w:sz w:val="20"/>
                <w:szCs w:val="20"/>
              </w:rPr>
            </w:pPr>
            <w:r>
              <w:rPr>
                <w:rFonts w:eastAsia="Times New Roman" w:cstheme="minorHAnsi"/>
                <w:sz w:val="20"/>
                <w:szCs w:val="20"/>
              </w:rPr>
              <w:t>1,129,460</w:t>
            </w:r>
          </w:p>
        </w:tc>
        <w:tc>
          <w:tcPr>
            <w:tcW w:w="1041" w:type="dxa"/>
            <w:noWrap/>
            <w:vAlign w:val="center"/>
            <w:hideMark/>
          </w:tcPr>
          <w:p w14:paraId="4374945E" w14:textId="77777777" w:rsidR="00C6733C" w:rsidRDefault="006D0638">
            <w:pPr>
              <w:jc w:val="center"/>
              <w:rPr>
                <w:rFonts w:eastAsia="Times New Roman" w:cstheme="minorHAnsi"/>
                <w:sz w:val="20"/>
                <w:szCs w:val="20"/>
              </w:rPr>
            </w:pPr>
            <w:r>
              <w:rPr>
                <w:rFonts w:eastAsia="Times New Roman" w:cstheme="minorHAnsi"/>
                <w:sz w:val="20"/>
                <w:szCs w:val="20"/>
              </w:rPr>
              <w:t>27.52</w:t>
            </w:r>
          </w:p>
        </w:tc>
        <w:tc>
          <w:tcPr>
            <w:tcW w:w="1577" w:type="dxa"/>
            <w:noWrap/>
            <w:vAlign w:val="center"/>
            <w:hideMark/>
          </w:tcPr>
          <w:p w14:paraId="6A6CB482" w14:textId="77777777" w:rsidR="00C6733C" w:rsidRDefault="006D0638">
            <w:pPr>
              <w:jc w:val="center"/>
              <w:rPr>
                <w:rFonts w:eastAsia="Times New Roman" w:cstheme="minorHAnsi"/>
                <w:sz w:val="20"/>
                <w:szCs w:val="20"/>
              </w:rPr>
            </w:pPr>
            <w:r>
              <w:rPr>
                <w:rFonts w:eastAsia="Times New Roman" w:cstheme="minorHAnsi"/>
                <w:sz w:val="20"/>
                <w:szCs w:val="20"/>
              </w:rPr>
              <w:t>50.9</w:t>
            </w:r>
          </w:p>
        </w:tc>
        <w:tc>
          <w:tcPr>
            <w:tcW w:w="1430" w:type="dxa"/>
            <w:noWrap/>
            <w:vAlign w:val="center"/>
            <w:hideMark/>
          </w:tcPr>
          <w:p w14:paraId="6755E1AD" w14:textId="77777777" w:rsidR="00C6733C" w:rsidRDefault="006D0638">
            <w:pPr>
              <w:jc w:val="center"/>
              <w:rPr>
                <w:rFonts w:eastAsia="Times New Roman" w:cstheme="minorHAnsi"/>
                <w:sz w:val="20"/>
                <w:szCs w:val="20"/>
              </w:rPr>
            </w:pPr>
            <w:r>
              <w:rPr>
                <w:rFonts w:eastAsia="Times New Roman" w:cstheme="minorHAnsi"/>
                <w:sz w:val="20"/>
                <w:szCs w:val="20"/>
              </w:rPr>
              <w:t>49.1</w:t>
            </w:r>
          </w:p>
        </w:tc>
      </w:tr>
      <w:tr w:rsidR="00C6733C" w14:paraId="74C4B71F" w14:textId="77777777">
        <w:trPr>
          <w:trHeight w:val="454"/>
        </w:trPr>
        <w:tc>
          <w:tcPr>
            <w:tcW w:w="3440" w:type="dxa"/>
            <w:shd w:val="clear" w:color="auto" w:fill="A8D08D" w:themeFill="accent6" w:themeFillTint="99"/>
            <w:noWrap/>
            <w:vAlign w:val="center"/>
            <w:hideMark/>
          </w:tcPr>
          <w:p w14:paraId="238798F7" w14:textId="77777777" w:rsidR="00C6733C" w:rsidRDefault="006D0638">
            <w:pPr>
              <w:jc w:val="center"/>
              <w:rPr>
                <w:rFonts w:eastAsia="Times New Roman" w:cstheme="minorHAnsi"/>
                <w:b/>
                <w:bCs/>
                <w:sz w:val="20"/>
                <w:szCs w:val="20"/>
              </w:rPr>
            </w:pPr>
            <w:r>
              <w:rPr>
                <w:rFonts w:eastAsia="Times New Roman" w:cstheme="minorHAnsi"/>
                <w:b/>
                <w:bCs/>
                <w:sz w:val="20"/>
                <w:szCs w:val="20"/>
              </w:rPr>
              <w:t>PET</w:t>
            </w:r>
          </w:p>
        </w:tc>
        <w:tc>
          <w:tcPr>
            <w:tcW w:w="1350" w:type="dxa"/>
            <w:noWrap/>
            <w:vAlign w:val="center"/>
            <w:hideMark/>
          </w:tcPr>
          <w:p w14:paraId="2403EED5" w14:textId="77777777" w:rsidR="00C6733C" w:rsidRDefault="006D0638">
            <w:pPr>
              <w:jc w:val="center"/>
              <w:rPr>
                <w:rFonts w:eastAsia="Times New Roman" w:cstheme="minorHAnsi"/>
                <w:sz w:val="20"/>
                <w:szCs w:val="20"/>
              </w:rPr>
            </w:pPr>
            <w:r>
              <w:rPr>
                <w:rFonts w:eastAsia="Times New Roman" w:cstheme="minorHAnsi"/>
                <w:sz w:val="20"/>
                <w:szCs w:val="20"/>
              </w:rPr>
              <w:t>2,974,665</w:t>
            </w:r>
          </w:p>
        </w:tc>
        <w:tc>
          <w:tcPr>
            <w:tcW w:w="1041" w:type="dxa"/>
            <w:noWrap/>
            <w:vAlign w:val="center"/>
            <w:hideMark/>
          </w:tcPr>
          <w:p w14:paraId="45EE3693" w14:textId="77777777" w:rsidR="00C6733C" w:rsidRDefault="006D0638">
            <w:pPr>
              <w:jc w:val="center"/>
              <w:rPr>
                <w:rFonts w:eastAsia="Times New Roman" w:cstheme="minorHAnsi"/>
                <w:sz w:val="20"/>
                <w:szCs w:val="20"/>
              </w:rPr>
            </w:pPr>
            <w:r>
              <w:rPr>
                <w:rFonts w:eastAsia="Times New Roman" w:cstheme="minorHAnsi"/>
                <w:sz w:val="20"/>
                <w:szCs w:val="20"/>
              </w:rPr>
              <w:t>72.48</w:t>
            </w:r>
          </w:p>
        </w:tc>
        <w:tc>
          <w:tcPr>
            <w:tcW w:w="1577" w:type="dxa"/>
            <w:noWrap/>
            <w:vAlign w:val="center"/>
            <w:hideMark/>
          </w:tcPr>
          <w:p w14:paraId="5EB06D08" w14:textId="77777777" w:rsidR="00C6733C" w:rsidRDefault="006D0638">
            <w:pPr>
              <w:jc w:val="center"/>
              <w:rPr>
                <w:rFonts w:eastAsia="Times New Roman" w:cstheme="minorHAnsi"/>
                <w:sz w:val="20"/>
                <w:szCs w:val="20"/>
              </w:rPr>
            </w:pPr>
            <w:r>
              <w:rPr>
                <w:rFonts w:eastAsia="Times New Roman" w:cstheme="minorHAnsi"/>
                <w:sz w:val="20"/>
                <w:szCs w:val="20"/>
              </w:rPr>
              <w:t>45.5</w:t>
            </w:r>
          </w:p>
        </w:tc>
        <w:tc>
          <w:tcPr>
            <w:tcW w:w="1430" w:type="dxa"/>
            <w:noWrap/>
            <w:vAlign w:val="center"/>
            <w:hideMark/>
          </w:tcPr>
          <w:p w14:paraId="3153BE9F" w14:textId="77777777" w:rsidR="00C6733C" w:rsidRDefault="006D0638">
            <w:pPr>
              <w:jc w:val="center"/>
              <w:rPr>
                <w:rFonts w:eastAsia="Times New Roman" w:cstheme="minorHAnsi"/>
                <w:sz w:val="20"/>
                <w:szCs w:val="20"/>
              </w:rPr>
            </w:pPr>
            <w:r>
              <w:rPr>
                <w:rFonts w:eastAsia="Times New Roman" w:cstheme="minorHAnsi"/>
                <w:sz w:val="20"/>
                <w:szCs w:val="20"/>
              </w:rPr>
              <w:t>54.5</w:t>
            </w:r>
          </w:p>
        </w:tc>
      </w:tr>
      <w:tr w:rsidR="00C6733C" w14:paraId="0B67D111" w14:textId="77777777">
        <w:trPr>
          <w:trHeight w:val="454"/>
        </w:trPr>
        <w:tc>
          <w:tcPr>
            <w:tcW w:w="3440" w:type="dxa"/>
            <w:shd w:val="clear" w:color="auto" w:fill="C5E0B3" w:themeFill="accent6" w:themeFillTint="66"/>
            <w:noWrap/>
            <w:vAlign w:val="center"/>
            <w:hideMark/>
          </w:tcPr>
          <w:p w14:paraId="39B2068A" w14:textId="77777777" w:rsidR="00C6733C" w:rsidRDefault="006D0638">
            <w:pPr>
              <w:jc w:val="center"/>
              <w:rPr>
                <w:rFonts w:eastAsia="Times New Roman" w:cstheme="minorHAnsi"/>
                <w:b/>
                <w:bCs/>
                <w:sz w:val="20"/>
                <w:szCs w:val="20"/>
              </w:rPr>
            </w:pPr>
            <w:r>
              <w:rPr>
                <w:rFonts w:eastAsia="Times New Roman" w:cstheme="minorHAnsi"/>
                <w:b/>
                <w:bCs/>
                <w:sz w:val="20"/>
                <w:szCs w:val="20"/>
              </w:rPr>
              <w:t xml:space="preserve">                  PEI</w:t>
            </w:r>
          </w:p>
        </w:tc>
        <w:tc>
          <w:tcPr>
            <w:tcW w:w="1350" w:type="dxa"/>
            <w:noWrap/>
            <w:vAlign w:val="center"/>
            <w:hideMark/>
          </w:tcPr>
          <w:p w14:paraId="7DB1B3B8" w14:textId="77777777" w:rsidR="00C6733C" w:rsidRDefault="006D0638">
            <w:pPr>
              <w:jc w:val="center"/>
              <w:rPr>
                <w:rFonts w:eastAsia="Times New Roman" w:cstheme="minorHAnsi"/>
                <w:sz w:val="20"/>
                <w:szCs w:val="20"/>
              </w:rPr>
            </w:pPr>
            <w:r>
              <w:rPr>
                <w:rFonts w:eastAsia="Times New Roman" w:cstheme="minorHAnsi"/>
                <w:sz w:val="20"/>
                <w:szCs w:val="20"/>
              </w:rPr>
              <w:t>1,144,158</w:t>
            </w:r>
          </w:p>
        </w:tc>
        <w:tc>
          <w:tcPr>
            <w:tcW w:w="1041" w:type="dxa"/>
            <w:noWrap/>
            <w:vAlign w:val="center"/>
            <w:hideMark/>
          </w:tcPr>
          <w:p w14:paraId="2548A703" w14:textId="77777777" w:rsidR="00C6733C" w:rsidRDefault="006D0638">
            <w:pPr>
              <w:jc w:val="center"/>
              <w:rPr>
                <w:rFonts w:eastAsia="Times New Roman" w:cstheme="minorHAnsi"/>
                <w:sz w:val="20"/>
                <w:szCs w:val="20"/>
              </w:rPr>
            </w:pPr>
            <w:r>
              <w:rPr>
                <w:rFonts w:eastAsia="Times New Roman" w:cstheme="minorHAnsi"/>
                <w:sz w:val="20"/>
                <w:szCs w:val="20"/>
              </w:rPr>
              <w:t>38.46</w:t>
            </w:r>
          </w:p>
        </w:tc>
        <w:tc>
          <w:tcPr>
            <w:tcW w:w="1577" w:type="dxa"/>
            <w:noWrap/>
            <w:vAlign w:val="center"/>
            <w:hideMark/>
          </w:tcPr>
          <w:p w14:paraId="6F3BD9A8" w14:textId="77777777" w:rsidR="00C6733C" w:rsidRDefault="006D0638">
            <w:pPr>
              <w:jc w:val="center"/>
              <w:rPr>
                <w:rFonts w:eastAsia="Times New Roman" w:cstheme="minorHAnsi"/>
                <w:sz w:val="20"/>
                <w:szCs w:val="20"/>
              </w:rPr>
            </w:pPr>
            <w:r>
              <w:rPr>
                <w:rFonts w:eastAsia="Times New Roman" w:cstheme="minorHAnsi"/>
                <w:sz w:val="20"/>
                <w:szCs w:val="20"/>
              </w:rPr>
              <w:t>27.4</w:t>
            </w:r>
          </w:p>
        </w:tc>
        <w:tc>
          <w:tcPr>
            <w:tcW w:w="1430" w:type="dxa"/>
            <w:noWrap/>
            <w:vAlign w:val="center"/>
            <w:hideMark/>
          </w:tcPr>
          <w:p w14:paraId="6619EB61" w14:textId="77777777" w:rsidR="00C6733C" w:rsidRDefault="006D0638">
            <w:pPr>
              <w:jc w:val="center"/>
              <w:rPr>
                <w:rFonts w:eastAsia="Times New Roman" w:cstheme="minorHAnsi"/>
                <w:sz w:val="20"/>
                <w:szCs w:val="20"/>
              </w:rPr>
            </w:pPr>
            <w:r>
              <w:rPr>
                <w:rFonts w:eastAsia="Times New Roman" w:cstheme="minorHAnsi"/>
                <w:sz w:val="20"/>
                <w:szCs w:val="20"/>
              </w:rPr>
              <w:t>72.6</w:t>
            </w:r>
          </w:p>
        </w:tc>
      </w:tr>
      <w:tr w:rsidR="00C6733C" w14:paraId="033F5B18" w14:textId="77777777">
        <w:trPr>
          <w:trHeight w:val="454"/>
        </w:trPr>
        <w:tc>
          <w:tcPr>
            <w:tcW w:w="3440" w:type="dxa"/>
            <w:shd w:val="clear" w:color="auto" w:fill="C5E0B3" w:themeFill="accent6" w:themeFillTint="66"/>
            <w:noWrap/>
            <w:vAlign w:val="center"/>
            <w:hideMark/>
          </w:tcPr>
          <w:p w14:paraId="28CC3113" w14:textId="77777777" w:rsidR="00C6733C" w:rsidRDefault="006D0638">
            <w:pPr>
              <w:jc w:val="center"/>
              <w:rPr>
                <w:rFonts w:eastAsia="Times New Roman" w:cstheme="minorHAnsi"/>
                <w:b/>
                <w:bCs/>
                <w:sz w:val="20"/>
                <w:szCs w:val="20"/>
              </w:rPr>
            </w:pPr>
            <w:r>
              <w:rPr>
                <w:rFonts w:eastAsia="Times New Roman" w:cstheme="minorHAnsi"/>
                <w:b/>
                <w:bCs/>
                <w:sz w:val="20"/>
                <w:szCs w:val="20"/>
              </w:rPr>
              <w:t xml:space="preserve">                    PEA</w:t>
            </w:r>
          </w:p>
        </w:tc>
        <w:tc>
          <w:tcPr>
            <w:tcW w:w="1350" w:type="dxa"/>
            <w:noWrap/>
            <w:vAlign w:val="center"/>
            <w:hideMark/>
          </w:tcPr>
          <w:p w14:paraId="3C836CB6" w14:textId="77777777" w:rsidR="00C6733C" w:rsidRDefault="006D0638">
            <w:pPr>
              <w:jc w:val="center"/>
              <w:rPr>
                <w:rFonts w:eastAsia="Times New Roman" w:cstheme="minorHAnsi"/>
                <w:sz w:val="20"/>
                <w:szCs w:val="20"/>
              </w:rPr>
            </w:pPr>
            <w:r>
              <w:rPr>
                <w:rFonts w:eastAsia="Times New Roman" w:cstheme="minorHAnsi"/>
                <w:sz w:val="20"/>
                <w:szCs w:val="20"/>
              </w:rPr>
              <w:t>1,830,507</w:t>
            </w:r>
          </w:p>
        </w:tc>
        <w:tc>
          <w:tcPr>
            <w:tcW w:w="1041" w:type="dxa"/>
            <w:noWrap/>
            <w:vAlign w:val="center"/>
            <w:hideMark/>
          </w:tcPr>
          <w:p w14:paraId="18EE4E8C" w14:textId="77777777" w:rsidR="00C6733C" w:rsidRDefault="006D0638">
            <w:pPr>
              <w:jc w:val="center"/>
              <w:rPr>
                <w:rFonts w:eastAsia="Times New Roman" w:cstheme="minorHAnsi"/>
                <w:sz w:val="20"/>
                <w:szCs w:val="20"/>
              </w:rPr>
            </w:pPr>
            <w:r>
              <w:rPr>
                <w:rFonts w:eastAsia="Times New Roman" w:cstheme="minorHAnsi"/>
                <w:sz w:val="20"/>
                <w:szCs w:val="20"/>
              </w:rPr>
              <w:t>61.54</w:t>
            </w:r>
          </w:p>
        </w:tc>
        <w:tc>
          <w:tcPr>
            <w:tcW w:w="1577" w:type="dxa"/>
            <w:noWrap/>
            <w:vAlign w:val="center"/>
            <w:hideMark/>
          </w:tcPr>
          <w:p w14:paraId="09480ED4" w14:textId="77777777" w:rsidR="00C6733C" w:rsidRDefault="006D0638">
            <w:pPr>
              <w:jc w:val="center"/>
              <w:rPr>
                <w:rFonts w:eastAsia="Times New Roman" w:cstheme="minorHAnsi"/>
                <w:sz w:val="20"/>
                <w:szCs w:val="20"/>
              </w:rPr>
            </w:pPr>
            <w:r>
              <w:rPr>
                <w:rFonts w:eastAsia="Times New Roman" w:cstheme="minorHAnsi"/>
                <w:sz w:val="20"/>
                <w:szCs w:val="20"/>
              </w:rPr>
              <w:t>56.8</w:t>
            </w:r>
          </w:p>
        </w:tc>
        <w:tc>
          <w:tcPr>
            <w:tcW w:w="1430" w:type="dxa"/>
            <w:noWrap/>
            <w:vAlign w:val="center"/>
            <w:hideMark/>
          </w:tcPr>
          <w:p w14:paraId="2C6D96CF" w14:textId="77777777" w:rsidR="00C6733C" w:rsidRDefault="006D0638">
            <w:pPr>
              <w:jc w:val="center"/>
              <w:rPr>
                <w:rFonts w:eastAsia="Times New Roman" w:cstheme="minorHAnsi"/>
                <w:sz w:val="20"/>
                <w:szCs w:val="20"/>
              </w:rPr>
            </w:pPr>
            <w:r>
              <w:rPr>
                <w:rFonts w:eastAsia="Times New Roman" w:cstheme="minorHAnsi"/>
                <w:sz w:val="20"/>
                <w:szCs w:val="20"/>
              </w:rPr>
              <w:t>43.2</w:t>
            </w:r>
          </w:p>
        </w:tc>
      </w:tr>
      <w:tr w:rsidR="00C6733C" w14:paraId="3B35E875" w14:textId="77777777">
        <w:trPr>
          <w:trHeight w:val="454"/>
        </w:trPr>
        <w:tc>
          <w:tcPr>
            <w:tcW w:w="3440" w:type="dxa"/>
            <w:shd w:val="clear" w:color="auto" w:fill="E2EFD9" w:themeFill="accent6" w:themeFillTint="33"/>
            <w:noWrap/>
            <w:vAlign w:val="center"/>
            <w:hideMark/>
          </w:tcPr>
          <w:p w14:paraId="30965DAB" w14:textId="77777777" w:rsidR="00C6733C" w:rsidRDefault="006D0638">
            <w:pPr>
              <w:jc w:val="center"/>
              <w:rPr>
                <w:rFonts w:eastAsia="Times New Roman" w:cstheme="minorHAnsi"/>
                <w:b/>
                <w:bCs/>
                <w:sz w:val="20"/>
                <w:szCs w:val="20"/>
              </w:rPr>
            </w:pPr>
            <w:r>
              <w:rPr>
                <w:rFonts w:eastAsia="Times New Roman" w:cstheme="minorHAnsi"/>
                <w:b/>
                <w:bCs/>
                <w:sz w:val="20"/>
                <w:szCs w:val="20"/>
              </w:rPr>
              <w:t xml:space="preserve">                                  Ocupados</w:t>
            </w:r>
          </w:p>
        </w:tc>
        <w:tc>
          <w:tcPr>
            <w:tcW w:w="1350" w:type="dxa"/>
            <w:noWrap/>
            <w:vAlign w:val="center"/>
            <w:hideMark/>
          </w:tcPr>
          <w:p w14:paraId="13943A93" w14:textId="77777777" w:rsidR="00C6733C" w:rsidRDefault="006D0638">
            <w:pPr>
              <w:jc w:val="center"/>
              <w:rPr>
                <w:rFonts w:eastAsia="Times New Roman" w:cstheme="minorHAnsi"/>
                <w:sz w:val="20"/>
                <w:szCs w:val="20"/>
              </w:rPr>
            </w:pPr>
            <w:r>
              <w:rPr>
                <w:rFonts w:eastAsia="Times New Roman" w:cstheme="minorHAnsi"/>
                <w:sz w:val="20"/>
                <w:szCs w:val="20"/>
              </w:rPr>
              <w:t>1,807,041</w:t>
            </w:r>
          </w:p>
        </w:tc>
        <w:tc>
          <w:tcPr>
            <w:tcW w:w="1041" w:type="dxa"/>
            <w:noWrap/>
            <w:vAlign w:val="center"/>
            <w:hideMark/>
          </w:tcPr>
          <w:p w14:paraId="3897CE87" w14:textId="77777777" w:rsidR="00C6733C" w:rsidRDefault="006D0638">
            <w:pPr>
              <w:jc w:val="center"/>
              <w:rPr>
                <w:rFonts w:eastAsia="Times New Roman" w:cstheme="minorHAnsi"/>
                <w:sz w:val="20"/>
                <w:szCs w:val="20"/>
              </w:rPr>
            </w:pPr>
            <w:r>
              <w:rPr>
                <w:rFonts w:eastAsia="Times New Roman" w:cstheme="minorHAnsi"/>
                <w:sz w:val="20"/>
                <w:szCs w:val="20"/>
              </w:rPr>
              <w:t>98.72</w:t>
            </w:r>
          </w:p>
        </w:tc>
        <w:tc>
          <w:tcPr>
            <w:tcW w:w="1577" w:type="dxa"/>
            <w:noWrap/>
            <w:vAlign w:val="center"/>
            <w:hideMark/>
          </w:tcPr>
          <w:p w14:paraId="32DAE291" w14:textId="77777777" w:rsidR="00C6733C" w:rsidRDefault="006D0638">
            <w:pPr>
              <w:jc w:val="center"/>
              <w:rPr>
                <w:rFonts w:eastAsia="Times New Roman" w:cstheme="minorHAnsi"/>
                <w:sz w:val="20"/>
                <w:szCs w:val="20"/>
              </w:rPr>
            </w:pPr>
            <w:r>
              <w:rPr>
                <w:rFonts w:eastAsia="Times New Roman" w:cstheme="minorHAnsi"/>
                <w:sz w:val="20"/>
                <w:szCs w:val="20"/>
              </w:rPr>
              <w:t>56.8</w:t>
            </w:r>
          </w:p>
        </w:tc>
        <w:tc>
          <w:tcPr>
            <w:tcW w:w="1430" w:type="dxa"/>
            <w:noWrap/>
            <w:vAlign w:val="center"/>
            <w:hideMark/>
          </w:tcPr>
          <w:p w14:paraId="1232A022" w14:textId="77777777" w:rsidR="00C6733C" w:rsidRDefault="006D0638">
            <w:pPr>
              <w:jc w:val="center"/>
              <w:rPr>
                <w:rFonts w:eastAsia="Times New Roman" w:cstheme="minorHAnsi"/>
                <w:sz w:val="20"/>
                <w:szCs w:val="20"/>
              </w:rPr>
            </w:pPr>
            <w:r>
              <w:rPr>
                <w:rFonts w:eastAsia="Times New Roman" w:cstheme="minorHAnsi"/>
                <w:sz w:val="20"/>
                <w:szCs w:val="20"/>
              </w:rPr>
              <w:t>43.2</w:t>
            </w:r>
          </w:p>
        </w:tc>
      </w:tr>
      <w:tr w:rsidR="00C6733C" w14:paraId="16318900" w14:textId="77777777">
        <w:trPr>
          <w:trHeight w:val="454"/>
        </w:trPr>
        <w:tc>
          <w:tcPr>
            <w:tcW w:w="3440" w:type="dxa"/>
            <w:shd w:val="clear" w:color="auto" w:fill="E2EFD9" w:themeFill="accent6" w:themeFillTint="33"/>
            <w:noWrap/>
            <w:vAlign w:val="center"/>
            <w:hideMark/>
          </w:tcPr>
          <w:p w14:paraId="1E239B82" w14:textId="77777777" w:rsidR="00C6733C" w:rsidRDefault="006D0638">
            <w:pPr>
              <w:jc w:val="center"/>
              <w:rPr>
                <w:rFonts w:eastAsia="Times New Roman" w:cstheme="minorHAnsi"/>
                <w:b/>
                <w:bCs/>
                <w:sz w:val="20"/>
                <w:szCs w:val="20"/>
              </w:rPr>
            </w:pPr>
            <w:r>
              <w:rPr>
                <w:rFonts w:eastAsia="Times New Roman" w:cstheme="minorHAnsi"/>
                <w:b/>
                <w:bCs/>
                <w:sz w:val="20"/>
                <w:szCs w:val="20"/>
              </w:rPr>
              <w:t xml:space="preserve">                                         Desocupados</w:t>
            </w:r>
          </w:p>
        </w:tc>
        <w:tc>
          <w:tcPr>
            <w:tcW w:w="1350" w:type="dxa"/>
            <w:noWrap/>
            <w:vAlign w:val="center"/>
            <w:hideMark/>
          </w:tcPr>
          <w:p w14:paraId="57119D3F" w14:textId="77777777" w:rsidR="00C6733C" w:rsidRDefault="006D0638">
            <w:pPr>
              <w:jc w:val="center"/>
              <w:rPr>
                <w:rFonts w:eastAsia="Times New Roman" w:cstheme="minorHAnsi"/>
                <w:sz w:val="20"/>
                <w:szCs w:val="20"/>
              </w:rPr>
            </w:pPr>
            <w:r>
              <w:rPr>
                <w:rFonts w:eastAsia="Times New Roman" w:cstheme="minorHAnsi"/>
                <w:sz w:val="20"/>
                <w:szCs w:val="20"/>
              </w:rPr>
              <w:t>23,466</w:t>
            </w:r>
          </w:p>
        </w:tc>
        <w:tc>
          <w:tcPr>
            <w:tcW w:w="1041" w:type="dxa"/>
            <w:noWrap/>
            <w:vAlign w:val="center"/>
            <w:hideMark/>
          </w:tcPr>
          <w:p w14:paraId="59CA5D9D" w14:textId="77777777" w:rsidR="00C6733C" w:rsidRDefault="006D0638">
            <w:pPr>
              <w:jc w:val="center"/>
              <w:rPr>
                <w:rFonts w:eastAsia="Times New Roman" w:cstheme="minorHAnsi"/>
                <w:sz w:val="20"/>
                <w:szCs w:val="20"/>
              </w:rPr>
            </w:pPr>
            <w:r>
              <w:rPr>
                <w:rFonts w:eastAsia="Times New Roman" w:cstheme="minorHAnsi"/>
                <w:sz w:val="20"/>
                <w:szCs w:val="20"/>
              </w:rPr>
              <w:t>1.28</w:t>
            </w:r>
          </w:p>
        </w:tc>
        <w:tc>
          <w:tcPr>
            <w:tcW w:w="1577" w:type="dxa"/>
            <w:noWrap/>
            <w:vAlign w:val="center"/>
            <w:hideMark/>
          </w:tcPr>
          <w:p w14:paraId="4376472C" w14:textId="77777777" w:rsidR="00C6733C" w:rsidRDefault="006D0638">
            <w:pPr>
              <w:jc w:val="center"/>
              <w:rPr>
                <w:rFonts w:eastAsia="Times New Roman" w:cstheme="minorHAnsi"/>
                <w:sz w:val="20"/>
                <w:szCs w:val="20"/>
              </w:rPr>
            </w:pPr>
            <w:r>
              <w:rPr>
                <w:rFonts w:eastAsia="Times New Roman" w:cstheme="minorHAnsi"/>
                <w:sz w:val="20"/>
                <w:szCs w:val="20"/>
              </w:rPr>
              <w:t>58.8</w:t>
            </w:r>
          </w:p>
        </w:tc>
        <w:tc>
          <w:tcPr>
            <w:tcW w:w="1430" w:type="dxa"/>
            <w:noWrap/>
            <w:vAlign w:val="center"/>
            <w:hideMark/>
          </w:tcPr>
          <w:p w14:paraId="2B95357B" w14:textId="77777777" w:rsidR="00C6733C" w:rsidRDefault="006D0638">
            <w:pPr>
              <w:jc w:val="center"/>
              <w:rPr>
                <w:rFonts w:eastAsia="Times New Roman" w:cstheme="minorHAnsi"/>
                <w:sz w:val="20"/>
                <w:szCs w:val="20"/>
              </w:rPr>
            </w:pPr>
            <w:r>
              <w:rPr>
                <w:rFonts w:eastAsia="Times New Roman" w:cstheme="minorHAnsi"/>
                <w:sz w:val="20"/>
                <w:szCs w:val="20"/>
              </w:rPr>
              <w:t>41.2</w:t>
            </w:r>
          </w:p>
        </w:tc>
      </w:tr>
    </w:tbl>
    <w:p w14:paraId="05618C43" w14:textId="77777777" w:rsidR="00C6733C" w:rsidRDefault="006D0638">
      <w:pPr>
        <w:spacing w:before="240"/>
        <w:jc w:val="both"/>
        <w:rPr>
          <w:rFonts w:cstheme="minorHAnsi"/>
          <w:sz w:val="18"/>
          <w:szCs w:val="18"/>
          <w:lang w:bidi="es-ES"/>
        </w:rPr>
      </w:pPr>
      <w:r>
        <w:rPr>
          <w:rFonts w:cstheme="minorHAnsi"/>
          <w:b/>
          <w:bCs/>
          <w:sz w:val="18"/>
          <w:szCs w:val="18"/>
          <w:lang w:bidi="es-ES"/>
        </w:rPr>
        <w:t>Fuente:</w:t>
      </w:r>
      <w:r>
        <w:rPr>
          <w:rFonts w:cstheme="minorHAnsi"/>
          <w:sz w:val="18"/>
          <w:szCs w:val="18"/>
          <w:lang w:bidi="es-ES"/>
        </w:rPr>
        <w:t xml:space="preserve"> STPS-INEGI, ENOE; segundo trimestre (2019).</w:t>
      </w:r>
    </w:p>
    <w:p w14:paraId="0A4E8FDB" w14:textId="77777777" w:rsidR="00C6733C" w:rsidRDefault="006D0638">
      <w:pPr>
        <w:spacing w:before="240"/>
        <w:jc w:val="both"/>
        <w:rPr>
          <w:rFonts w:ascii="Arial" w:hAnsi="Arial" w:cs="Arial"/>
          <w:lang w:bidi="es-ES"/>
        </w:rPr>
      </w:pPr>
      <w:r>
        <w:rPr>
          <w:rFonts w:ascii="Arial" w:hAnsi="Arial" w:cs="Arial"/>
          <w:lang w:bidi="es-ES"/>
        </w:rPr>
        <w:t xml:space="preserve">La distribución de la población ocupada por rama de </w:t>
      </w:r>
      <w:r>
        <w:rPr>
          <w:rFonts w:ascii="Arial" w:hAnsi="Arial" w:cs="Arial"/>
          <w:lang w:bidi="es-ES"/>
        </w:rPr>
        <w:t>actividad económica, demuestra que Oaxaca es una Entidad dónde prevalece la ocupación en las actividades agropecuarias (29.28 por ciento), por encima de las actividades comerciales y de la industria manufacturera con un 15.89 y 14.21 por ciento respectivam</w:t>
      </w:r>
      <w:r>
        <w:rPr>
          <w:rFonts w:ascii="Arial" w:hAnsi="Arial" w:cs="Arial"/>
          <w:lang w:bidi="es-ES"/>
        </w:rPr>
        <w:t xml:space="preserve">ente, las tres actividades son </w:t>
      </w:r>
      <w:r>
        <w:rPr>
          <w:rFonts w:ascii="Arial" w:hAnsi="Arial" w:cs="Arial"/>
          <w:lang w:bidi="es-ES"/>
        </w:rPr>
        <w:lastRenderedPageBreak/>
        <w:t>las más significativas de acuerdo al nivel de concentración, ya que en conjunto suman el 60 por ciento de la densidad total. Los sectores de transportes y comunicaciones, industria extractiva y electricidad, gobierno y organi</w:t>
      </w:r>
      <w:r>
        <w:rPr>
          <w:rFonts w:ascii="Arial" w:hAnsi="Arial" w:cs="Arial"/>
          <w:lang w:bidi="es-ES"/>
        </w:rPr>
        <w:t>smos internacionales; mantienen un bajo nivel de concentración de la fuerza laboral del Estado.</w:t>
      </w:r>
    </w:p>
    <w:p w14:paraId="02F169CD" w14:textId="77777777" w:rsidR="00C6733C" w:rsidRDefault="00C6733C">
      <w:pPr>
        <w:spacing w:before="240"/>
        <w:jc w:val="both"/>
        <w:rPr>
          <w:rFonts w:ascii="Arial" w:hAnsi="Arial" w:cs="Arial"/>
          <w:lang w:bidi="es-ES"/>
        </w:rPr>
      </w:pPr>
    </w:p>
    <w:p w14:paraId="02749B84" w14:textId="77777777" w:rsidR="00C6733C" w:rsidRDefault="006D0638">
      <w:pPr>
        <w:spacing w:before="240"/>
        <w:jc w:val="center"/>
        <w:rPr>
          <w:rFonts w:cstheme="minorHAnsi"/>
          <w:lang w:bidi="es-ES"/>
        </w:rPr>
      </w:pPr>
      <w:r>
        <w:rPr>
          <w:noProof/>
          <w:lang w:bidi="ar-SA"/>
        </w:rPr>
        <w:drawing>
          <wp:inline distT="0" distB="0" distL="0" distR="0" wp14:anchorId="1E8298F0" wp14:editId="1331EF2E">
            <wp:extent cx="4219575" cy="240030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7ED9B7" w14:textId="77777777" w:rsidR="00C6733C" w:rsidRDefault="006D0638">
      <w:pPr>
        <w:spacing w:before="240"/>
        <w:rPr>
          <w:rFonts w:cstheme="minorHAnsi"/>
          <w:sz w:val="18"/>
          <w:szCs w:val="18"/>
          <w:lang w:bidi="es-ES"/>
        </w:rPr>
      </w:pPr>
      <w:r>
        <w:rPr>
          <w:rFonts w:cstheme="minorHAnsi"/>
          <w:b/>
          <w:bCs/>
          <w:sz w:val="18"/>
          <w:szCs w:val="18"/>
          <w:lang w:bidi="es-ES"/>
        </w:rPr>
        <w:t xml:space="preserve">                           Fuente:</w:t>
      </w:r>
      <w:r>
        <w:rPr>
          <w:rFonts w:cstheme="minorHAnsi"/>
          <w:sz w:val="18"/>
          <w:szCs w:val="18"/>
          <w:lang w:bidi="es-ES"/>
        </w:rPr>
        <w:t xml:space="preserve"> STPS-INEGI, ENOE; segundo trimestre (2019).</w:t>
      </w:r>
    </w:p>
    <w:p w14:paraId="73732C3F" w14:textId="77777777" w:rsidR="00C6733C" w:rsidRDefault="00C6733C">
      <w:pPr>
        <w:spacing w:before="240"/>
        <w:rPr>
          <w:rFonts w:cstheme="minorHAnsi"/>
          <w:sz w:val="18"/>
          <w:szCs w:val="18"/>
          <w:lang w:bidi="es-ES"/>
        </w:rPr>
      </w:pPr>
    </w:p>
    <w:p w14:paraId="24755F3B" w14:textId="77777777" w:rsidR="00C6733C" w:rsidRDefault="006D0638">
      <w:pPr>
        <w:spacing w:before="240"/>
        <w:jc w:val="both"/>
        <w:rPr>
          <w:rFonts w:ascii="Arial" w:hAnsi="Arial" w:cs="Arial"/>
          <w:lang w:bidi="es-ES"/>
        </w:rPr>
      </w:pPr>
      <w:r>
        <w:rPr>
          <w:rFonts w:ascii="Arial" w:hAnsi="Arial" w:cs="Arial"/>
          <w:lang w:bidi="es-ES"/>
        </w:rPr>
        <w:t>Otro elemento importante de la población ocupada, radica en su distribución p</w:t>
      </w:r>
      <w:r>
        <w:rPr>
          <w:rFonts w:ascii="Arial" w:hAnsi="Arial" w:cs="Arial"/>
          <w:lang w:bidi="es-ES"/>
        </w:rPr>
        <w:t>or nivel de ingresos, en dicho componente, se observa que el 21.06 por ciento pertenece a la población que no percibe ingresos, así también, la población con ingresos menores a un salario mínimo hasta dos salarios mínimos suma 56.86 por ciento; más de la m</w:t>
      </w:r>
      <w:r>
        <w:rPr>
          <w:rFonts w:ascii="Arial" w:hAnsi="Arial" w:cs="Arial"/>
          <w:lang w:bidi="es-ES"/>
        </w:rPr>
        <w:t>itad de la población ocupada forma parte de esta categoría. Finalmente, el 15.43 por ciento recibe ingresos por encima de los dos salarios mínimos, los porcentajes, exponen la situación económica de la población Oaxaqueña.</w:t>
      </w:r>
    </w:p>
    <w:p w14:paraId="45D3151A" w14:textId="77777777" w:rsidR="00C6733C" w:rsidRDefault="006D0638">
      <w:pPr>
        <w:spacing w:before="240"/>
        <w:jc w:val="center"/>
        <w:rPr>
          <w:rFonts w:cstheme="minorHAnsi"/>
          <w:lang w:bidi="es-ES"/>
        </w:rPr>
      </w:pPr>
      <w:r>
        <w:rPr>
          <w:rFonts w:cstheme="minorHAnsi"/>
          <w:noProof/>
          <w:lang w:bidi="ar-SA"/>
        </w:rPr>
        <w:lastRenderedPageBreak/>
        <w:drawing>
          <wp:inline distT="0" distB="0" distL="0" distR="0" wp14:anchorId="7DB16FD4" wp14:editId="1B1C1A18">
            <wp:extent cx="4572000" cy="2160000"/>
            <wp:effectExtent l="0" t="0" r="0" b="12065"/>
            <wp:docPr id="26" name="Gráfico 26">
              <a:extLst xmlns:a="http://schemas.openxmlformats.org/drawingml/2006/main">
                <a:ext uri="{FF2B5EF4-FFF2-40B4-BE49-F238E27FC236}">
                  <a16:creationId xmlns:a16="http://schemas.microsoft.com/office/drawing/2014/main" id="{852F2422-6355-4872-8897-2B9EE52B34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DD68E7" w14:textId="77777777" w:rsidR="00C6733C" w:rsidRDefault="006D0638">
      <w:pPr>
        <w:spacing w:before="240"/>
        <w:ind w:firstLine="708"/>
        <w:jc w:val="both"/>
        <w:rPr>
          <w:rFonts w:cstheme="minorHAnsi"/>
          <w:sz w:val="18"/>
          <w:szCs w:val="18"/>
          <w:lang w:bidi="es-ES"/>
        </w:rPr>
      </w:pPr>
      <w:r>
        <w:rPr>
          <w:rFonts w:cstheme="minorHAnsi"/>
          <w:b/>
          <w:bCs/>
          <w:sz w:val="18"/>
          <w:szCs w:val="18"/>
          <w:lang w:bidi="es-ES"/>
        </w:rPr>
        <w:t>Fuente:</w:t>
      </w:r>
      <w:r>
        <w:rPr>
          <w:rFonts w:cstheme="minorHAnsi"/>
          <w:sz w:val="18"/>
          <w:szCs w:val="18"/>
          <w:lang w:bidi="es-ES"/>
        </w:rPr>
        <w:t xml:space="preserve"> STPS-INEGI, ENOE; segundo trimestre (2019).</w:t>
      </w:r>
    </w:p>
    <w:p w14:paraId="420E3352" w14:textId="77777777" w:rsidR="00C6733C" w:rsidRDefault="00C6733C">
      <w:pPr>
        <w:spacing w:before="240"/>
        <w:ind w:firstLine="708"/>
        <w:jc w:val="both"/>
        <w:rPr>
          <w:rFonts w:cstheme="minorHAnsi"/>
          <w:sz w:val="18"/>
          <w:szCs w:val="18"/>
          <w:lang w:bidi="es-ES"/>
        </w:rPr>
      </w:pPr>
    </w:p>
    <w:p w14:paraId="35D39C9E" w14:textId="77777777" w:rsidR="00C6733C" w:rsidRDefault="006D0638">
      <w:pPr>
        <w:spacing w:before="240"/>
        <w:jc w:val="both"/>
        <w:rPr>
          <w:rFonts w:ascii="Arial" w:hAnsi="Arial" w:cs="Arial"/>
          <w:color w:val="000000"/>
          <w:shd w:val="clear" w:color="auto" w:fill="FFFFFF"/>
        </w:rPr>
      </w:pPr>
      <w:r>
        <w:rPr>
          <w:rFonts w:ascii="Arial" w:hAnsi="Arial" w:cs="Arial"/>
          <w:lang w:bidi="es-ES"/>
        </w:rPr>
        <w:t xml:space="preserve">El Consejo Nacional de Evaluación de la Política de Desarrollo Social (CONEVAL), con el fin de </w:t>
      </w:r>
      <w:r>
        <w:rPr>
          <w:rFonts w:ascii="Arial" w:hAnsi="Arial" w:cs="Arial"/>
          <w:color w:val="000000"/>
          <w:shd w:val="clear" w:color="auto" w:fill="FFFFFF"/>
        </w:rPr>
        <w:t>proporcionar elementos para mejorar las políticas públicas relacionadas a la superación de la pobreza, en agosto de</w:t>
      </w:r>
      <w:r>
        <w:rPr>
          <w:rFonts w:ascii="Arial" w:hAnsi="Arial" w:cs="Arial"/>
          <w:color w:val="000000"/>
          <w:shd w:val="clear" w:color="auto" w:fill="FFFFFF"/>
        </w:rPr>
        <w:t xml:space="preserve"> 2019 publicó información actualizada de 2018 a nivel nacional y Entidades Federativas. </w:t>
      </w:r>
    </w:p>
    <w:p w14:paraId="122C2C59" w14:textId="77777777" w:rsidR="00C6733C" w:rsidRDefault="00C6733C">
      <w:pPr>
        <w:spacing w:before="240"/>
        <w:jc w:val="both"/>
        <w:rPr>
          <w:rFonts w:cstheme="minorHAnsi"/>
          <w:color w:val="000000"/>
          <w:shd w:val="clear" w:color="auto" w:fill="FFFFFF"/>
        </w:rPr>
      </w:pPr>
    </w:p>
    <w:p w14:paraId="43AE08BB" w14:textId="77777777" w:rsidR="00C6733C" w:rsidRDefault="006D0638">
      <w:pPr>
        <w:jc w:val="center"/>
        <w:rPr>
          <w:rFonts w:cstheme="minorHAnsi"/>
        </w:rPr>
      </w:pPr>
      <w:r>
        <w:rPr>
          <w:rFonts w:cstheme="minorHAnsi"/>
          <w:noProof/>
          <w:lang w:bidi="ar-SA"/>
        </w:rPr>
        <w:drawing>
          <wp:inline distT="0" distB="0" distL="0" distR="0" wp14:anchorId="2021CAC9" wp14:editId="4B6D401C">
            <wp:extent cx="4320000" cy="2160000"/>
            <wp:effectExtent l="0" t="0" r="4445" b="12065"/>
            <wp:docPr id="3" name="Gráfico 3">
              <a:extLst xmlns:a="http://schemas.openxmlformats.org/drawingml/2006/main">
                <a:ext uri="{FF2B5EF4-FFF2-40B4-BE49-F238E27FC236}">
                  <a16:creationId xmlns:a16="http://schemas.microsoft.com/office/drawing/2014/main" id="{CF164C1D-C386-4304-9699-162AC4E71B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91C2D5" w14:textId="77777777" w:rsidR="00C6733C" w:rsidRDefault="006D0638">
      <w:pPr>
        <w:ind w:left="993" w:right="1041"/>
        <w:jc w:val="both"/>
        <w:rPr>
          <w:rFonts w:cstheme="minorHAnsi"/>
          <w:sz w:val="18"/>
          <w:szCs w:val="18"/>
        </w:rPr>
      </w:pPr>
      <w:r>
        <w:rPr>
          <w:rFonts w:cstheme="minorHAnsi"/>
          <w:b/>
          <w:bCs/>
          <w:sz w:val="18"/>
          <w:szCs w:val="18"/>
        </w:rPr>
        <w:t>Fuente:</w:t>
      </w:r>
      <w:r>
        <w:rPr>
          <w:rFonts w:cstheme="minorHAnsi"/>
          <w:sz w:val="18"/>
          <w:szCs w:val="18"/>
        </w:rPr>
        <w:t xml:space="preserve"> Estimaciones del CONEVAL con base en el MCS-ENIGH 2008, 2010, 2012, 2014 y el MEC del MCS-ENIGH 2016 y 2018.</w:t>
      </w:r>
    </w:p>
    <w:p w14:paraId="20EC1124" w14:textId="77777777" w:rsidR="00C6733C" w:rsidRDefault="006D0638">
      <w:pPr>
        <w:spacing w:before="240"/>
        <w:jc w:val="both"/>
        <w:rPr>
          <w:rFonts w:ascii="Arial" w:hAnsi="Arial" w:cs="Arial"/>
          <w:color w:val="000000"/>
          <w:shd w:val="clear" w:color="auto" w:fill="FFFFFF"/>
        </w:rPr>
      </w:pPr>
      <w:r>
        <w:rPr>
          <w:rFonts w:ascii="Arial" w:hAnsi="Arial" w:cs="Arial"/>
          <w:color w:val="000000"/>
          <w:shd w:val="clear" w:color="auto" w:fill="FFFFFF"/>
        </w:rPr>
        <w:t>En dicho informe de 2016 a 2018, se observa una disminución en la pobreza de 4 puntos porcentuales, pasando de 70.4 a 66.4 por ciento respectivame</w:t>
      </w:r>
      <w:r>
        <w:rPr>
          <w:rFonts w:ascii="Arial" w:hAnsi="Arial" w:cs="Arial"/>
          <w:color w:val="000000"/>
          <w:shd w:val="clear" w:color="auto" w:fill="FFFFFF"/>
        </w:rPr>
        <w:t xml:space="preserve">nte. Al mismo tiempo, la población en situación de pobreza moderada y pobreza extrema, disminuyeron sustantivamente; pasando de 43.5 a 43.1 por ciento y 26.9 a 23.3 por ciento </w:t>
      </w:r>
      <w:r>
        <w:rPr>
          <w:rFonts w:ascii="Arial" w:hAnsi="Arial" w:cs="Arial"/>
          <w:color w:val="000000"/>
          <w:shd w:val="clear" w:color="auto" w:fill="FFFFFF"/>
        </w:rPr>
        <w:lastRenderedPageBreak/>
        <w:t>respectivamente.</w:t>
      </w:r>
    </w:p>
    <w:p w14:paraId="1B5A488E" w14:textId="77777777" w:rsidR="00C6733C" w:rsidRDefault="00C6733C">
      <w:pPr>
        <w:spacing w:before="240"/>
        <w:jc w:val="both"/>
        <w:rPr>
          <w:rFonts w:ascii="Arial" w:hAnsi="Arial" w:cs="Arial"/>
          <w:color w:val="000000"/>
          <w:shd w:val="clear" w:color="auto" w:fill="FFFFFF"/>
        </w:rPr>
      </w:pPr>
    </w:p>
    <w:p w14:paraId="719E2515" w14:textId="77777777" w:rsidR="00C6733C" w:rsidRDefault="006D0638">
      <w:pPr>
        <w:jc w:val="both"/>
        <w:rPr>
          <w:rFonts w:ascii="Arial" w:hAnsi="Arial" w:cs="Arial"/>
          <w:lang w:bidi="es-ES"/>
        </w:rPr>
      </w:pPr>
      <w:r>
        <w:rPr>
          <w:rFonts w:ascii="Arial" w:hAnsi="Arial" w:cs="Arial"/>
          <w:lang w:bidi="es-ES"/>
        </w:rPr>
        <w:t>Por lo tanto, frente a este panorama se estructura el Presupue</w:t>
      </w:r>
      <w:r>
        <w:rPr>
          <w:rFonts w:ascii="Arial" w:hAnsi="Arial" w:cs="Arial"/>
          <w:lang w:bidi="es-ES"/>
        </w:rPr>
        <w:t xml:space="preserve">sto de Egresos para el Estado de Oaxaca para el Ejercicio Fiscal 2020 con </w:t>
      </w:r>
      <w:r>
        <w:rPr>
          <w:rFonts w:ascii="Arial" w:hAnsi="Arial" w:cs="Arial"/>
        </w:rPr>
        <w:t>base en criterios de legalidad, eficiencia, eficacia, economía, transparencia, honradez, racionalidad, austeridad, control, rendición de cuentas e igualdad de género</w:t>
      </w:r>
      <w:r>
        <w:rPr>
          <w:rStyle w:val="Refdenotaalpie"/>
          <w:rFonts w:ascii="Arial" w:hAnsi="Arial" w:cs="Arial"/>
        </w:rPr>
        <w:footnoteReference w:id="4"/>
      </w:r>
      <w:r>
        <w:rPr>
          <w:rFonts w:ascii="Arial" w:hAnsi="Arial" w:cs="Arial"/>
        </w:rPr>
        <w:t xml:space="preserve">, </w:t>
      </w:r>
      <w:r>
        <w:rPr>
          <w:rFonts w:ascii="Arial" w:hAnsi="Arial" w:cs="Arial"/>
          <w:lang w:bidi="es-ES"/>
        </w:rPr>
        <w:t>atendiendo la</w:t>
      </w:r>
      <w:r>
        <w:rPr>
          <w:rFonts w:ascii="Arial" w:hAnsi="Arial" w:cs="Arial"/>
          <w:lang w:bidi="es-ES"/>
        </w:rPr>
        <w:t>s principales necesidades y carencias de la población oaxaqueña, que al ser tan amplia y diversa exige gran responsabilidad y cuidado al momento de asignar el presupuesto, sobre todo si se pretende resolver las principales problemáticas que aquejan a la po</w:t>
      </w:r>
      <w:r>
        <w:rPr>
          <w:rFonts w:ascii="Arial" w:hAnsi="Arial" w:cs="Arial"/>
          <w:lang w:bidi="es-ES"/>
        </w:rPr>
        <w:t>blación.</w:t>
      </w:r>
    </w:p>
    <w:p w14:paraId="5B018AFE" w14:textId="77777777" w:rsidR="00C6733C" w:rsidRDefault="00C6733C">
      <w:pPr>
        <w:jc w:val="both"/>
        <w:rPr>
          <w:rFonts w:ascii="Arial" w:hAnsi="Arial" w:cs="Arial"/>
          <w:lang w:bidi="es-ES"/>
        </w:rPr>
      </w:pPr>
    </w:p>
    <w:p w14:paraId="653E0F8F" w14:textId="77777777" w:rsidR="00C6733C" w:rsidRDefault="006D0638">
      <w:pPr>
        <w:spacing w:before="240"/>
        <w:jc w:val="both"/>
        <w:rPr>
          <w:rFonts w:ascii="Arial" w:hAnsi="Arial" w:cs="Arial"/>
          <w:lang w:bidi="es-ES"/>
        </w:rPr>
      </w:pPr>
      <w:r>
        <w:rPr>
          <w:rFonts w:ascii="Arial" w:hAnsi="Arial" w:cs="Arial"/>
          <w:lang w:bidi="es-ES"/>
        </w:rPr>
        <w:t>Los recursos asignados en la iniciativa que se somete a consideración de esa Soberanía, están orientados a crear y fortalecer oportunidades de desarrollo en materia de educación; salud; vivienda; acceso a la alimentación; inclusión económica; gru</w:t>
      </w:r>
      <w:r>
        <w:rPr>
          <w:rFonts w:ascii="Arial" w:hAnsi="Arial" w:cs="Arial"/>
          <w:lang w:bidi="es-ES"/>
        </w:rPr>
        <w:t>pos en situación de vulnerabilidad; migrantes; cultura física y deporte; cultura y arte; administración moderna; coordinación institucional; gestión para resultados; finanzas públicas; transparencia y rendición de cuentas; desarrollo institucional municipa</w:t>
      </w:r>
      <w:r>
        <w:rPr>
          <w:rFonts w:ascii="Arial" w:hAnsi="Arial" w:cs="Arial"/>
          <w:lang w:bidi="es-ES"/>
        </w:rPr>
        <w:t>l; seguridad ciudadana; procuración de justicia; derechos humanos; gobernabilidad y paz social; prevención y protección contra desastres; productividad agropecuaria; pesca y acuicultura; turismo; comunicaciones y transportes; impulso a la economía; medio a</w:t>
      </w:r>
      <w:r>
        <w:rPr>
          <w:rFonts w:ascii="Arial" w:hAnsi="Arial" w:cs="Arial"/>
          <w:lang w:bidi="es-ES"/>
        </w:rPr>
        <w:t>mbiente y biodiversidad; desarrollo forestal; residuos sólidos; energías alternativas; y, ordenamiento territorial, misma que ha sido elaborada de manera responsable, con el propósito de que los Ejecutores de gasto</w:t>
      </w:r>
      <w:r>
        <w:rPr>
          <w:rStyle w:val="Refdenotaalpie"/>
          <w:rFonts w:ascii="Arial" w:hAnsi="Arial" w:cs="Arial"/>
          <w:lang w:bidi="es-ES"/>
        </w:rPr>
        <w:footnoteReference w:id="5"/>
      </w:r>
      <w:r>
        <w:rPr>
          <w:rFonts w:ascii="Arial" w:hAnsi="Arial" w:cs="Arial"/>
          <w:lang w:bidi="es-ES"/>
        </w:rPr>
        <w:t xml:space="preserve"> optimicen los recursos asignados y cump</w:t>
      </w:r>
      <w:r>
        <w:rPr>
          <w:rFonts w:ascii="Arial" w:hAnsi="Arial" w:cs="Arial"/>
          <w:lang w:bidi="es-ES"/>
        </w:rPr>
        <w:t>lan con los objetivos y metas previstas en los programas, subprogramas, proyectos y actividades, así como los resultados esperados por la ciudadanía, mismos que se describen en el PED.</w:t>
      </w:r>
    </w:p>
    <w:p w14:paraId="18E7C043" w14:textId="77777777" w:rsidR="00C6733C" w:rsidRDefault="00C6733C">
      <w:pPr>
        <w:spacing w:before="240"/>
        <w:jc w:val="both"/>
        <w:rPr>
          <w:rFonts w:ascii="Arial" w:hAnsi="Arial" w:cs="Arial"/>
          <w:lang w:bidi="es-ES"/>
        </w:rPr>
      </w:pPr>
    </w:p>
    <w:p w14:paraId="0DC77F9E" w14:textId="77777777" w:rsidR="00C6733C" w:rsidRDefault="006D0638">
      <w:pPr>
        <w:spacing w:before="240"/>
        <w:jc w:val="both"/>
        <w:rPr>
          <w:rFonts w:ascii="Arial" w:hAnsi="Arial" w:cs="Arial"/>
          <w:lang w:bidi="es-ES"/>
        </w:rPr>
      </w:pPr>
      <w:r>
        <w:rPr>
          <w:rFonts w:ascii="Arial" w:hAnsi="Arial" w:cs="Arial"/>
          <w:lang w:bidi="es-ES"/>
        </w:rPr>
        <w:t>Así mismo, prevalece el cumplimiento de lo establecido en las Leyes de</w:t>
      </w:r>
      <w:r>
        <w:rPr>
          <w:rFonts w:ascii="Arial" w:hAnsi="Arial" w:cs="Arial"/>
          <w:lang w:bidi="es-ES"/>
        </w:rPr>
        <w:t>: Disciplina Financiera de las Entidades Federativas y los Municipios, y Estatal de Presupuesto y Responsabilidad Hacendaria y su Reglamento; avanzando en la implementación del Presupuesto basado en Resultados (PbR). Es importante resaltar que, en esta mat</w:t>
      </w:r>
      <w:r>
        <w:rPr>
          <w:rFonts w:ascii="Arial" w:hAnsi="Arial" w:cs="Arial"/>
          <w:lang w:bidi="es-ES"/>
        </w:rPr>
        <w:t>eria, en el año 2018, el Estado a nivel nacional, se posicionó entre las 10 entidades federativas que alcanzaron un avance mayor al 89% alcanzando un nivel de avance alto en la implementación del PbR-SED de acuerdo con la evaluación realizada por la SHCP</w:t>
      </w:r>
      <w:r>
        <w:rPr>
          <w:rStyle w:val="Refdenotaalpie"/>
          <w:rFonts w:ascii="Arial" w:hAnsi="Arial" w:cs="Arial"/>
          <w:lang w:bidi="es-ES"/>
        </w:rPr>
        <w:footnoteReference w:id="6"/>
      </w:r>
      <w:r>
        <w:rPr>
          <w:rFonts w:ascii="Arial" w:hAnsi="Arial" w:cs="Arial"/>
          <w:lang w:bidi="es-ES"/>
        </w:rPr>
        <w:t>.</w:t>
      </w:r>
    </w:p>
    <w:p w14:paraId="3977897F" w14:textId="77777777" w:rsidR="00C6733C" w:rsidRDefault="006D0638">
      <w:pPr>
        <w:spacing w:before="240"/>
        <w:jc w:val="center"/>
        <w:rPr>
          <w:rFonts w:cstheme="minorHAnsi"/>
          <w:lang w:bidi="es-ES"/>
        </w:rPr>
      </w:pPr>
      <w:r>
        <w:rPr>
          <w:rFonts w:cstheme="minorHAnsi"/>
          <w:noProof/>
          <w:lang w:bidi="ar-SA"/>
        </w:rPr>
        <w:lastRenderedPageBreak/>
        <w:drawing>
          <wp:inline distT="0" distB="0" distL="0" distR="0" wp14:anchorId="394149C4" wp14:editId="18B7A4A5">
            <wp:extent cx="5349240" cy="2844000"/>
            <wp:effectExtent l="0" t="0" r="3810" b="0"/>
            <wp:docPr id="13" name="image6.png"/>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16" cstate="print"/>
                    <a:stretch>
                      <a:fillRect/>
                    </a:stretch>
                  </pic:blipFill>
                  <pic:spPr>
                    <a:xfrm>
                      <a:off x="0" y="0"/>
                      <a:ext cx="5349240" cy="2844000"/>
                    </a:xfrm>
                    <a:prstGeom prst="rect">
                      <a:avLst/>
                    </a:prstGeom>
                  </pic:spPr>
                </pic:pic>
              </a:graphicData>
            </a:graphic>
          </wp:inline>
        </w:drawing>
      </w:r>
    </w:p>
    <w:p w14:paraId="39E29059" w14:textId="77777777" w:rsidR="00C6733C" w:rsidRDefault="006D0638">
      <w:pPr>
        <w:spacing w:before="240"/>
        <w:ind w:firstLine="708"/>
        <w:rPr>
          <w:rFonts w:cstheme="minorHAnsi"/>
          <w:sz w:val="18"/>
          <w:szCs w:val="18"/>
          <w:lang w:bidi="es-ES"/>
        </w:rPr>
      </w:pPr>
      <w:r>
        <w:rPr>
          <w:rFonts w:cstheme="minorHAnsi"/>
          <w:b/>
          <w:bCs/>
          <w:sz w:val="18"/>
          <w:szCs w:val="18"/>
          <w:lang w:bidi="es-ES"/>
        </w:rPr>
        <w:t xml:space="preserve"> Fuente:</w:t>
      </w:r>
      <w:r>
        <w:rPr>
          <w:rFonts w:cstheme="minorHAnsi"/>
          <w:sz w:val="18"/>
          <w:szCs w:val="18"/>
          <w:lang w:bidi="es-ES"/>
        </w:rPr>
        <w:t xml:space="preserve"> Secretaría de Hacienda y Crédito Público (2018).</w:t>
      </w:r>
    </w:p>
    <w:p w14:paraId="43C87D8C" w14:textId="77777777" w:rsidR="00C6733C" w:rsidRDefault="006D0638">
      <w:pPr>
        <w:spacing w:before="240"/>
        <w:jc w:val="both"/>
        <w:rPr>
          <w:rFonts w:ascii="Arial" w:hAnsi="Arial" w:cs="Arial"/>
          <w:lang w:bidi="es-ES"/>
        </w:rPr>
      </w:pPr>
      <w:r>
        <w:rPr>
          <w:rFonts w:ascii="Arial" w:hAnsi="Arial" w:cs="Arial"/>
          <w:lang w:bidi="es-ES"/>
        </w:rPr>
        <w:t xml:space="preserve">En esta iniciativa atendiendo a lo establecido en el PED, como políticas transversales se privilegia de manera especial el Presupuesto para la atención de pueblos indígenas; igualdad de </w:t>
      </w:r>
      <w:r>
        <w:rPr>
          <w:rFonts w:ascii="Arial" w:hAnsi="Arial" w:cs="Arial"/>
          <w:lang w:bidi="es-ES"/>
        </w:rPr>
        <w:t>género; así como, para la protección de los derechos de las niñas, niños y adolescentes.</w:t>
      </w:r>
    </w:p>
    <w:p w14:paraId="7D854E2E" w14:textId="77777777" w:rsidR="00C6733C" w:rsidRDefault="006D0638">
      <w:pPr>
        <w:spacing w:before="240"/>
        <w:jc w:val="both"/>
        <w:rPr>
          <w:rFonts w:ascii="Arial" w:hAnsi="Arial" w:cs="Arial"/>
          <w:lang w:bidi="es-ES"/>
        </w:rPr>
      </w:pPr>
      <w:r>
        <w:rPr>
          <w:rFonts w:ascii="Arial" w:hAnsi="Arial" w:cs="Arial"/>
          <w:lang w:bidi="es-ES"/>
        </w:rPr>
        <w:t>Así mismo, se propone promover a través de la adecuada asignación del Presupuesto de Egresos para el Ejercicio Fiscal 2020, la reducción de la brecha de desigualdad ec</w:t>
      </w:r>
      <w:r>
        <w:rPr>
          <w:rFonts w:ascii="Arial" w:hAnsi="Arial" w:cs="Arial"/>
          <w:lang w:bidi="es-ES"/>
        </w:rPr>
        <w:t>onómica y social; así como establecer estrategias enfocadas a la disminución de la marginación en el Estado, a través de un adecuado y estricto seguimiento del ejercicio del gasto.</w:t>
      </w:r>
    </w:p>
    <w:p w14:paraId="7E15313E" w14:textId="77777777" w:rsidR="00C6733C" w:rsidRDefault="006D0638">
      <w:pPr>
        <w:spacing w:before="240"/>
        <w:jc w:val="both"/>
        <w:rPr>
          <w:rFonts w:ascii="Arial" w:hAnsi="Arial" w:cs="Arial"/>
          <w:lang w:bidi="es-ES"/>
        </w:rPr>
      </w:pPr>
      <w:r>
        <w:rPr>
          <w:rFonts w:ascii="Arial" w:hAnsi="Arial" w:cs="Arial"/>
          <w:lang w:bidi="es-ES"/>
        </w:rPr>
        <w:t>Para lograr lo anterior, la estructura programática mediante la cual se int</w:t>
      </w:r>
      <w:r>
        <w:rPr>
          <w:rFonts w:ascii="Arial" w:hAnsi="Arial" w:cs="Arial"/>
          <w:lang w:bidi="es-ES"/>
        </w:rPr>
        <w:t>egró la presente iniciativa, fortalece y sugiere la coordinación interinstitucional en la concreción de resultados e impactos a favor de los sectores más vulnerables de la población, con la finalidad de que los limitados recursos del Estado se gasten de ma</w:t>
      </w:r>
      <w:r>
        <w:rPr>
          <w:rFonts w:ascii="Arial" w:hAnsi="Arial" w:cs="Arial"/>
          <w:lang w:bidi="es-ES"/>
        </w:rPr>
        <w:t>nera eficiente y eficaz para atender las demandas ciudadanas.</w:t>
      </w:r>
    </w:p>
    <w:p w14:paraId="0E0F2584" w14:textId="77777777" w:rsidR="00C6733C" w:rsidRDefault="006D0638">
      <w:pPr>
        <w:spacing w:before="240"/>
        <w:jc w:val="both"/>
        <w:rPr>
          <w:rFonts w:ascii="Arial" w:hAnsi="Arial" w:cs="Arial"/>
          <w:lang w:bidi="es-ES"/>
        </w:rPr>
      </w:pPr>
      <w:r>
        <w:rPr>
          <w:rFonts w:ascii="Arial" w:hAnsi="Arial" w:cs="Arial"/>
          <w:lang w:bidi="es-ES"/>
        </w:rPr>
        <w:t xml:space="preserve">Para el Ejercicio Fiscal 2020, la Secretaría de Finanzas llevó a cabo un proceso de revisión a la estructura programática fortaleciendo los programas orientados a resultados en el marco de la </w:t>
      </w:r>
      <w:r>
        <w:rPr>
          <w:rFonts w:ascii="Arial" w:hAnsi="Arial" w:cs="Arial"/>
          <w:lang w:bidi="es-ES"/>
        </w:rPr>
        <w:t>planeación estratégica e implementa mejoras al diseño de estos, además de detectar áreas de oportunidad en su implementación, acorde al cumplimiento de los objetivos planteados en el documento rector de planeación estatal, lo anterior orientado a una evolu</w:t>
      </w:r>
      <w:r>
        <w:rPr>
          <w:rFonts w:ascii="Arial" w:hAnsi="Arial" w:cs="Arial"/>
          <w:lang w:bidi="es-ES"/>
        </w:rPr>
        <w:t>ción constante y a un mejor ejercicio del gasto para lograr mejores resultados. Por lo anterior para el Ejercicio 2020 se tendrán reorientando objetivos del mismo número de programas que en 2019 (79).</w:t>
      </w:r>
    </w:p>
    <w:p w14:paraId="761EF485" w14:textId="77777777" w:rsidR="00C6733C" w:rsidRDefault="00C6733C">
      <w:pPr>
        <w:spacing w:before="240"/>
        <w:jc w:val="both"/>
        <w:rPr>
          <w:rFonts w:ascii="Arial" w:hAnsi="Arial" w:cs="Arial"/>
          <w:lang w:bidi="es-ES"/>
        </w:rPr>
      </w:pPr>
    </w:p>
    <w:p w14:paraId="1C977BAB" w14:textId="77777777" w:rsidR="00C6733C" w:rsidRDefault="006D0638">
      <w:pPr>
        <w:jc w:val="both"/>
        <w:rPr>
          <w:rFonts w:ascii="Arial" w:hAnsi="Arial" w:cs="Arial"/>
          <w:lang w:bidi="es-ES"/>
        </w:rPr>
      </w:pPr>
      <w:r>
        <w:rPr>
          <w:rFonts w:ascii="Arial" w:hAnsi="Arial" w:cs="Arial"/>
          <w:lang w:bidi="es-ES"/>
        </w:rPr>
        <w:t>En los programas “Inclusión Social en la Economía” y “</w:t>
      </w:r>
      <w:r>
        <w:rPr>
          <w:rFonts w:ascii="Arial" w:hAnsi="Arial" w:cs="Arial"/>
          <w:lang w:bidi="es-ES"/>
        </w:rPr>
        <w:t>Desarrollo de la Zona Económica Especial y su Área de influencia” se realizó la revisión en conjunto con todas las áreas Normativas que son competentes en la materia, que por su naturaleza requirió de un análisis especializado sobre su impacto, cuyo result</w:t>
      </w:r>
      <w:r>
        <w:rPr>
          <w:rFonts w:ascii="Arial" w:hAnsi="Arial" w:cs="Arial"/>
          <w:lang w:bidi="es-ES"/>
        </w:rPr>
        <w:t>ado fue reorientarlos de la siguiente manera: “Inclusión Social para el Bienestar de Oaxaca” y “Aprovechamiento Sustentable de Factores Productivos del Estado”; así mismo, se realizaron las actualizaciones correspondientes respecto de los bienes y servicio</w:t>
      </w:r>
      <w:r>
        <w:rPr>
          <w:rFonts w:ascii="Arial" w:hAnsi="Arial" w:cs="Arial"/>
          <w:lang w:bidi="es-ES"/>
        </w:rPr>
        <w:t>s entregados por dichos programas (Productos finales e intermedios); en el programa “Inclusión Social para el Bienestar de Oaxaca” se adicionaron dos componentes que contribuían al programa “Atención Social a grupos vulnerables”; y, del programa “Aprovecha</w:t>
      </w:r>
      <w:r>
        <w:rPr>
          <w:rFonts w:ascii="Arial" w:hAnsi="Arial" w:cs="Arial"/>
          <w:lang w:bidi="es-ES"/>
        </w:rPr>
        <w:t>miento Sustentable de Factores Productivos del Estado” se reorientaron seis de los ocho componentes (bienes y servicios entregados).</w:t>
      </w:r>
    </w:p>
    <w:p w14:paraId="7A701194" w14:textId="77777777" w:rsidR="00C6733C" w:rsidRDefault="00C6733C">
      <w:pPr>
        <w:jc w:val="both"/>
        <w:rPr>
          <w:rFonts w:ascii="Arial" w:hAnsi="Arial" w:cs="Arial"/>
          <w:lang w:bidi="es-ES"/>
        </w:rPr>
      </w:pPr>
    </w:p>
    <w:p w14:paraId="385F5F64" w14:textId="77777777" w:rsidR="00C6733C" w:rsidRDefault="006D0638">
      <w:pPr>
        <w:jc w:val="both"/>
        <w:rPr>
          <w:rFonts w:ascii="Arial" w:eastAsia="Times New Roman" w:hAnsi="Arial" w:cs="Arial"/>
          <w:color w:val="000000"/>
        </w:rPr>
      </w:pPr>
      <w:r>
        <w:rPr>
          <w:rFonts w:ascii="Arial" w:hAnsi="Arial" w:cs="Arial"/>
          <w:lang w:bidi="es-ES"/>
        </w:rPr>
        <w:t>La presente iniciativa que se somete a consideración de esa Soberanía estima recursos por el orden de $</w:t>
      </w:r>
      <w:r>
        <w:rPr>
          <w:rFonts w:ascii="Arial" w:eastAsia="Times New Roman" w:hAnsi="Arial" w:cs="Arial"/>
          <w:color w:val="000000"/>
        </w:rPr>
        <w:t>76,008,676,024.00</w:t>
      </w:r>
      <w:r>
        <w:rPr>
          <w:rFonts w:ascii="Arial" w:hAnsi="Arial" w:cs="Arial"/>
          <w:lang w:bidi="es-ES"/>
        </w:rPr>
        <w:t xml:space="preserve"> (</w:t>
      </w:r>
      <w:r>
        <w:rPr>
          <w:rFonts w:ascii="Arial" w:hAnsi="Arial" w:cs="Arial"/>
          <w:lang w:bidi="es-ES"/>
        </w:rPr>
        <w:t>Setenta y seis mil ocho millones, seiscientos setenta y seis mil, veinticuatro pesos 00/100 M.N.).</w:t>
      </w:r>
    </w:p>
    <w:p w14:paraId="3DDB4649" w14:textId="77777777" w:rsidR="00C6733C" w:rsidRDefault="006D0638">
      <w:pPr>
        <w:spacing w:before="240"/>
        <w:jc w:val="both"/>
        <w:rPr>
          <w:rFonts w:ascii="Arial" w:hAnsi="Arial" w:cs="Arial"/>
          <w:lang w:bidi="es-ES"/>
        </w:rPr>
      </w:pPr>
      <w:r>
        <w:rPr>
          <w:rFonts w:ascii="Arial" w:hAnsi="Arial" w:cs="Arial"/>
          <w:lang w:bidi="es-ES"/>
        </w:rPr>
        <w:t>En cumplimiento a lo dispuesto en el artículo 26 de la Ley Estatal de Presupuesto y Responsabilidad Hacendaria se presentan las previsiones de gasto conforme</w:t>
      </w:r>
      <w:r>
        <w:rPr>
          <w:rFonts w:ascii="Arial" w:hAnsi="Arial" w:cs="Arial"/>
          <w:lang w:bidi="es-ES"/>
        </w:rPr>
        <w:t xml:space="preserve"> a las siguientes clasificaciones:</w:t>
      </w:r>
    </w:p>
    <w:p w14:paraId="202438E3" w14:textId="77777777" w:rsidR="00C6733C" w:rsidRDefault="006D0638">
      <w:pPr>
        <w:spacing w:before="240"/>
        <w:jc w:val="both"/>
        <w:rPr>
          <w:rFonts w:ascii="Arial" w:hAnsi="Arial" w:cs="Arial"/>
        </w:rPr>
      </w:pPr>
      <w:r>
        <w:rPr>
          <w:rFonts w:ascii="Arial" w:hAnsi="Arial" w:cs="Arial"/>
          <w:b/>
          <w:bCs/>
        </w:rPr>
        <w:t>Clasificación Administrativa</w:t>
      </w:r>
      <w:r>
        <w:rPr>
          <w:rFonts w:ascii="Arial" w:hAnsi="Arial" w:cs="Arial"/>
        </w:rPr>
        <w:t>, identifica la asignación realizada al Ejecutor de gasto delimitando con precisión su responsabilidad en la gestión y rendición de cuentas de los recursos públicos.</w:t>
      </w:r>
    </w:p>
    <w:p w14:paraId="28A71231" w14:textId="77777777" w:rsidR="00C6733C" w:rsidRDefault="006D0638">
      <w:pPr>
        <w:spacing w:before="240"/>
        <w:jc w:val="both"/>
        <w:rPr>
          <w:rFonts w:ascii="Arial" w:hAnsi="Arial" w:cs="Arial"/>
          <w:lang w:bidi="es-ES"/>
        </w:rPr>
      </w:pPr>
      <w:r>
        <w:rPr>
          <w:rFonts w:ascii="Arial" w:hAnsi="Arial" w:cs="Arial"/>
          <w:lang w:bidi="es-ES"/>
        </w:rPr>
        <w:t>Para 2020, el Presupuesto d</w:t>
      </w:r>
      <w:r>
        <w:rPr>
          <w:rFonts w:ascii="Arial" w:hAnsi="Arial" w:cs="Arial"/>
          <w:lang w:bidi="es-ES"/>
        </w:rPr>
        <w:t xml:space="preserve">e Egresos que se destina a los Organismos Públicos Descentralizados asciende a 36 mil 938 millones de pesos, esto es 48.60 por ciento del total del presupuesto del Estado. A la Administración Pública Centralizada se asignaron 19 mil 402 millones de pesos, </w:t>
      </w:r>
      <w:r>
        <w:rPr>
          <w:rFonts w:ascii="Arial" w:hAnsi="Arial" w:cs="Arial"/>
          <w:lang w:bidi="es-ES"/>
        </w:rPr>
        <w:t>lo que representa el 25.53 por ciento del total; comparado con el importe aprobado para 2019 esta cifra representa un crecimiento de 13.18 por ciento. A Municipios 15 mil 809 millones de pesos, es decir, 20.80 por ciento del total; comparado con el importe</w:t>
      </w:r>
      <w:r>
        <w:rPr>
          <w:rFonts w:ascii="Arial" w:hAnsi="Arial" w:cs="Arial"/>
          <w:lang w:bidi="es-ES"/>
        </w:rPr>
        <w:t xml:space="preserve"> aprobado para 2019 representa un crecimiento de 12.42 por ciento. A los Órganos Autónomos 2 mil 189 millones de pesos, lo que representa el 2.88 por ciento del total y un incremento con respecto a 2019 de 4.14 por ciento. El Poder Judicial del Estado cuen</w:t>
      </w:r>
      <w:r>
        <w:rPr>
          <w:rFonts w:ascii="Arial" w:hAnsi="Arial" w:cs="Arial"/>
          <w:lang w:bidi="es-ES"/>
        </w:rPr>
        <w:t>ta con una asignación de 965 millones de pesos, esto es 1.27 por ciento del total. El presupuesto del Poder Legislativo es por 521 millones de pesos que representa el 0.69 por ciento del total y un incremento de 4.31 por ciento en relación a 2019; a Fideic</w:t>
      </w:r>
      <w:r>
        <w:rPr>
          <w:rFonts w:ascii="Arial" w:hAnsi="Arial" w:cs="Arial"/>
          <w:lang w:bidi="es-ES"/>
        </w:rPr>
        <w:t>omisos Públicos se destinan recursos por 16 millones de pesos; y, para Instituciones Públicas de Seguridad Social se destinan 165 millones de pesos.</w:t>
      </w:r>
    </w:p>
    <w:p w14:paraId="2C719E58" w14:textId="77777777" w:rsidR="00C6733C" w:rsidRDefault="00C6733C">
      <w:pPr>
        <w:spacing w:before="240"/>
        <w:jc w:val="both"/>
        <w:rPr>
          <w:rFonts w:ascii="Arial" w:hAnsi="Arial" w:cs="Arial"/>
          <w:lang w:bidi="es-ES"/>
        </w:rPr>
      </w:pPr>
    </w:p>
    <w:p w14:paraId="1DD466D2" w14:textId="77777777" w:rsidR="00C6733C" w:rsidRDefault="006D0638">
      <w:pPr>
        <w:tabs>
          <w:tab w:val="left" w:pos="1352"/>
        </w:tabs>
        <w:jc w:val="center"/>
        <w:rPr>
          <w:rFonts w:cstheme="minorHAnsi"/>
        </w:rPr>
      </w:pPr>
      <w:r>
        <w:rPr>
          <w:rFonts w:cstheme="minorHAnsi"/>
          <w:noProof/>
          <w:lang w:bidi="ar-SA"/>
        </w:rPr>
        <w:lastRenderedPageBreak/>
        <w:drawing>
          <wp:anchor distT="0" distB="0" distL="114300" distR="114300" simplePos="0" relativeHeight="251634688" behindDoc="0" locked="0" layoutInCell="1" allowOverlap="1" wp14:anchorId="58340982" wp14:editId="5F5DA993">
            <wp:simplePos x="0" y="0"/>
            <wp:positionH relativeFrom="column">
              <wp:posOffset>2905760</wp:posOffset>
            </wp:positionH>
            <wp:positionV relativeFrom="paragraph">
              <wp:posOffset>2211070</wp:posOffset>
            </wp:positionV>
            <wp:extent cx="2377440" cy="556895"/>
            <wp:effectExtent l="0" t="0" r="3810" b="0"/>
            <wp:wrapNone/>
            <wp:docPr id="624" name="Imagen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57647"/>
                    <a:stretch/>
                  </pic:blipFill>
                  <pic:spPr bwMode="auto">
                    <a:xfrm>
                      <a:off x="0" y="0"/>
                      <a:ext cx="2377440" cy="556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bidi="ar-SA"/>
        </w:rPr>
        <w:drawing>
          <wp:inline distT="0" distB="0" distL="0" distR="0" wp14:anchorId="273F5514" wp14:editId="43AFB097">
            <wp:extent cx="3821373" cy="2129050"/>
            <wp:effectExtent l="0" t="0" r="8255" b="5080"/>
            <wp:docPr id="1" name="Gráfico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793963" w14:textId="77777777" w:rsidR="00C6733C" w:rsidRDefault="006D0638">
      <w:pPr>
        <w:rPr>
          <w:rFonts w:cstheme="minorHAnsi"/>
          <w:sz w:val="20"/>
          <w:szCs w:val="20"/>
        </w:rPr>
      </w:pPr>
      <w:r>
        <w:rPr>
          <w:rFonts w:cstheme="minorHAnsi"/>
          <w:noProof/>
          <w:lang w:bidi="ar-SA"/>
        </w:rPr>
        <w:drawing>
          <wp:anchor distT="0" distB="0" distL="114300" distR="114300" simplePos="0" relativeHeight="251632640" behindDoc="0" locked="0" layoutInCell="1" allowOverlap="1" wp14:anchorId="46165FE8" wp14:editId="636A12F5">
            <wp:simplePos x="0" y="0"/>
            <wp:positionH relativeFrom="column">
              <wp:posOffset>772795</wp:posOffset>
            </wp:positionH>
            <wp:positionV relativeFrom="paragraph">
              <wp:posOffset>81280</wp:posOffset>
            </wp:positionV>
            <wp:extent cx="2258060" cy="548640"/>
            <wp:effectExtent l="0" t="0" r="0" b="0"/>
            <wp:wrapNone/>
            <wp:docPr id="620" name="Imagen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59772"/>
                    <a:stretch/>
                  </pic:blipFill>
                  <pic:spPr bwMode="auto">
                    <a:xfrm>
                      <a:off x="0" y="0"/>
                      <a:ext cx="2258060"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9B8685" w14:textId="77777777" w:rsidR="00C6733C" w:rsidRDefault="00C6733C">
      <w:pPr>
        <w:spacing w:before="240"/>
        <w:rPr>
          <w:rFonts w:cstheme="minorHAnsi"/>
          <w:b/>
          <w:bCs/>
          <w:sz w:val="2"/>
          <w:szCs w:val="2"/>
        </w:rPr>
      </w:pPr>
    </w:p>
    <w:p w14:paraId="32848A63" w14:textId="77777777" w:rsidR="00C6733C" w:rsidRDefault="00C6733C">
      <w:pPr>
        <w:spacing w:before="240"/>
        <w:ind w:left="708" w:firstLine="708"/>
        <w:rPr>
          <w:rFonts w:cstheme="minorHAnsi"/>
          <w:b/>
          <w:bCs/>
          <w:sz w:val="20"/>
          <w:szCs w:val="20"/>
        </w:rPr>
      </w:pPr>
    </w:p>
    <w:p w14:paraId="21BDCB4A" w14:textId="77777777" w:rsidR="00C6733C" w:rsidRDefault="006D0638">
      <w:pPr>
        <w:spacing w:before="240"/>
        <w:ind w:left="708" w:firstLine="708"/>
        <w:rPr>
          <w:rFonts w:cstheme="minorHAnsi"/>
          <w:sz w:val="20"/>
          <w:szCs w:val="20"/>
        </w:rPr>
      </w:pPr>
      <w:r>
        <w:rPr>
          <w:rFonts w:cstheme="minorHAnsi"/>
          <w:b/>
          <w:bCs/>
          <w:sz w:val="20"/>
          <w:szCs w:val="20"/>
        </w:rPr>
        <w:t>Fuente:</w:t>
      </w:r>
      <w:r>
        <w:rPr>
          <w:rFonts w:cstheme="minorHAnsi"/>
          <w:sz w:val="20"/>
          <w:szCs w:val="20"/>
        </w:rPr>
        <w:t xml:space="preserve"> Secretaría de Finanzas del Estado de Oaxaca (2019).</w:t>
      </w:r>
    </w:p>
    <w:p w14:paraId="092C88C3" w14:textId="77777777" w:rsidR="00C6733C" w:rsidRDefault="00C6733C">
      <w:pPr>
        <w:tabs>
          <w:tab w:val="left" w:pos="1665"/>
        </w:tabs>
        <w:rPr>
          <w:rFonts w:cstheme="minorHAnsi"/>
        </w:rPr>
      </w:pPr>
    </w:p>
    <w:p w14:paraId="0C876122" w14:textId="77777777" w:rsidR="00C6733C" w:rsidRDefault="006D0638">
      <w:pPr>
        <w:tabs>
          <w:tab w:val="left" w:pos="1665"/>
        </w:tabs>
        <w:spacing w:after="200"/>
        <w:jc w:val="both"/>
        <w:rPr>
          <w:rFonts w:ascii="Arial" w:hAnsi="Arial" w:cs="Arial"/>
        </w:rPr>
      </w:pPr>
      <w:r>
        <w:rPr>
          <w:rFonts w:ascii="Arial" w:hAnsi="Arial" w:cs="Arial"/>
          <w:b/>
          <w:bCs/>
        </w:rPr>
        <w:t xml:space="preserve">La clasificación funcional y </w:t>
      </w:r>
      <w:r>
        <w:rPr>
          <w:rFonts w:ascii="Arial" w:hAnsi="Arial" w:cs="Arial"/>
          <w:b/>
          <w:bCs/>
        </w:rPr>
        <w:t>programática</w:t>
      </w:r>
      <w:r>
        <w:rPr>
          <w:rFonts w:ascii="Arial" w:hAnsi="Arial" w:cs="Arial"/>
        </w:rPr>
        <w:t>, agrupa los programas y actividades de gobierno ordenadas en forma coherente, definiendo las acciones que conllevan a alcanzar objetivos y metas alineados a la clasificación funcional emitida por el CONAC y con el PED.</w:t>
      </w:r>
    </w:p>
    <w:p w14:paraId="40A602FC" w14:textId="77777777" w:rsidR="00C6733C" w:rsidRDefault="00C6733C">
      <w:pPr>
        <w:tabs>
          <w:tab w:val="left" w:pos="1665"/>
        </w:tabs>
        <w:spacing w:after="200"/>
        <w:jc w:val="both"/>
        <w:rPr>
          <w:rFonts w:ascii="Arial" w:hAnsi="Arial" w:cs="Arial"/>
        </w:rPr>
      </w:pPr>
    </w:p>
    <w:p w14:paraId="3BCD48C7" w14:textId="77777777" w:rsidR="00C6733C" w:rsidRDefault="006D0638">
      <w:pPr>
        <w:jc w:val="both"/>
        <w:rPr>
          <w:rFonts w:ascii="Arial" w:hAnsi="Arial" w:cs="Arial"/>
          <w:lang w:bidi="es-ES"/>
        </w:rPr>
      </w:pPr>
      <w:r>
        <w:rPr>
          <w:rFonts w:ascii="Arial" w:hAnsi="Arial" w:cs="Arial"/>
          <w:lang w:bidi="es-ES"/>
        </w:rPr>
        <w:t>Esta clasificación iden</w:t>
      </w:r>
      <w:r>
        <w:rPr>
          <w:rFonts w:ascii="Arial" w:hAnsi="Arial" w:cs="Arial"/>
          <w:lang w:bidi="es-ES"/>
        </w:rPr>
        <w:t>tifica los objetivos que se lograrán durante el Ejercicio Fiscal 2020, por lo que será de gran utilidad para el seguimiento y evaluación del desempeño institucional, atendiendo a los resultados del gasto público en cada una de las etapas del proceso presup</w:t>
      </w:r>
      <w:r>
        <w:rPr>
          <w:rFonts w:ascii="Arial" w:hAnsi="Arial" w:cs="Arial"/>
          <w:lang w:bidi="es-ES"/>
        </w:rPr>
        <w:t>uestario, de conformidad con las políticas definidas. Las cuatro finalidades de la clasificación funcional son: Gobierno, Desarrollo social, Desarrollo económico, y Otras no clasificadas en funciones anteriores.</w:t>
      </w:r>
    </w:p>
    <w:p w14:paraId="4D6DBBDB" w14:textId="77777777" w:rsidR="00C6733C" w:rsidRDefault="00C6733C">
      <w:pPr>
        <w:jc w:val="both"/>
        <w:rPr>
          <w:rFonts w:ascii="Arial" w:hAnsi="Arial" w:cs="Arial"/>
          <w:lang w:bidi="es-ES"/>
        </w:rPr>
      </w:pPr>
    </w:p>
    <w:p w14:paraId="05CC97EE" w14:textId="77777777" w:rsidR="00C6733C" w:rsidRDefault="006D0638">
      <w:pPr>
        <w:spacing w:before="240"/>
        <w:jc w:val="both"/>
        <w:rPr>
          <w:rFonts w:ascii="Arial" w:hAnsi="Arial" w:cs="Arial"/>
          <w:lang w:bidi="es-ES"/>
        </w:rPr>
      </w:pPr>
      <w:r>
        <w:rPr>
          <w:rFonts w:ascii="Arial" w:hAnsi="Arial" w:cs="Arial"/>
          <w:lang w:bidi="es-ES"/>
        </w:rPr>
        <w:t>En cuanto a Gobierno, para el ejercicio 202</w:t>
      </w:r>
      <w:r>
        <w:rPr>
          <w:rFonts w:ascii="Arial" w:hAnsi="Arial" w:cs="Arial"/>
          <w:lang w:bidi="es-ES"/>
        </w:rPr>
        <w:t>0 se prevén 9 mil 369 millones de pesos, cantidad que representa 12.33 por ciento del total. En cuanto a Desarrollo social, se prevén 44 mil 732 millones de pesos, cantidad que representa 58.85 por ciento del total; comparada con el importe aprobado para 2</w:t>
      </w:r>
      <w:r>
        <w:rPr>
          <w:rFonts w:ascii="Arial" w:hAnsi="Arial" w:cs="Arial"/>
          <w:lang w:bidi="es-ES"/>
        </w:rPr>
        <w:t>019 representa un crecimiento de 11.99 por ciento.</w:t>
      </w:r>
    </w:p>
    <w:p w14:paraId="14ED30FF" w14:textId="77777777" w:rsidR="00C6733C" w:rsidRDefault="00C6733C">
      <w:pPr>
        <w:spacing w:before="240"/>
        <w:jc w:val="both"/>
        <w:rPr>
          <w:rFonts w:ascii="Arial" w:hAnsi="Arial" w:cs="Arial"/>
          <w:lang w:bidi="es-ES"/>
        </w:rPr>
      </w:pPr>
    </w:p>
    <w:p w14:paraId="6A7D6E91" w14:textId="77777777" w:rsidR="00C6733C" w:rsidRDefault="006D0638">
      <w:pPr>
        <w:spacing w:before="240"/>
        <w:jc w:val="both"/>
        <w:rPr>
          <w:rFonts w:ascii="Arial" w:hAnsi="Arial" w:cs="Arial"/>
          <w:lang w:bidi="es-ES"/>
        </w:rPr>
      </w:pPr>
      <w:r>
        <w:rPr>
          <w:rFonts w:ascii="Arial" w:hAnsi="Arial" w:cs="Arial"/>
          <w:lang w:bidi="es-ES"/>
        </w:rPr>
        <w:t>A Desarrollo económico, para el ejercicio 2020 se prevén 2 mil 218 millones de pesos, cantidad que representa 2.92 por ciento del total y un incremento con respecto al año anterior de 5.19 por ciento. Por</w:t>
      </w:r>
      <w:r>
        <w:rPr>
          <w:rFonts w:ascii="Arial" w:hAnsi="Arial" w:cs="Arial"/>
          <w:lang w:bidi="es-ES"/>
        </w:rPr>
        <w:t xml:space="preserve"> último, en el rubro de Otras clasificaciones, se destinan 19 mil 688 millones de pesos, mismo que representa un 25.95 por ciento del total.</w:t>
      </w:r>
    </w:p>
    <w:p w14:paraId="690798E6" w14:textId="77777777" w:rsidR="00C6733C" w:rsidRDefault="006D0638">
      <w:pPr>
        <w:spacing w:before="240"/>
        <w:jc w:val="center"/>
        <w:rPr>
          <w:rFonts w:cstheme="minorHAnsi"/>
          <w:lang w:bidi="es-ES"/>
        </w:rPr>
      </w:pPr>
      <w:r>
        <w:rPr>
          <w:noProof/>
          <w:lang w:bidi="ar-SA"/>
        </w:rPr>
        <w:lastRenderedPageBreak/>
        <w:drawing>
          <wp:inline distT="0" distB="0" distL="0" distR="0" wp14:anchorId="77662C60" wp14:editId="25C143E1">
            <wp:extent cx="4408098" cy="2035810"/>
            <wp:effectExtent l="0" t="0" r="12065" b="2540"/>
            <wp:docPr id="6" name="Gráfico 6">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81A2CB" w14:textId="77777777" w:rsidR="00C6733C" w:rsidRDefault="006D0638">
      <w:pPr>
        <w:ind w:left="708" w:firstLine="708"/>
        <w:rPr>
          <w:rFonts w:cstheme="minorHAnsi"/>
          <w:sz w:val="18"/>
          <w:szCs w:val="18"/>
        </w:rPr>
      </w:pPr>
      <w:r>
        <w:rPr>
          <w:rFonts w:cstheme="minorHAnsi"/>
          <w:b/>
          <w:sz w:val="18"/>
          <w:szCs w:val="18"/>
        </w:rPr>
        <w:t>Fuente:</w:t>
      </w:r>
      <w:r>
        <w:rPr>
          <w:rFonts w:cstheme="minorHAnsi"/>
          <w:bCs/>
          <w:sz w:val="18"/>
          <w:szCs w:val="18"/>
        </w:rPr>
        <w:t xml:space="preserve"> Secretaría</w:t>
      </w:r>
      <w:r>
        <w:rPr>
          <w:rFonts w:cstheme="minorHAnsi"/>
          <w:sz w:val="18"/>
          <w:szCs w:val="18"/>
        </w:rPr>
        <w:t xml:space="preserve"> de Finanzas del Estado de Oaxaca (2019).</w:t>
      </w:r>
    </w:p>
    <w:p w14:paraId="7F4F2D85" w14:textId="77777777" w:rsidR="00C6733C" w:rsidRDefault="00C6733C">
      <w:pPr>
        <w:jc w:val="both"/>
        <w:rPr>
          <w:rFonts w:cstheme="minorHAnsi"/>
          <w:b/>
          <w:bCs/>
        </w:rPr>
      </w:pPr>
    </w:p>
    <w:p w14:paraId="1B92371D" w14:textId="77777777" w:rsidR="00C6733C" w:rsidRDefault="006D0638">
      <w:pPr>
        <w:jc w:val="both"/>
        <w:rPr>
          <w:rFonts w:ascii="Arial" w:hAnsi="Arial" w:cs="Arial"/>
        </w:rPr>
      </w:pPr>
      <w:r>
        <w:rPr>
          <w:rFonts w:ascii="Arial" w:hAnsi="Arial" w:cs="Arial"/>
          <w:b/>
          <w:bCs/>
        </w:rPr>
        <w:t>La clasificación por tipo de gasto</w:t>
      </w:r>
      <w:r>
        <w:rPr>
          <w:rFonts w:ascii="Arial" w:hAnsi="Arial" w:cs="Arial"/>
        </w:rPr>
        <w:t xml:space="preserve">, agrupa a las </w:t>
      </w:r>
      <w:r>
        <w:rPr>
          <w:rFonts w:ascii="Arial" w:hAnsi="Arial" w:cs="Arial"/>
        </w:rPr>
        <w:t>previsiones de gasto en función de su naturaleza económica en erogaciones corrientes, de capital, amortización de la deuda, pensiones y jubilaciones, y participaciones.</w:t>
      </w:r>
    </w:p>
    <w:p w14:paraId="5359074F" w14:textId="77777777" w:rsidR="00C6733C" w:rsidRDefault="00C6733C">
      <w:pPr>
        <w:jc w:val="both"/>
        <w:rPr>
          <w:rFonts w:ascii="Arial" w:hAnsi="Arial" w:cs="Arial"/>
          <w:sz w:val="18"/>
          <w:szCs w:val="18"/>
        </w:rPr>
      </w:pPr>
    </w:p>
    <w:p w14:paraId="197A4F3F" w14:textId="77777777" w:rsidR="00C6733C" w:rsidRDefault="006D0638">
      <w:pPr>
        <w:spacing w:before="240"/>
        <w:jc w:val="both"/>
        <w:rPr>
          <w:rFonts w:ascii="Arial" w:hAnsi="Arial" w:cs="Arial"/>
          <w:lang w:bidi="es-ES"/>
        </w:rPr>
      </w:pPr>
      <w:r>
        <w:rPr>
          <w:rFonts w:ascii="Arial" w:hAnsi="Arial" w:cs="Arial"/>
          <w:lang w:bidi="es-ES"/>
        </w:rPr>
        <w:t>Para el ejercicio 2020, el Gasto Corriente asciende a 53 mil 925 millones de pesos, es</w:t>
      </w:r>
      <w:r>
        <w:rPr>
          <w:rFonts w:ascii="Arial" w:hAnsi="Arial" w:cs="Arial"/>
          <w:lang w:bidi="es-ES"/>
        </w:rPr>
        <w:t xml:space="preserve">to es 70.95 por ciento del total; comparada con el importe aprobado para 2019 esta cifra representa un crecimiento de 12.34 por ciento. Para Gasto de Capital se tienen proyectados 12 mil 169 millones de pesos, lo que representa 16.01 por ciento del total; </w:t>
      </w:r>
      <w:r>
        <w:rPr>
          <w:rFonts w:ascii="Arial" w:hAnsi="Arial" w:cs="Arial"/>
          <w:lang w:bidi="es-ES"/>
        </w:rPr>
        <w:t xml:space="preserve">comparada con el importe aprobado para 2019 esta cifra representa un incremento de 7.07 por ciento. Para la Amortización de la deuda y disminución de pasivos 3 mil 887 millones de pesos, esto es 5.11 por ciento del total; comparada con el importe aprobado </w:t>
      </w:r>
      <w:r>
        <w:rPr>
          <w:rFonts w:ascii="Arial" w:hAnsi="Arial" w:cs="Arial"/>
          <w:lang w:bidi="es-ES"/>
        </w:rPr>
        <w:t xml:space="preserve">para 2019 esta cifra representa un decremento de 0.11 por ciento. Para Pensiones y Jubilaciones se consideran 514 millones de pesos, esto es el 0.68 por ciento del total y representa un incremento de 5.19 por ciento con el año anterior. </w:t>
      </w:r>
      <w:r>
        <w:rPr>
          <w:rFonts w:ascii="Arial" w:hAnsi="Arial" w:cs="Arial"/>
        </w:rPr>
        <w:t>En el rubro de Part</w:t>
      </w:r>
      <w:r>
        <w:rPr>
          <w:rFonts w:ascii="Arial" w:hAnsi="Arial" w:cs="Arial"/>
        </w:rPr>
        <w:t>icipaciones se registra en 2020 un monto de 5 mil 510 millones de pesos, esto es el 7.25 por ciento del total y un incremento de 5.38 por ciento con respecto a 2019.</w:t>
      </w:r>
    </w:p>
    <w:p w14:paraId="043EECCC" w14:textId="77777777" w:rsidR="00C6733C" w:rsidRDefault="006D0638">
      <w:pPr>
        <w:jc w:val="center"/>
        <w:rPr>
          <w:rFonts w:cstheme="minorHAnsi"/>
          <w:lang w:bidi="es-ES"/>
        </w:rPr>
      </w:pPr>
      <w:bookmarkStart w:id="0" w:name="_Hlk23955041"/>
      <w:r>
        <w:rPr>
          <w:noProof/>
          <w:lang w:bidi="ar-SA"/>
        </w:rPr>
        <w:lastRenderedPageBreak/>
        <w:drawing>
          <wp:inline distT="0" distB="0" distL="0" distR="0" wp14:anchorId="0255E2E3" wp14:editId="33EDD144">
            <wp:extent cx="4597400" cy="2596551"/>
            <wp:effectExtent l="0" t="0" r="12700" b="13335"/>
            <wp:docPr id="8" name="Gráfico 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0EF777" w14:textId="77777777" w:rsidR="00C6733C" w:rsidRDefault="006D0638">
      <w:pPr>
        <w:jc w:val="both"/>
        <w:rPr>
          <w:rFonts w:cstheme="minorHAnsi"/>
          <w:lang w:bidi="es-ES"/>
        </w:rPr>
      </w:pPr>
      <w:r>
        <w:rPr>
          <w:rFonts w:cstheme="minorHAnsi"/>
          <w:b/>
          <w:sz w:val="18"/>
          <w:szCs w:val="18"/>
        </w:rPr>
        <w:t xml:space="preserve">                           Fuente:</w:t>
      </w:r>
      <w:r>
        <w:rPr>
          <w:rFonts w:cstheme="minorHAnsi"/>
          <w:bCs/>
          <w:sz w:val="18"/>
          <w:szCs w:val="18"/>
        </w:rPr>
        <w:t xml:space="preserve"> Secretaría de Finanzas del Estado de Oaxaca (2019).</w:t>
      </w:r>
    </w:p>
    <w:p w14:paraId="42389AA0" w14:textId="77777777" w:rsidR="00C6733C" w:rsidRDefault="00C6733C">
      <w:pPr>
        <w:jc w:val="both"/>
        <w:rPr>
          <w:rFonts w:cstheme="minorHAnsi"/>
          <w:lang w:bidi="es-ES"/>
        </w:rPr>
      </w:pPr>
    </w:p>
    <w:p w14:paraId="1090B27C" w14:textId="77777777" w:rsidR="00C6733C" w:rsidRDefault="006D0638">
      <w:pPr>
        <w:jc w:val="both"/>
        <w:rPr>
          <w:rFonts w:ascii="Arial" w:hAnsi="Arial" w:cs="Arial"/>
          <w:lang w:bidi="es-ES"/>
        </w:rPr>
      </w:pPr>
      <w:r>
        <w:rPr>
          <w:rFonts w:ascii="Arial" w:hAnsi="Arial" w:cs="Arial"/>
          <w:lang w:bidi="es-ES"/>
        </w:rPr>
        <w:t>Para prerrogativas a partidos políticos el presupuesto de egresos que se presenta garantiza el financiamiento público por un importe de $164,286,735.14 (Ciento sesenta y cuatro millones, doscientos ochenta y seis mil, setecientos treinta y cinco pesos 14/1</w:t>
      </w:r>
      <w:r>
        <w:rPr>
          <w:rFonts w:ascii="Arial" w:hAnsi="Arial" w:cs="Arial"/>
          <w:lang w:bidi="es-ES"/>
        </w:rPr>
        <w:t>00 M.N.)</w:t>
      </w:r>
      <w:r>
        <w:rPr>
          <w:rFonts w:ascii="Arial" w:hAnsi="Arial" w:cs="Arial"/>
        </w:rPr>
        <w:t xml:space="preserve">, </w:t>
      </w:r>
      <w:r>
        <w:rPr>
          <w:rFonts w:ascii="Arial" w:hAnsi="Arial" w:cs="Arial"/>
          <w:lang w:bidi="es-ES"/>
        </w:rPr>
        <w:t>mismo que atendiendo al artículo 41 de la Constitución Política de los Estados Unidos Mexicanos (CPEUM) y al artículo 51 de la Ley General de Partidos Políticos (LGPP), se integra de la siguiente forma:</w:t>
      </w:r>
    </w:p>
    <w:p w14:paraId="1A1C0808" w14:textId="77777777" w:rsidR="00C6733C" w:rsidRDefault="00C6733C">
      <w:pPr>
        <w:jc w:val="both"/>
        <w:rPr>
          <w:rFonts w:cstheme="minorHAnsi"/>
        </w:rPr>
      </w:pPr>
    </w:p>
    <w:tbl>
      <w:tblPr>
        <w:tblW w:w="4340" w:type="dxa"/>
        <w:jc w:val="center"/>
        <w:tblCellMar>
          <w:left w:w="70" w:type="dxa"/>
          <w:right w:w="70" w:type="dxa"/>
        </w:tblCellMar>
        <w:tblLook w:val="04A0" w:firstRow="1" w:lastRow="0" w:firstColumn="1" w:lastColumn="0" w:noHBand="0" w:noVBand="1"/>
      </w:tblPr>
      <w:tblGrid>
        <w:gridCol w:w="2689"/>
        <w:gridCol w:w="1651"/>
      </w:tblGrid>
      <w:tr w:rsidR="00C6733C" w14:paraId="28BD9CB5" w14:textId="77777777">
        <w:trPr>
          <w:trHeight w:val="315"/>
          <w:jc w:val="center"/>
        </w:trPr>
        <w:tc>
          <w:tcPr>
            <w:tcW w:w="4340" w:type="dxa"/>
            <w:gridSpan w:val="2"/>
            <w:tcBorders>
              <w:top w:val="single" w:sz="8" w:space="0" w:color="auto"/>
              <w:left w:val="single" w:sz="8" w:space="0" w:color="auto"/>
              <w:bottom w:val="single" w:sz="8" w:space="0" w:color="auto"/>
              <w:right w:val="single" w:sz="8" w:space="0" w:color="000000"/>
            </w:tcBorders>
            <w:shd w:val="clear" w:color="000000" w:fill="A8D08D"/>
            <w:vAlign w:val="center"/>
            <w:hideMark/>
          </w:tcPr>
          <w:p w14:paraId="406CCB3C" w14:textId="77777777" w:rsidR="00C6733C" w:rsidRDefault="006D0638">
            <w:pPr>
              <w:jc w:val="center"/>
              <w:rPr>
                <w:rFonts w:eastAsia="Times New Roman"/>
                <w:b/>
                <w:bCs/>
                <w:color w:val="000000"/>
              </w:rPr>
            </w:pPr>
            <w:r>
              <w:rPr>
                <w:rFonts w:eastAsia="Times New Roman"/>
                <w:b/>
                <w:bCs/>
                <w:color w:val="000000"/>
              </w:rPr>
              <w:t>PRERROGATIVAS DE LEY 2020</w:t>
            </w:r>
          </w:p>
        </w:tc>
      </w:tr>
      <w:tr w:rsidR="00C6733C" w14:paraId="170EE536" w14:textId="77777777">
        <w:trPr>
          <w:trHeight w:val="315"/>
          <w:jc w:val="center"/>
        </w:trPr>
        <w:tc>
          <w:tcPr>
            <w:tcW w:w="2799" w:type="dxa"/>
            <w:tcBorders>
              <w:top w:val="nil"/>
              <w:left w:val="single" w:sz="8" w:space="0" w:color="auto"/>
              <w:bottom w:val="single" w:sz="8" w:space="0" w:color="auto"/>
              <w:right w:val="single" w:sz="8" w:space="0" w:color="auto"/>
            </w:tcBorders>
            <w:shd w:val="clear" w:color="auto" w:fill="auto"/>
            <w:vAlign w:val="center"/>
            <w:hideMark/>
          </w:tcPr>
          <w:p w14:paraId="0D31926A" w14:textId="77777777" w:rsidR="00C6733C" w:rsidRDefault="006D0638">
            <w:pPr>
              <w:rPr>
                <w:rFonts w:eastAsia="Times New Roman"/>
                <w:color w:val="000000"/>
              </w:rPr>
            </w:pPr>
            <w:r>
              <w:rPr>
                <w:rFonts w:eastAsia="Times New Roman"/>
                <w:color w:val="000000"/>
              </w:rPr>
              <w:t>Financiamiento Ordinario</w:t>
            </w:r>
          </w:p>
        </w:tc>
        <w:tc>
          <w:tcPr>
            <w:tcW w:w="1541" w:type="dxa"/>
            <w:tcBorders>
              <w:top w:val="nil"/>
              <w:left w:val="nil"/>
              <w:bottom w:val="single" w:sz="8" w:space="0" w:color="auto"/>
              <w:right w:val="single" w:sz="8" w:space="0" w:color="auto"/>
            </w:tcBorders>
            <w:shd w:val="clear" w:color="auto" w:fill="auto"/>
            <w:vAlign w:val="center"/>
            <w:hideMark/>
          </w:tcPr>
          <w:p w14:paraId="41CAAB00" w14:textId="77777777" w:rsidR="00C6733C" w:rsidRDefault="006D0638">
            <w:pPr>
              <w:jc w:val="right"/>
              <w:rPr>
                <w:rFonts w:eastAsia="Times New Roman"/>
                <w:color w:val="000000"/>
              </w:rPr>
            </w:pPr>
            <w:r>
              <w:rPr>
                <w:rFonts w:eastAsia="Times New Roman"/>
                <w:color w:val="000000"/>
              </w:rPr>
              <w:t>$159,501,684.60</w:t>
            </w:r>
          </w:p>
        </w:tc>
      </w:tr>
      <w:tr w:rsidR="00C6733C" w14:paraId="48FAFAAD" w14:textId="77777777">
        <w:trPr>
          <w:trHeight w:val="315"/>
          <w:jc w:val="center"/>
        </w:trPr>
        <w:tc>
          <w:tcPr>
            <w:tcW w:w="2799" w:type="dxa"/>
            <w:tcBorders>
              <w:top w:val="nil"/>
              <w:left w:val="single" w:sz="8" w:space="0" w:color="auto"/>
              <w:bottom w:val="single" w:sz="8" w:space="0" w:color="auto"/>
              <w:right w:val="single" w:sz="8" w:space="0" w:color="auto"/>
            </w:tcBorders>
            <w:shd w:val="clear" w:color="auto" w:fill="auto"/>
            <w:vAlign w:val="center"/>
            <w:hideMark/>
          </w:tcPr>
          <w:p w14:paraId="317C03A9" w14:textId="77777777" w:rsidR="00C6733C" w:rsidRDefault="006D0638">
            <w:pPr>
              <w:rPr>
                <w:rFonts w:eastAsia="Times New Roman"/>
                <w:color w:val="000000"/>
              </w:rPr>
            </w:pPr>
            <w:r>
              <w:rPr>
                <w:rFonts w:eastAsia="Times New Roman"/>
                <w:color w:val="000000"/>
              </w:rPr>
              <w:t>Actividades Específicas</w:t>
            </w:r>
          </w:p>
        </w:tc>
        <w:tc>
          <w:tcPr>
            <w:tcW w:w="1541" w:type="dxa"/>
            <w:tcBorders>
              <w:top w:val="nil"/>
              <w:left w:val="nil"/>
              <w:bottom w:val="single" w:sz="8" w:space="0" w:color="auto"/>
              <w:right w:val="single" w:sz="8" w:space="0" w:color="auto"/>
            </w:tcBorders>
            <w:shd w:val="clear" w:color="auto" w:fill="auto"/>
            <w:vAlign w:val="center"/>
            <w:hideMark/>
          </w:tcPr>
          <w:p w14:paraId="7DA54953" w14:textId="77777777" w:rsidR="00C6733C" w:rsidRDefault="006D0638">
            <w:pPr>
              <w:jc w:val="right"/>
              <w:rPr>
                <w:rFonts w:eastAsia="Times New Roman"/>
                <w:color w:val="000000"/>
              </w:rPr>
            </w:pPr>
            <w:r>
              <w:rPr>
                <w:rFonts w:eastAsia="Times New Roman"/>
                <w:color w:val="000000"/>
              </w:rPr>
              <w:t>4,785,050.54</w:t>
            </w:r>
          </w:p>
        </w:tc>
      </w:tr>
      <w:tr w:rsidR="00C6733C" w14:paraId="177B308F" w14:textId="77777777">
        <w:trPr>
          <w:trHeight w:val="315"/>
          <w:jc w:val="center"/>
        </w:trPr>
        <w:tc>
          <w:tcPr>
            <w:tcW w:w="2799" w:type="dxa"/>
            <w:tcBorders>
              <w:top w:val="nil"/>
              <w:left w:val="single" w:sz="8" w:space="0" w:color="auto"/>
              <w:bottom w:val="single" w:sz="8" w:space="0" w:color="auto"/>
              <w:right w:val="single" w:sz="8" w:space="0" w:color="auto"/>
            </w:tcBorders>
            <w:shd w:val="clear" w:color="auto" w:fill="auto"/>
            <w:vAlign w:val="center"/>
            <w:hideMark/>
          </w:tcPr>
          <w:p w14:paraId="5F6F8CB2" w14:textId="77777777" w:rsidR="00C6733C" w:rsidRDefault="006D0638">
            <w:pPr>
              <w:rPr>
                <w:rFonts w:eastAsia="Times New Roman"/>
                <w:b/>
                <w:bCs/>
                <w:color w:val="000000"/>
              </w:rPr>
            </w:pPr>
            <w:r>
              <w:rPr>
                <w:rFonts w:eastAsia="Times New Roman"/>
                <w:b/>
                <w:bCs/>
                <w:color w:val="000000"/>
              </w:rPr>
              <w:t>Total</w:t>
            </w:r>
          </w:p>
        </w:tc>
        <w:tc>
          <w:tcPr>
            <w:tcW w:w="1541" w:type="dxa"/>
            <w:tcBorders>
              <w:top w:val="nil"/>
              <w:left w:val="nil"/>
              <w:bottom w:val="single" w:sz="8" w:space="0" w:color="auto"/>
              <w:right w:val="single" w:sz="8" w:space="0" w:color="auto"/>
            </w:tcBorders>
            <w:shd w:val="clear" w:color="auto" w:fill="auto"/>
            <w:vAlign w:val="center"/>
            <w:hideMark/>
          </w:tcPr>
          <w:p w14:paraId="55757E4D" w14:textId="77777777" w:rsidR="00C6733C" w:rsidRDefault="006D0638">
            <w:pPr>
              <w:jc w:val="right"/>
              <w:rPr>
                <w:rFonts w:eastAsia="Times New Roman"/>
                <w:b/>
                <w:bCs/>
                <w:color w:val="000000"/>
              </w:rPr>
            </w:pPr>
            <w:r>
              <w:rPr>
                <w:rFonts w:eastAsia="Times New Roman"/>
                <w:b/>
                <w:bCs/>
                <w:color w:val="000000"/>
              </w:rPr>
              <w:t>$164,286,735.14</w:t>
            </w:r>
          </w:p>
        </w:tc>
      </w:tr>
    </w:tbl>
    <w:p w14:paraId="6C029698" w14:textId="77777777" w:rsidR="00C6733C" w:rsidRDefault="006D0638">
      <w:pPr>
        <w:jc w:val="center"/>
        <w:rPr>
          <w:rFonts w:cstheme="minorHAnsi"/>
          <w:bCs/>
          <w:sz w:val="18"/>
          <w:szCs w:val="18"/>
        </w:rPr>
      </w:pPr>
      <w:r>
        <w:rPr>
          <w:rFonts w:cstheme="minorHAnsi"/>
          <w:b/>
          <w:sz w:val="18"/>
          <w:szCs w:val="18"/>
        </w:rPr>
        <w:t>Fuente:</w:t>
      </w:r>
      <w:r>
        <w:rPr>
          <w:rFonts w:cstheme="minorHAnsi"/>
          <w:bCs/>
          <w:sz w:val="18"/>
          <w:szCs w:val="18"/>
        </w:rPr>
        <w:t xml:space="preserve"> Secretaría de Finanzas del Estado de Oaxaca (2019)</w:t>
      </w:r>
    </w:p>
    <w:p w14:paraId="3A582B59" w14:textId="77777777" w:rsidR="00C6733C" w:rsidRDefault="00C6733C">
      <w:pPr>
        <w:jc w:val="center"/>
        <w:rPr>
          <w:rFonts w:cstheme="minorHAnsi"/>
          <w:bCs/>
          <w:sz w:val="18"/>
          <w:szCs w:val="18"/>
        </w:rPr>
      </w:pPr>
    </w:p>
    <w:p w14:paraId="6383BEFC" w14:textId="77777777" w:rsidR="00C6733C" w:rsidRDefault="006D0638">
      <w:pPr>
        <w:jc w:val="both"/>
        <w:rPr>
          <w:rFonts w:ascii="Arial" w:hAnsi="Arial" w:cs="Arial"/>
          <w:lang w:bidi="es-ES"/>
        </w:rPr>
      </w:pPr>
      <w:r>
        <w:rPr>
          <w:rFonts w:ascii="Arial" w:hAnsi="Arial" w:cs="Arial"/>
          <w:lang w:bidi="es-ES"/>
        </w:rPr>
        <w:t xml:space="preserve">Con la finalidad de dar cumplimiento a lo dispuesto en los artículos 5, 9 y 10 de la Ley de </w:t>
      </w:r>
      <w:r>
        <w:rPr>
          <w:rFonts w:ascii="Arial" w:hAnsi="Arial" w:cs="Arial"/>
          <w:lang w:bidi="es-ES"/>
        </w:rPr>
        <w:t>Disciplina Financiera de las Entidades Federativas y los Municipios y 36 fracción I inciso c) de la Ley Estatal de Presupuesto y Responsabilidad Hacendaria, se precisa lo siguiente:</w:t>
      </w:r>
    </w:p>
    <w:p w14:paraId="5042B897" w14:textId="77777777" w:rsidR="00C6733C" w:rsidRDefault="006D0638">
      <w:pPr>
        <w:pStyle w:val="Prrafodelista"/>
        <w:widowControl/>
        <w:numPr>
          <w:ilvl w:val="0"/>
          <w:numId w:val="21"/>
        </w:numPr>
        <w:autoSpaceDE/>
        <w:autoSpaceDN/>
        <w:spacing w:before="240" w:after="160"/>
        <w:contextualSpacing/>
        <w:rPr>
          <w:lang w:bidi="es-ES"/>
        </w:rPr>
      </w:pPr>
      <w:r>
        <w:rPr>
          <w:lang w:bidi="es-ES"/>
        </w:rPr>
        <w:t>Se presentan a continuación el resultado de los egresos de los cinco ejerc</w:t>
      </w:r>
      <w:r>
        <w:rPr>
          <w:lang w:bidi="es-ES"/>
        </w:rPr>
        <w:t>icios anteriores, así como la proyección de cinco ejercicios posteriores al ejercicio 2020.</w:t>
      </w:r>
    </w:p>
    <w:p w14:paraId="2AB05A0A" w14:textId="77777777" w:rsidR="00C6733C" w:rsidRDefault="00C6733C">
      <w:pPr>
        <w:pStyle w:val="Prrafodelista"/>
        <w:spacing w:before="240"/>
        <w:rPr>
          <w:rFonts w:cstheme="minorHAnsi"/>
          <w:lang w:bidi="es-ES"/>
        </w:rPr>
      </w:pPr>
    </w:p>
    <w:p w14:paraId="4A7AFBA9" w14:textId="77777777" w:rsidR="00C6733C" w:rsidRDefault="006D0638">
      <w:pPr>
        <w:pStyle w:val="Prrafodelista"/>
        <w:rPr>
          <w:rFonts w:cstheme="minorHAnsi"/>
        </w:rPr>
      </w:pPr>
      <w:r>
        <w:rPr>
          <w:noProof/>
          <w:lang w:bidi="ar-SA"/>
        </w:rPr>
        <w:lastRenderedPageBreak/>
        <w:drawing>
          <wp:inline distT="0" distB="0" distL="0" distR="0" wp14:anchorId="4581FD64" wp14:editId="26E2AE16">
            <wp:extent cx="5148000" cy="285960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8000" cy="2859606"/>
                    </a:xfrm>
                    <a:prstGeom prst="rect">
                      <a:avLst/>
                    </a:prstGeom>
                    <a:noFill/>
                    <a:ln>
                      <a:noFill/>
                    </a:ln>
                  </pic:spPr>
                </pic:pic>
              </a:graphicData>
            </a:graphic>
          </wp:inline>
        </w:drawing>
      </w:r>
    </w:p>
    <w:p w14:paraId="6B156DEA" w14:textId="77777777" w:rsidR="00C6733C" w:rsidRDefault="00C6733C">
      <w:pPr>
        <w:pStyle w:val="Prrafodelista"/>
        <w:rPr>
          <w:rFonts w:cstheme="minorHAnsi"/>
        </w:rPr>
      </w:pPr>
    </w:p>
    <w:p w14:paraId="30269CF3" w14:textId="77777777" w:rsidR="00C6733C" w:rsidRDefault="006D0638">
      <w:pPr>
        <w:pStyle w:val="Prrafodelista"/>
        <w:rPr>
          <w:rFonts w:cstheme="minorHAnsi"/>
        </w:rPr>
      </w:pPr>
      <w:r>
        <w:rPr>
          <w:noProof/>
          <w:lang w:bidi="ar-SA"/>
        </w:rPr>
        <w:drawing>
          <wp:inline distT="0" distB="0" distL="0" distR="0" wp14:anchorId="613D43C7" wp14:editId="065E1591">
            <wp:extent cx="5148000" cy="280665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8000" cy="2806656"/>
                    </a:xfrm>
                    <a:prstGeom prst="rect">
                      <a:avLst/>
                    </a:prstGeom>
                    <a:noFill/>
                    <a:ln>
                      <a:noFill/>
                    </a:ln>
                  </pic:spPr>
                </pic:pic>
              </a:graphicData>
            </a:graphic>
          </wp:inline>
        </w:drawing>
      </w:r>
    </w:p>
    <w:p w14:paraId="545FE254" w14:textId="77777777" w:rsidR="00C6733C" w:rsidRDefault="006D0638">
      <w:pPr>
        <w:spacing w:before="240"/>
        <w:ind w:firstLine="708"/>
        <w:jc w:val="both"/>
        <w:rPr>
          <w:rFonts w:cstheme="minorHAnsi"/>
          <w:sz w:val="18"/>
          <w:szCs w:val="18"/>
        </w:rPr>
      </w:pPr>
      <w:r>
        <w:rPr>
          <w:rFonts w:cstheme="minorHAnsi"/>
          <w:b/>
          <w:sz w:val="18"/>
          <w:szCs w:val="18"/>
        </w:rPr>
        <w:t>Fuente:</w:t>
      </w:r>
      <w:r>
        <w:rPr>
          <w:rFonts w:cstheme="minorHAnsi"/>
          <w:sz w:val="18"/>
          <w:szCs w:val="18"/>
        </w:rPr>
        <w:t xml:space="preserve"> Secretaría de Finanzas del Estado de Oaxaca (2019).</w:t>
      </w:r>
    </w:p>
    <w:p w14:paraId="7D7A985D" w14:textId="77777777" w:rsidR="00C6733C" w:rsidRDefault="006D0638">
      <w:pPr>
        <w:spacing w:before="240"/>
        <w:jc w:val="both"/>
        <w:rPr>
          <w:rFonts w:ascii="Arial" w:hAnsi="Arial" w:cs="Arial"/>
          <w:lang w:bidi="es-ES"/>
        </w:rPr>
      </w:pPr>
      <w:r>
        <w:rPr>
          <w:rFonts w:ascii="Arial" w:hAnsi="Arial" w:cs="Arial"/>
          <w:lang w:bidi="es-ES"/>
        </w:rPr>
        <w:t xml:space="preserve">De conformidad con los Criterios para la elaboración y presentación homogénea de la </w:t>
      </w:r>
      <w:r>
        <w:rPr>
          <w:rFonts w:ascii="Arial" w:hAnsi="Arial" w:cs="Arial"/>
          <w:lang w:bidi="es-ES"/>
        </w:rPr>
        <w:t xml:space="preserve">información financiera y de los formatos a que hace referencia la Ley de Disciplina Financiera de las Entidades Federativas y los Municipios, emitidos por el CONAC y publicados el 11 de octubre de 2016 en el Diario Oficial de la Federación, se presenta el </w:t>
      </w:r>
      <w:r>
        <w:rPr>
          <w:rFonts w:ascii="Arial" w:hAnsi="Arial" w:cs="Arial"/>
          <w:lang w:bidi="es-ES"/>
        </w:rPr>
        <w:lastRenderedPageBreak/>
        <w:t>Informe sobre Estudios Actuariales del Fondo de Pensiones de los Integrantes de las Instituciones Policiales de la Secretaría de Seguridad Pública del Gobierno del Estado de Oaxaca y de la Oficina de Pensiones del Estado de Oaxaca, a continuación.</w:t>
      </w:r>
    </w:p>
    <w:p w14:paraId="63341E8B" w14:textId="77777777" w:rsidR="00C6733C" w:rsidRDefault="00C6733C">
      <w:pPr>
        <w:spacing w:before="240"/>
        <w:jc w:val="both"/>
        <w:rPr>
          <w:rFonts w:ascii="Arial" w:hAnsi="Arial" w:cs="Arial"/>
          <w:lang w:bidi="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80"/>
        <w:gridCol w:w="1483"/>
        <w:gridCol w:w="60"/>
        <w:gridCol w:w="692"/>
        <w:gridCol w:w="290"/>
        <w:gridCol w:w="1141"/>
        <w:gridCol w:w="242"/>
        <w:gridCol w:w="1262"/>
        <w:gridCol w:w="120"/>
        <w:gridCol w:w="1381"/>
      </w:tblGrid>
      <w:tr w:rsidR="00C6733C" w14:paraId="25AD9BE3" w14:textId="77777777">
        <w:trPr>
          <w:trHeight w:val="591"/>
          <w:tblHeader/>
        </w:trPr>
        <w:tc>
          <w:tcPr>
            <w:tcW w:w="5000" w:type="pct"/>
            <w:gridSpan w:val="11"/>
            <w:shd w:val="clear" w:color="auto" w:fill="A8D08D" w:themeFill="accent6" w:themeFillTint="99"/>
            <w:noWrap/>
            <w:vAlign w:val="center"/>
            <w:hideMark/>
          </w:tcPr>
          <w:p w14:paraId="6184B6F3" w14:textId="77777777" w:rsidR="00C6733C" w:rsidRDefault="006D0638">
            <w:pPr>
              <w:jc w:val="center"/>
              <w:rPr>
                <w:rFonts w:eastAsia="Times New Roman" w:cstheme="minorHAnsi"/>
                <w:b/>
                <w:bCs/>
                <w:sz w:val="16"/>
                <w:szCs w:val="16"/>
              </w:rPr>
            </w:pPr>
            <w:r>
              <w:rPr>
                <w:rFonts w:eastAsia="Times New Roman" w:cstheme="minorHAnsi"/>
                <w:b/>
                <w:bCs/>
                <w:sz w:val="16"/>
                <w:szCs w:val="16"/>
              </w:rPr>
              <w:t>OFICINA</w:t>
            </w:r>
            <w:r>
              <w:rPr>
                <w:rFonts w:eastAsia="Times New Roman" w:cstheme="minorHAnsi"/>
                <w:b/>
                <w:bCs/>
                <w:sz w:val="16"/>
                <w:szCs w:val="16"/>
              </w:rPr>
              <w:t xml:space="preserve"> DE PENSIONES DEL ESTADO DE OAXACA</w:t>
            </w:r>
          </w:p>
          <w:p w14:paraId="3B6B7D2B" w14:textId="77777777" w:rsidR="00C6733C" w:rsidRDefault="006D0638">
            <w:pPr>
              <w:jc w:val="center"/>
              <w:rPr>
                <w:rFonts w:eastAsia="Times New Roman" w:cstheme="minorHAnsi"/>
                <w:b/>
                <w:bCs/>
                <w:sz w:val="16"/>
                <w:szCs w:val="16"/>
              </w:rPr>
            </w:pPr>
            <w:r>
              <w:rPr>
                <w:rFonts w:eastAsia="Times New Roman" w:cstheme="minorHAnsi"/>
                <w:b/>
                <w:bCs/>
                <w:color w:val="000000"/>
                <w:sz w:val="16"/>
                <w:szCs w:val="16"/>
              </w:rPr>
              <w:t>Informe sobre Estudios Actuariales – LDF</w:t>
            </w:r>
          </w:p>
        </w:tc>
      </w:tr>
      <w:tr w:rsidR="00C6733C" w14:paraId="00CAD650" w14:textId="77777777">
        <w:trPr>
          <w:trHeight w:val="600"/>
          <w:tblHeader/>
        </w:trPr>
        <w:tc>
          <w:tcPr>
            <w:tcW w:w="1222" w:type="pct"/>
            <w:gridSpan w:val="2"/>
            <w:shd w:val="clear" w:color="auto" w:fill="A8D08D" w:themeFill="accent6" w:themeFillTint="99"/>
            <w:vAlign w:val="center"/>
            <w:hideMark/>
          </w:tcPr>
          <w:p w14:paraId="10420EF6" w14:textId="77777777" w:rsidR="00C6733C" w:rsidRDefault="00C6733C">
            <w:pPr>
              <w:jc w:val="center"/>
              <w:rPr>
                <w:rFonts w:eastAsia="Times New Roman" w:cstheme="minorHAnsi"/>
                <w:b/>
                <w:bCs/>
                <w:color w:val="000000"/>
                <w:sz w:val="16"/>
                <w:szCs w:val="16"/>
              </w:rPr>
            </w:pPr>
          </w:p>
        </w:tc>
        <w:tc>
          <w:tcPr>
            <w:tcW w:w="874" w:type="pct"/>
            <w:gridSpan w:val="2"/>
            <w:shd w:val="clear" w:color="auto" w:fill="A8D08D" w:themeFill="accent6" w:themeFillTint="99"/>
            <w:vAlign w:val="center"/>
            <w:hideMark/>
          </w:tcPr>
          <w:p w14:paraId="5144AF62"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Pensiones y jubilaciones</w:t>
            </w:r>
          </w:p>
        </w:tc>
        <w:tc>
          <w:tcPr>
            <w:tcW w:w="392" w:type="pct"/>
            <w:shd w:val="clear" w:color="auto" w:fill="A8D08D" w:themeFill="accent6" w:themeFillTint="99"/>
            <w:vAlign w:val="center"/>
            <w:hideMark/>
          </w:tcPr>
          <w:p w14:paraId="53092F66"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Salud</w:t>
            </w:r>
          </w:p>
        </w:tc>
        <w:tc>
          <w:tcPr>
            <w:tcW w:w="810" w:type="pct"/>
            <w:gridSpan w:val="2"/>
            <w:shd w:val="clear" w:color="auto" w:fill="A8D08D" w:themeFill="accent6" w:themeFillTint="99"/>
            <w:vAlign w:val="center"/>
            <w:hideMark/>
          </w:tcPr>
          <w:p w14:paraId="226C2C01"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Riesgos de trabajo</w:t>
            </w:r>
          </w:p>
        </w:tc>
        <w:tc>
          <w:tcPr>
            <w:tcW w:w="852" w:type="pct"/>
            <w:gridSpan w:val="2"/>
            <w:shd w:val="clear" w:color="auto" w:fill="A8D08D" w:themeFill="accent6" w:themeFillTint="99"/>
            <w:vAlign w:val="center"/>
            <w:hideMark/>
          </w:tcPr>
          <w:p w14:paraId="2AE0F4F0"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Invalidez y vida</w:t>
            </w:r>
          </w:p>
        </w:tc>
        <w:tc>
          <w:tcPr>
            <w:tcW w:w="851" w:type="pct"/>
            <w:gridSpan w:val="2"/>
            <w:shd w:val="clear" w:color="auto" w:fill="A8D08D" w:themeFill="accent6" w:themeFillTint="99"/>
            <w:vAlign w:val="center"/>
            <w:hideMark/>
          </w:tcPr>
          <w:p w14:paraId="1321551C"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Otras prestaciones sociales</w:t>
            </w:r>
          </w:p>
        </w:tc>
      </w:tr>
      <w:tr w:rsidR="00C6733C" w14:paraId="5905538C" w14:textId="77777777">
        <w:trPr>
          <w:trHeight w:val="300"/>
        </w:trPr>
        <w:tc>
          <w:tcPr>
            <w:tcW w:w="1222" w:type="pct"/>
            <w:gridSpan w:val="2"/>
            <w:hideMark/>
          </w:tcPr>
          <w:p w14:paraId="008C64F4"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Tipo de Sistema</w:t>
            </w:r>
          </w:p>
        </w:tc>
        <w:tc>
          <w:tcPr>
            <w:tcW w:w="874" w:type="pct"/>
            <w:gridSpan w:val="2"/>
            <w:noWrap/>
            <w:hideMark/>
          </w:tcPr>
          <w:p w14:paraId="2509865D" w14:textId="77777777" w:rsidR="00C6733C" w:rsidRDefault="00C6733C">
            <w:pPr>
              <w:rPr>
                <w:rFonts w:eastAsia="Times New Roman" w:cstheme="minorHAnsi"/>
                <w:color w:val="000000"/>
                <w:sz w:val="16"/>
                <w:szCs w:val="16"/>
              </w:rPr>
            </w:pPr>
          </w:p>
        </w:tc>
        <w:tc>
          <w:tcPr>
            <w:tcW w:w="392" w:type="pct"/>
            <w:noWrap/>
            <w:hideMark/>
          </w:tcPr>
          <w:p w14:paraId="797452B7" w14:textId="77777777" w:rsidR="00C6733C" w:rsidRDefault="00C6733C">
            <w:pPr>
              <w:rPr>
                <w:rFonts w:eastAsia="Times New Roman" w:cstheme="minorHAnsi"/>
                <w:color w:val="000000"/>
                <w:sz w:val="16"/>
                <w:szCs w:val="16"/>
              </w:rPr>
            </w:pPr>
          </w:p>
        </w:tc>
        <w:tc>
          <w:tcPr>
            <w:tcW w:w="810" w:type="pct"/>
            <w:gridSpan w:val="2"/>
            <w:noWrap/>
            <w:hideMark/>
          </w:tcPr>
          <w:p w14:paraId="7E963F7C" w14:textId="77777777" w:rsidR="00C6733C" w:rsidRDefault="00C6733C">
            <w:pPr>
              <w:rPr>
                <w:rFonts w:eastAsia="Times New Roman" w:cstheme="minorHAnsi"/>
                <w:color w:val="000000"/>
                <w:sz w:val="16"/>
                <w:szCs w:val="16"/>
              </w:rPr>
            </w:pPr>
          </w:p>
        </w:tc>
        <w:tc>
          <w:tcPr>
            <w:tcW w:w="852" w:type="pct"/>
            <w:gridSpan w:val="2"/>
            <w:noWrap/>
            <w:hideMark/>
          </w:tcPr>
          <w:p w14:paraId="650E6A29" w14:textId="77777777" w:rsidR="00C6733C" w:rsidRDefault="00C6733C">
            <w:pPr>
              <w:rPr>
                <w:rFonts w:eastAsia="Times New Roman" w:cstheme="minorHAnsi"/>
                <w:color w:val="000000"/>
                <w:sz w:val="16"/>
                <w:szCs w:val="16"/>
              </w:rPr>
            </w:pPr>
          </w:p>
        </w:tc>
        <w:tc>
          <w:tcPr>
            <w:tcW w:w="851" w:type="pct"/>
            <w:gridSpan w:val="2"/>
            <w:noWrap/>
            <w:hideMark/>
          </w:tcPr>
          <w:p w14:paraId="750B994F" w14:textId="77777777" w:rsidR="00C6733C" w:rsidRDefault="00C6733C">
            <w:pPr>
              <w:rPr>
                <w:rFonts w:eastAsia="Times New Roman" w:cstheme="minorHAnsi"/>
                <w:color w:val="000000"/>
                <w:sz w:val="16"/>
                <w:szCs w:val="16"/>
              </w:rPr>
            </w:pPr>
          </w:p>
        </w:tc>
      </w:tr>
      <w:tr w:rsidR="00C6733C" w14:paraId="717148A7" w14:textId="77777777">
        <w:trPr>
          <w:trHeight w:val="600"/>
        </w:trPr>
        <w:tc>
          <w:tcPr>
            <w:tcW w:w="1222" w:type="pct"/>
            <w:gridSpan w:val="2"/>
            <w:hideMark/>
          </w:tcPr>
          <w:p w14:paraId="3C6318C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xml:space="preserve">Prestación laboral o Fondo general para </w:t>
            </w:r>
            <w:r>
              <w:rPr>
                <w:rFonts w:eastAsia="Times New Roman" w:cstheme="minorHAnsi"/>
                <w:color w:val="000000"/>
                <w:sz w:val="16"/>
                <w:szCs w:val="16"/>
              </w:rPr>
              <w:t>trabajadores del estado o municipio</w:t>
            </w:r>
          </w:p>
        </w:tc>
        <w:tc>
          <w:tcPr>
            <w:tcW w:w="874" w:type="pct"/>
            <w:gridSpan w:val="2"/>
            <w:noWrap/>
            <w:hideMark/>
          </w:tcPr>
          <w:p w14:paraId="40BA218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Prestación Laboral</w:t>
            </w:r>
          </w:p>
        </w:tc>
        <w:tc>
          <w:tcPr>
            <w:tcW w:w="392" w:type="pct"/>
            <w:noWrap/>
            <w:hideMark/>
          </w:tcPr>
          <w:p w14:paraId="3FA4D0FF" w14:textId="77777777" w:rsidR="00C6733C" w:rsidRDefault="00C6733C">
            <w:pPr>
              <w:rPr>
                <w:rFonts w:eastAsia="Times New Roman" w:cstheme="minorHAnsi"/>
                <w:color w:val="000000"/>
                <w:sz w:val="16"/>
                <w:szCs w:val="16"/>
              </w:rPr>
            </w:pPr>
          </w:p>
        </w:tc>
        <w:tc>
          <w:tcPr>
            <w:tcW w:w="810" w:type="pct"/>
            <w:gridSpan w:val="2"/>
            <w:noWrap/>
            <w:hideMark/>
          </w:tcPr>
          <w:p w14:paraId="30F28CC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Prestación Laboral</w:t>
            </w:r>
          </w:p>
        </w:tc>
        <w:tc>
          <w:tcPr>
            <w:tcW w:w="852" w:type="pct"/>
            <w:gridSpan w:val="2"/>
            <w:noWrap/>
            <w:hideMark/>
          </w:tcPr>
          <w:p w14:paraId="640F3C0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Prestación Laboral</w:t>
            </w:r>
          </w:p>
        </w:tc>
        <w:tc>
          <w:tcPr>
            <w:tcW w:w="851" w:type="pct"/>
            <w:gridSpan w:val="2"/>
            <w:noWrap/>
            <w:hideMark/>
          </w:tcPr>
          <w:p w14:paraId="377DD56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Prestación Laboral</w:t>
            </w:r>
          </w:p>
        </w:tc>
      </w:tr>
      <w:tr w:rsidR="00C6733C" w14:paraId="772A7A55" w14:textId="77777777">
        <w:trPr>
          <w:trHeight w:val="300"/>
        </w:trPr>
        <w:tc>
          <w:tcPr>
            <w:tcW w:w="1222" w:type="pct"/>
            <w:gridSpan w:val="2"/>
            <w:hideMark/>
          </w:tcPr>
          <w:p w14:paraId="21FD264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Beneficio definido, Contribución definida o Mixto</w:t>
            </w:r>
          </w:p>
        </w:tc>
        <w:tc>
          <w:tcPr>
            <w:tcW w:w="874" w:type="pct"/>
            <w:gridSpan w:val="2"/>
            <w:noWrap/>
            <w:hideMark/>
          </w:tcPr>
          <w:p w14:paraId="07B1618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Beneficio Definido</w:t>
            </w:r>
          </w:p>
        </w:tc>
        <w:tc>
          <w:tcPr>
            <w:tcW w:w="392" w:type="pct"/>
            <w:noWrap/>
            <w:hideMark/>
          </w:tcPr>
          <w:p w14:paraId="3AF86B8A" w14:textId="77777777" w:rsidR="00C6733C" w:rsidRDefault="00C6733C">
            <w:pPr>
              <w:rPr>
                <w:rFonts w:eastAsia="Times New Roman" w:cstheme="minorHAnsi"/>
                <w:color w:val="000000"/>
                <w:sz w:val="16"/>
                <w:szCs w:val="16"/>
              </w:rPr>
            </w:pPr>
          </w:p>
        </w:tc>
        <w:tc>
          <w:tcPr>
            <w:tcW w:w="810" w:type="pct"/>
            <w:gridSpan w:val="2"/>
            <w:noWrap/>
            <w:hideMark/>
          </w:tcPr>
          <w:p w14:paraId="674256A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Beneficio Definido</w:t>
            </w:r>
          </w:p>
        </w:tc>
        <w:tc>
          <w:tcPr>
            <w:tcW w:w="852" w:type="pct"/>
            <w:gridSpan w:val="2"/>
            <w:noWrap/>
            <w:hideMark/>
          </w:tcPr>
          <w:p w14:paraId="77028C5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Beneficio Definido</w:t>
            </w:r>
          </w:p>
        </w:tc>
        <w:tc>
          <w:tcPr>
            <w:tcW w:w="851" w:type="pct"/>
            <w:gridSpan w:val="2"/>
            <w:noWrap/>
            <w:hideMark/>
          </w:tcPr>
          <w:p w14:paraId="37CE0F3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Beneficio Definido</w:t>
            </w:r>
          </w:p>
        </w:tc>
      </w:tr>
      <w:tr w:rsidR="00C6733C" w14:paraId="5B98495C" w14:textId="77777777">
        <w:trPr>
          <w:trHeight w:val="300"/>
        </w:trPr>
        <w:tc>
          <w:tcPr>
            <w:tcW w:w="1222" w:type="pct"/>
            <w:gridSpan w:val="2"/>
            <w:hideMark/>
          </w:tcPr>
          <w:p w14:paraId="33A4086A"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Población afiliada</w:t>
            </w:r>
          </w:p>
        </w:tc>
        <w:tc>
          <w:tcPr>
            <w:tcW w:w="874" w:type="pct"/>
            <w:gridSpan w:val="2"/>
            <w:noWrap/>
            <w:hideMark/>
          </w:tcPr>
          <w:p w14:paraId="36E395F6" w14:textId="77777777" w:rsidR="00C6733C" w:rsidRDefault="00C6733C">
            <w:pPr>
              <w:rPr>
                <w:rFonts w:eastAsia="Times New Roman" w:cstheme="minorHAnsi"/>
                <w:color w:val="000000"/>
                <w:sz w:val="16"/>
                <w:szCs w:val="16"/>
              </w:rPr>
            </w:pPr>
          </w:p>
        </w:tc>
        <w:tc>
          <w:tcPr>
            <w:tcW w:w="392" w:type="pct"/>
            <w:noWrap/>
            <w:hideMark/>
          </w:tcPr>
          <w:p w14:paraId="53FCD4D5" w14:textId="77777777" w:rsidR="00C6733C" w:rsidRDefault="00C6733C">
            <w:pPr>
              <w:rPr>
                <w:rFonts w:eastAsia="Times New Roman" w:cstheme="minorHAnsi"/>
                <w:color w:val="000000"/>
                <w:sz w:val="16"/>
                <w:szCs w:val="16"/>
              </w:rPr>
            </w:pPr>
          </w:p>
        </w:tc>
        <w:tc>
          <w:tcPr>
            <w:tcW w:w="810" w:type="pct"/>
            <w:gridSpan w:val="2"/>
            <w:noWrap/>
            <w:hideMark/>
          </w:tcPr>
          <w:p w14:paraId="257DE0BF" w14:textId="77777777" w:rsidR="00C6733C" w:rsidRDefault="00C6733C">
            <w:pPr>
              <w:rPr>
                <w:rFonts w:eastAsia="Times New Roman" w:cstheme="minorHAnsi"/>
                <w:color w:val="000000"/>
                <w:sz w:val="16"/>
                <w:szCs w:val="16"/>
              </w:rPr>
            </w:pPr>
          </w:p>
        </w:tc>
        <w:tc>
          <w:tcPr>
            <w:tcW w:w="852" w:type="pct"/>
            <w:gridSpan w:val="2"/>
            <w:noWrap/>
            <w:hideMark/>
          </w:tcPr>
          <w:p w14:paraId="6923D268" w14:textId="77777777" w:rsidR="00C6733C" w:rsidRDefault="00C6733C">
            <w:pPr>
              <w:rPr>
                <w:rFonts w:eastAsia="Times New Roman" w:cstheme="minorHAnsi"/>
                <w:color w:val="000000"/>
                <w:sz w:val="16"/>
                <w:szCs w:val="16"/>
              </w:rPr>
            </w:pPr>
          </w:p>
        </w:tc>
        <w:tc>
          <w:tcPr>
            <w:tcW w:w="851" w:type="pct"/>
            <w:gridSpan w:val="2"/>
            <w:noWrap/>
            <w:hideMark/>
          </w:tcPr>
          <w:p w14:paraId="1E4BC383" w14:textId="77777777" w:rsidR="00C6733C" w:rsidRDefault="00C6733C">
            <w:pPr>
              <w:rPr>
                <w:rFonts w:eastAsia="Times New Roman" w:cstheme="minorHAnsi"/>
                <w:color w:val="000000"/>
                <w:sz w:val="16"/>
                <w:szCs w:val="16"/>
              </w:rPr>
            </w:pPr>
          </w:p>
        </w:tc>
      </w:tr>
      <w:tr w:rsidR="00C6733C" w14:paraId="397626BC" w14:textId="77777777">
        <w:trPr>
          <w:trHeight w:val="300"/>
        </w:trPr>
        <w:tc>
          <w:tcPr>
            <w:tcW w:w="1222" w:type="pct"/>
            <w:gridSpan w:val="2"/>
            <w:hideMark/>
          </w:tcPr>
          <w:p w14:paraId="7C43474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Activos</w:t>
            </w:r>
          </w:p>
        </w:tc>
        <w:tc>
          <w:tcPr>
            <w:tcW w:w="874" w:type="pct"/>
            <w:gridSpan w:val="2"/>
            <w:noWrap/>
            <w:hideMark/>
          </w:tcPr>
          <w:p w14:paraId="3C126E7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19,609</w:t>
            </w:r>
          </w:p>
        </w:tc>
        <w:tc>
          <w:tcPr>
            <w:tcW w:w="392" w:type="pct"/>
            <w:noWrap/>
            <w:hideMark/>
          </w:tcPr>
          <w:p w14:paraId="2A24DF37" w14:textId="77777777" w:rsidR="00C6733C" w:rsidRDefault="00C6733C">
            <w:pPr>
              <w:jc w:val="right"/>
              <w:rPr>
                <w:rFonts w:eastAsia="Times New Roman" w:cstheme="minorHAnsi"/>
                <w:color w:val="000000"/>
                <w:sz w:val="16"/>
                <w:szCs w:val="16"/>
              </w:rPr>
            </w:pPr>
          </w:p>
        </w:tc>
        <w:tc>
          <w:tcPr>
            <w:tcW w:w="810" w:type="pct"/>
            <w:gridSpan w:val="2"/>
            <w:noWrap/>
            <w:hideMark/>
          </w:tcPr>
          <w:p w14:paraId="639410D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19,609</w:t>
            </w:r>
          </w:p>
        </w:tc>
        <w:tc>
          <w:tcPr>
            <w:tcW w:w="852" w:type="pct"/>
            <w:gridSpan w:val="2"/>
            <w:noWrap/>
            <w:hideMark/>
          </w:tcPr>
          <w:p w14:paraId="42576D2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19,609</w:t>
            </w:r>
          </w:p>
        </w:tc>
        <w:tc>
          <w:tcPr>
            <w:tcW w:w="851" w:type="pct"/>
            <w:gridSpan w:val="2"/>
            <w:noWrap/>
            <w:hideMark/>
          </w:tcPr>
          <w:p w14:paraId="2F03A24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19,609</w:t>
            </w:r>
          </w:p>
        </w:tc>
      </w:tr>
      <w:tr w:rsidR="00C6733C" w14:paraId="76DA6326" w14:textId="77777777">
        <w:trPr>
          <w:trHeight w:val="300"/>
        </w:trPr>
        <w:tc>
          <w:tcPr>
            <w:tcW w:w="1222" w:type="pct"/>
            <w:gridSpan w:val="2"/>
            <w:hideMark/>
          </w:tcPr>
          <w:p w14:paraId="04B8CE1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máxima</w:t>
            </w:r>
          </w:p>
        </w:tc>
        <w:tc>
          <w:tcPr>
            <w:tcW w:w="874" w:type="pct"/>
            <w:gridSpan w:val="2"/>
            <w:noWrap/>
            <w:hideMark/>
          </w:tcPr>
          <w:p w14:paraId="40C63ED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90</w:t>
            </w:r>
          </w:p>
        </w:tc>
        <w:tc>
          <w:tcPr>
            <w:tcW w:w="392" w:type="pct"/>
            <w:noWrap/>
            <w:hideMark/>
          </w:tcPr>
          <w:p w14:paraId="10667237" w14:textId="77777777" w:rsidR="00C6733C" w:rsidRDefault="00C6733C">
            <w:pPr>
              <w:jc w:val="right"/>
              <w:rPr>
                <w:rFonts w:eastAsia="Times New Roman" w:cstheme="minorHAnsi"/>
                <w:color w:val="000000"/>
                <w:sz w:val="16"/>
                <w:szCs w:val="16"/>
              </w:rPr>
            </w:pPr>
          </w:p>
        </w:tc>
        <w:tc>
          <w:tcPr>
            <w:tcW w:w="810" w:type="pct"/>
            <w:gridSpan w:val="2"/>
            <w:noWrap/>
            <w:hideMark/>
          </w:tcPr>
          <w:p w14:paraId="453857D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90</w:t>
            </w:r>
          </w:p>
        </w:tc>
        <w:tc>
          <w:tcPr>
            <w:tcW w:w="852" w:type="pct"/>
            <w:gridSpan w:val="2"/>
            <w:noWrap/>
            <w:hideMark/>
          </w:tcPr>
          <w:p w14:paraId="1D8F6F6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90</w:t>
            </w:r>
          </w:p>
        </w:tc>
        <w:tc>
          <w:tcPr>
            <w:tcW w:w="851" w:type="pct"/>
            <w:gridSpan w:val="2"/>
            <w:noWrap/>
            <w:hideMark/>
          </w:tcPr>
          <w:p w14:paraId="22B0E1F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90</w:t>
            </w:r>
          </w:p>
        </w:tc>
      </w:tr>
      <w:tr w:rsidR="00C6733C" w14:paraId="1ECE6F84" w14:textId="77777777">
        <w:trPr>
          <w:trHeight w:val="300"/>
        </w:trPr>
        <w:tc>
          <w:tcPr>
            <w:tcW w:w="1222" w:type="pct"/>
            <w:gridSpan w:val="2"/>
            <w:hideMark/>
          </w:tcPr>
          <w:p w14:paraId="331AAA8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mínima</w:t>
            </w:r>
          </w:p>
        </w:tc>
        <w:tc>
          <w:tcPr>
            <w:tcW w:w="874" w:type="pct"/>
            <w:gridSpan w:val="2"/>
            <w:noWrap/>
            <w:hideMark/>
          </w:tcPr>
          <w:p w14:paraId="210C00E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18</w:t>
            </w:r>
          </w:p>
        </w:tc>
        <w:tc>
          <w:tcPr>
            <w:tcW w:w="392" w:type="pct"/>
            <w:noWrap/>
            <w:hideMark/>
          </w:tcPr>
          <w:p w14:paraId="648ADF20" w14:textId="77777777" w:rsidR="00C6733C" w:rsidRDefault="00C6733C">
            <w:pPr>
              <w:jc w:val="right"/>
              <w:rPr>
                <w:rFonts w:eastAsia="Times New Roman" w:cstheme="minorHAnsi"/>
                <w:color w:val="000000"/>
                <w:sz w:val="16"/>
                <w:szCs w:val="16"/>
              </w:rPr>
            </w:pPr>
          </w:p>
        </w:tc>
        <w:tc>
          <w:tcPr>
            <w:tcW w:w="810" w:type="pct"/>
            <w:gridSpan w:val="2"/>
            <w:noWrap/>
            <w:hideMark/>
          </w:tcPr>
          <w:p w14:paraId="3E9EC69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18</w:t>
            </w:r>
          </w:p>
        </w:tc>
        <w:tc>
          <w:tcPr>
            <w:tcW w:w="852" w:type="pct"/>
            <w:gridSpan w:val="2"/>
            <w:noWrap/>
            <w:hideMark/>
          </w:tcPr>
          <w:p w14:paraId="6C353AE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18</w:t>
            </w:r>
          </w:p>
        </w:tc>
        <w:tc>
          <w:tcPr>
            <w:tcW w:w="851" w:type="pct"/>
            <w:gridSpan w:val="2"/>
            <w:noWrap/>
            <w:hideMark/>
          </w:tcPr>
          <w:p w14:paraId="5121F55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18</w:t>
            </w:r>
          </w:p>
        </w:tc>
      </w:tr>
      <w:tr w:rsidR="00C6733C" w14:paraId="1D99A169" w14:textId="77777777">
        <w:trPr>
          <w:trHeight w:val="300"/>
        </w:trPr>
        <w:tc>
          <w:tcPr>
            <w:tcW w:w="1222" w:type="pct"/>
            <w:gridSpan w:val="2"/>
            <w:hideMark/>
          </w:tcPr>
          <w:p w14:paraId="7098CB0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promedio</w:t>
            </w:r>
          </w:p>
        </w:tc>
        <w:tc>
          <w:tcPr>
            <w:tcW w:w="874" w:type="pct"/>
            <w:gridSpan w:val="2"/>
            <w:noWrap/>
            <w:hideMark/>
          </w:tcPr>
          <w:p w14:paraId="30B2C97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42</w:t>
            </w:r>
          </w:p>
        </w:tc>
        <w:tc>
          <w:tcPr>
            <w:tcW w:w="392" w:type="pct"/>
            <w:noWrap/>
            <w:hideMark/>
          </w:tcPr>
          <w:p w14:paraId="55E73A3C" w14:textId="77777777" w:rsidR="00C6733C" w:rsidRDefault="00C6733C">
            <w:pPr>
              <w:jc w:val="right"/>
              <w:rPr>
                <w:rFonts w:eastAsia="Times New Roman" w:cstheme="minorHAnsi"/>
                <w:color w:val="000000"/>
                <w:sz w:val="16"/>
                <w:szCs w:val="16"/>
              </w:rPr>
            </w:pPr>
          </w:p>
        </w:tc>
        <w:tc>
          <w:tcPr>
            <w:tcW w:w="810" w:type="pct"/>
            <w:gridSpan w:val="2"/>
            <w:noWrap/>
            <w:hideMark/>
          </w:tcPr>
          <w:p w14:paraId="22B1FA7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42</w:t>
            </w:r>
          </w:p>
        </w:tc>
        <w:tc>
          <w:tcPr>
            <w:tcW w:w="852" w:type="pct"/>
            <w:gridSpan w:val="2"/>
            <w:noWrap/>
            <w:hideMark/>
          </w:tcPr>
          <w:p w14:paraId="20E3A6C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42</w:t>
            </w:r>
          </w:p>
        </w:tc>
        <w:tc>
          <w:tcPr>
            <w:tcW w:w="851" w:type="pct"/>
            <w:gridSpan w:val="2"/>
            <w:noWrap/>
            <w:hideMark/>
          </w:tcPr>
          <w:p w14:paraId="5882664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42</w:t>
            </w:r>
          </w:p>
        </w:tc>
      </w:tr>
      <w:tr w:rsidR="00C6733C" w14:paraId="30E97239" w14:textId="77777777">
        <w:trPr>
          <w:trHeight w:val="300"/>
        </w:trPr>
        <w:tc>
          <w:tcPr>
            <w:tcW w:w="1222" w:type="pct"/>
            <w:gridSpan w:val="2"/>
            <w:hideMark/>
          </w:tcPr>
          <w:p w14:paraId="29D1EBC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Pensionados y Jubilados</w:t>
            </w:r>
          </w:p>
        </w:tc>
        <w:tc>
          <w:tcPr>
            <w:tcW w:w="874" w:type="pct"/>
            <w:gridSpan w:val="2"/>
            <w:noWrap/>
            <w:hideMark/>
          </w:tcPr>
          <w:p w14:paraId="754FC2D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2,674</w:t>
            </w:r>
          </w:p>
        </w:tc>
        <w:tc>
          <w:tcPr>
            <w:tcW w:w="392" w:type="pct"/>
            <w:noWrap/>
            <w:hideMark/>
          </w:tcPr>
          <w:p w14:paraId="0FF32BEB" w14:textId="77777777" w:rsidR="00C6733C" w:rsidRDefault="00C6733C">
            <w:pPr>
              <w:jc w:val="right"/>
              <w:rPr>
                <w:rFonts w:eastAsia="Times New Roman" w:cstheme="minorHAnsi"/>
                <w:color w:val="000000"/>
                <w:sz w:val="16"/>
                <w:szCs w:val="16"/>
              </w:rPr>
            </w:pPr>
          </w:p>
        </w:tc>
        <w:tc>
          <w:tcPr>
            <w:tcW w:w="810" w:type="pct"/>
            <w:gridSpan w:val="2"/>
            <w:noWrap/>
            <w:hideMark/>
          </w:tcPr>
          <w:p w14:paraId="7EE8A09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93</w:t>
            </w:r>
          </w:p>
        </w:tc>
        <w:tc>
          <w:tcPr>
            <w:tcW w:w="852" w:type="pct"/>
            <w:gridSpan w:val="2"/>
            <w:noWrap/>
            <w:hideMark/>
          </w:tcPr>
          <w:p w14:paraId="3D66F43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852</w:t>
            </w:r>
          </w:p>
        </w:tc>
        <w:tc>
          <w:tcPr>
            <w:tcW w:w="851" w:type="pct"/>
            <w:gridSpan w:val="2"/>
            <w:noWrap/>
            <w:hideMark/>
          </w:tcPr>
          <w:p w14:paraId="31B2BC2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w:t>
            </w:r>
          </w:p>
        </w:tc>
      </w:tr>
      <w:tr w:rsidR="00C6733C" w14:paraId="5A684D4D" w14:textId="77777777">
        <w:trPr>
          <w:trHeight w:val="300"/>
        </w:trPr>
        <w:tc>
          <w:tcPr>
            <w:tcW w:w="1222" w:type="pct"/>
            <w:gridSpan w:val="2"/>
            <w:hideMark/>
          </w:tcPr>
          <w:p w14:paraId="06CFBBD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máxima</w:t>
            </w:r>
          </w:p>
        </w:tc>
        <w:tc>
          <w:tcPr>
            <w:tcW w:w="874" w:type="pct"/>
            <w:gridSpan w:val="2"/>
            <w:noWrap/>
            <w:hideMark/>
          </w:tcPr>
          <w:p w14:paraId="6A6502D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90</w:t>
            </w:r>
          </w:p>
        </w:tc>
        <w:tc>
          <w:tcPr>
            <w:tcW w:w="392" w:type="pct"/>
            <w:noWrap/>
            <w:hideMark/>
          </w:tcPr>
          <w:p w14:paraId="402BAC21" w14:textId="77777777" w:rsidR="00C6733C" w:rsidRDefault="00C6733C">
            <w:pPr>
              <w:jc w:val="right"/>
              <w:rPr>
                <w:rFonts w:eastAsia="Times New Roman" w:cstheme="minorHAnsi"/>
                <w:color w:val="000000"/>
                <w:sz w:val="16"/>
                <w:szCs w:val="16"/>
              </w:rPr>
            </w:pPr>
          </w:p>
        </w:tc>
        <w:tc>
          <w:tcPr>
            <w:tcW w:w="810" w:type="pct"/>
            <w:gridSpan w:val="2"/>
            <w:noWrap/>
            <w:hideMark/>
          </w:tcPr>
          <w:p w14:paraId="667751A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89</w:t>
            </w:r>
          </w:p>
        </w:tc>
        <w:tc>
          <w:tcPr>
            <w:tcW w:w="852" w:type="pct"/>
            <w:gridSpan w:val="2"/>
            <w:noWrap/>
            <w:hideMark/>
          </w:tcPr>
          <w:p w14:paraId="0A83F0C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90</w:t>
            </w:r>
          </w:p>
        </w:tc>
        <w:tc>
          <w:tcPr>
            <w:tcW w:w="851" w:type="pct"/>
            <w:gridSpan w:val="2"/>
            <w:noWrap/>
            <w:hideMark/>
          </w:tcPr>
          <w:p w14:paraId="02B7A60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w:t>
            </w:r>
          </w:p>
        </w:tc>
      </w:tr>
      <w:tr w:rsidR="00C6733C" w14:paraId="3086C4DF" w14:textId="77777777">
        <w:trPr>
          <w:trHeight w:val="300"/>
        </w:trPr>
        <w:tc>
          <w:tcPr>
            <w:tcW w:w="1222" w:type="pct"/>
            <w:gridSpan w:val="2"/>
            <w:hideMark/>
          </w:tcPr>
          <w:p w14:paraId="6E6A741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mínima</w:t>
            </w:r>
          </w:p>
        </w:tc>
        <w:tc>
          <w:tcPr>
            <w:tcW w:w="874" w:type="pct"/>
            <w:gridSpan w:val="2"/>
            <w:noWrap/>
            <w:hideMark/>
          </w:tcPr>
          <w:p w14:paraId="04F5780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43</w:t>
            </w:r>
          </w:p>
        </w:tc>
        <w:tc>
          <w:tcPr>
            <w:tcW w:w="392" w:type="pct"/>
            <w:noWrap/>
            <w:hideMark/>
          </w:tcPr>
          <w:p w14:paraId="580A187A" w14:textId="77777777" w:rsidR="00C6733C" w:rsidRDefault="00C6733C">
            <w:pPr>
              <w:jc w:val="right"/>
              <w:rPr>
                <w:rFonts w:eastAsia="Times New Roman" w:cstheme="minorHAnsi"/>
                <w:color w:val="000000"/>
                <w:sz w:val="16"/>
                <w:szCs w:val="16"/>
              </w:rPr>
            </w:pPr>
          </w:p>
        </w:tc>
        <w:tc>
          <w:tcPr>
            <w:tcW w:w="810" w:type="pct"/>
            <w:gridSpan w:val="2"/>
            <w:noWrap/>
            <w:hideMark/>
          </w:tcPr>
          <w:p w14:paraId="1659F72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32</w:t>
            </w:r>
          </w:p>
        </w:tc>
        <w:tc>
          <w:tcPr>
            <w:tcW w:w="852" w:type="pct"/>
            <w:gridSpan w:val="2"/>
            <w:noWrap/>
            <w:hideMark/>
          </w:tcPr>
          <w:p w14:paraId="146B968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32</w:t>
            </w:r>
          </w:p>
        </w:tc>
        <w:tc>
          <w:tcPr>
            <w:tcW w:w="851" w:type="pct"/>
            <w:gridSpan w:val="2"/>
            <w:noWrap/>
            <w:hideMark/>
          </w:tcPr>
          <w:p w14:paraId="7E7A2FC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w:t>
            </w:r>
          </w:p>
        </w:tc>
      </w:tr>
      <w:tr w:rsidR="00C6733C" w14:paraId="669EFE55" w14:textId="77777777">
        <w:trPr>
          <w:trHeight w:val="300"/>
        </w:trPr>
        <w:tc>
          <w:tcPr>
            <w:tcW w:w="1222" w:type="pct"/>
            <w:gridSpan w:val="2"/>
            <w:hideMark/>
          </w:tcPr>
          <w:p w14:paraId="3D3B7D0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promedio</w:t>
            </w:r>
          </w:p>
        </w:tc>
        <w:tc>
          <w:tcPr>
            <w:tcW w:w="874" w:type="pct"/>
            <w:gridSpan w:val="2"/>
            <w:noWrap/>
            <w:hideMark/>
          </w:tcPr>
          <w:p w14:paraId="2E390DA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62</w:t>
            </w:r>
          </w:p>
        </w:tc>
        <w:tc>
          <w:tcPr>
            <w:tcW w:w="392" w:type="pct"/>
            <w:noWrap/>
            <w:hideMark/>
          </w:tcPr>
          <w:p w14:paraId="5DCC8BEA" w14:textId="77777777" w:rsidR="00C6733C" w:rsidRDefault="00C6733C">
            <w:pPr>
              <w:jc w:val="right"/>
              <w:rPr>
                <w:rFonts w:eastAsia="Times New Roman" w:cstheme="minorHAnsi"/>
                <w:color w:val="000000"/>
                <w:sz w:val="16"/>
                <w:szCs w:val="16"/>
              </w:rPr>
            </w:pPr>
          </w:p>
        </w:tc>
        <w:tc>
          <w:tcPr>
            <w:tcW w:w="810" w:type="pct"/>
            <w:gridSpan w:val="2"/>
            <w:noWrap/>
            <w:hideMark/>
          </w:tcPr>
          <w:p w14:paraId="0B20733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65</w:t>
            </w:r>
          </w:p>
        </w:tc>
        <w:tc>
          <w:tcPr>
            <w:tcW w:w="852" w:type="pct"/>
            <w:gridSpan w:val="2"/>
            <w:noWrap/>
            <w:hideMark/>
          </w:tcPr>
          <w:p w14:paraId="76F0CB5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65</w:t>
            </w:r>
          </w:p>
        </w:tc>
        <w:tc>
          <w:tcPr>
            <w:tcW w:w="851" w:type="pct"/>
            <w:gridSpan w:val="2"/>
            <w:noWrap/>
            <w:hideMark/>
          </w:tcPr>
          <w:p w14:paraId="0EB5919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w:t>
            </w:r>
          </w:p>
        </w:tc>
      </w:tr>
      <w:tr w:rsidR="00C6733C" w14:paraId="6A1256D2" w14:textId="77777777">
        <w:trPr>
          <w:trHeight w:val="300"/>
        </w:trPr>
        <w:tc>
          <w:tcPr>
            <w:tcW w:w="1222" w:type="pct"/>
            <w:gridSpan w:val="2"/>
            <w:hideMark/>
          </w:tcPr>
          <w:p w14:paraId="7C8FF0B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Beneficiarios</w:t>
            </w:r>
          </w:p>
        </w:tc>
        <w:tc>
          <w:tcPr>
            <w:tcW w:w="874" w:type="pct"/>
            <w:gridSpan w:val="2"/>
            <w:noWrap/>
            <w:hideMark/>
          </w:tcPr>
          <w:p w14:paraId="3912CDFD" w14:textId="77777777" w:rsidR="00C6733C" w:rsidRDefault="00C6733C">
            <w:pPr>
              <w:jc w:val="right"/>
              <w:rPr>
                <w:rFonts w:eastAsia="Times New Roman" w:cstheme="minorHAnsi"/>
                <w:color w:val="000000"/>
                <w:sz w:val="16"/>
                <w:szCs w:val="16"/>
              </w:rPr>
            </w:pPr>
          </w:p>
        </w:tc>
        <w:tc>
          <w:tcPr>
            <w:tcW w:w="392" w:type="pct"/>
            <w:noWrap/>
            <w:hideMark/>
          </w:tcPr>
          <w:p w14:paraId="2175223A" w14:textId="77777777" w:rsidR="00C6733C" w:rsidRDefault="00C6733C">
            <w:pPr>
              <w:jc w:val="right"/>
              <w:rPr>
                <w:rFonts w:eastAsia="Times New Roman" w:cstheme="minorHAnsi"/>
                <w:color w:val="000000"/>
                <w:sz w:val="16"/>
                <w:szCs w:val="16"/>
              </w:rPr>
            </w:pPr>
          </w:p>
        </w:tc>
        <w:tc>
          <w:tcPr>
            <w:tcW w:w="810" w:type="pct"/>
            <w:gridSpan w:val="2"/>
            <w:noWrap/>
            <w:hideMark/>
          </w:tcPr>
          <w:p w14:paraId="25AED135" w14:textId="77777777" w:rsidR="00C6733C" w:rsidRDefault="00C6733C">
            <w:pPr>
              <w:jc w:val="right"/>
              <w:rPr>
                <w:rFonts w:eastAsia="Times New Roman" w:cstheme="minorHAnsi"/>
                <w:color w:val="000000"/>
                <w:sz w:val="16"/>
                <w:szCs w:val="16"/>
              </w:rPr>
            </w:pPr>
          </w:p>
        </w:tc>
        <w:tc>
          <w:tcPr>
            <w:tcW w:w="852" w:type="pct"/>
            <w:gridSpan w:val="2"/>
            <w:noWrap/>
            <w:hideMark/>
          </w:tcPr>
          <w:p w14:paraId="3E9C9254" w14:textId="77777777" w:rsidR="00C6733C" w:rsidRDefault="00C6733C">
            <w:pPr>
              <w:jc w:val="right"/>
              <w:rPr>
                <w:rFonts w:eastAsia="Times New Roman" w:cstheme="minorHAnsi"/>
                <w:color w:val="000000"/>
                <w:sz w:val="16"/>
                <w:szCs w:val="16"/>
              </w:rPr>
            </w:pPr>
          </w:p>
        </w:tc>
        <w:tc>
          <w:tcPr>
            <w:tcW w:w="851" w:type="pct"/>
            <w:gridSpan w:val="2"/>
            <w:noWrap/>
            <w:hideMark/>
          </w:tcPr>
          <w:p w14:paraId="17A68393" w14:textId="77777777" w:rsidR="00C6733C" w:rsidRDefault="00C6733C">
            <w:pPr>
              <w:jc w:val="right"/>
              <w:rPr>
                <w:rFonts w:eastAsia="Times New Roman" w:cstheme="minorHAnsi"/>
                <w:color w:val="000000"/>
                <w:sz w:val="16"/>
                <w:szCs w:val="16"/>
              </w:rPr>
            </w:pPr>
          </w:p>
        </w:tc>
      </w:tr>
      <w:tr w:rsidR="00C6733C" w14:paraId="083FE8DE" w14:textId="77777777">
        <w:trPr>
          <w:trHeight w:val="300"/>
        </w:trPr>
        <w:tc>
          <w:tcPr>
            <w:tcW w:w="1222" w:type="pct"/>
            <w:gridSpan w:val="2"/>
            <w:hideMark/>
          </w:tcPr>
          <w:p w14:paraId="5C99ADE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Promedio de años de servicio (trabajadores activos)</w:t>
            </w:r>
          </w:p>
        </w:tc>
        <w:tc>
          <w:tcPr>
            <w:tcW w:w="874" w:type="pct"/>
            <w:gridSpan w:val="2"/>
            <w:noWrap/>
            <w:hideMark/>
          </w:tcPr>
          <w:p w14:paraId="0EB0405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9.92</w:t>
            </w:r>
          </w:p>
        </w:tc>
        <w:tc>
          <w:tcPr>
            <w:tcW w:w="392" w:type="pct"/>
            <w:noWrap/>
            <w:hideMark/>
          </w:tcPr>
          <w:p w14:paraId="1AA04A61" w14:textId="77777777" w:rsidR="00C6733C" w:rsidRDefault="00C6733C">
            <w:pPr>
              <w:jc w:val="right"/>
              <w:rPr>
                <w:rFonts w:eastAsia="Times New Roman" w:cstheme="minorHAnsi"/>
                <w:color w:val="000000"/>
                <w:sz w:val="16"/>
                <w:szCs w:val="16"/>
              </w:rPr>
            </w:pPr>
          </w:p>
        </w:tc>
        <w:tc>
          <w:tcPr>
            <w:tcW w:w="810" w:type="pct"/>
            <w:gridSpan w:val="2"/>
            <w:noWrap/>
            <w:hideMark/>
          </w:tcPr>
          <w:p w14:paraId="125234B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9.92</w:t>
            </w:r>
          </w:p>
        </w:tc>
        <w:tc>
          <w:tcPr>
            <w:tcW w:w="852" w:type="pct"/>
            <w:gridSpan w:val="2"/>
            <w:noWrap/>
            <w:hideMark/>
          </w:tcPr>
          <w:p w14:paraId="76BE3E2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9.92</w:t>
            </w:r>
          </w:p>
        </w:tc>
        <w:tc>
          <w:tcPr>
            <w:tcW w:w="851" w:type="pct"/>
            <w:gridSpan w:val="2"/>
            <w:noWrap/>
            <w:hideMark/>
          </w:tcPr>
          <w:p w14:paraId="7B62616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9.92</w:t>
            </w:r>
          </w:p>
        </w:tc>
      </w:tr>
      <w:tr w:rsidR="00C6733C" w14:paraId="2C3E3DC8" w14:textId="77777777">
        <w:trPr>
          <w:trHeight w:val="300"/>
        </w:trPr>
        <w:tc>
          <w:tcPr>
            <w:tcW w:w="1222" w:type="pct"/>
            <w:gridSpan w:val="2"/>
            <w:hideMark/>
          </w:tcPr>
          <w:p w14:paraId="16D5398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Aportación individual al plan de pensión como % del salario</w:t>
            </w:r>
          </w:p>
        </w:tc>
        <w:tc>
          <w:tcPr>
            <w:tcW w:w="874" w:type="pct"/>
            <w:gridSpan w:val="2"/>
            <w:noWrap/>
            <w:hideMark/>
          </w:tcPr>
          <w:p w14:paraId="0D0CE8A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w:t>
            </w:r>
          </w:p>
        </w:tc>
        <w:tc>
          <w:tcPr>
            <w:tcW w:w="392" w:type="pct"/>
            <w:noWrap/>
            <w:hideMark/>
          </w:tcPr>
          <w:p w14:paraId="43471F9F" w14:textId="77777777" w:rsidR="00C6733C" w:rsidRDefault="00C6733C">
            <w:pPr>
              <w:jc w:val="right"/>
              <w:rPr>
                <w:rFonts w:eastAsia="Times New Roman" w:cstheme="minorHAnsi"/>
                <w:color w:val="000000"/>
                <w:sz w:val="16"/>
                <w:szCs w:val="16"/>
              </w:rPr>
            </w:pPr>
          </w:p>
        </w:tc>
        <w:tc>
          <w:tcPr>
            <w:tcW w:w="810" w:type="pct"/>
            <w:gridSpan w:val="2"/>
            <w:noWrap/>
            <w:hideMark/>
          </w:tcPr>
          <w:p w14:paraId="1A94EA6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w:t>
            </w:r>
          </w:p>
        </w:tc>
        <w:tc>
          <w:tcPr>
            <w:tcW w:w="852" w:type="pct"/>
            <w:gridSpan w:val="2"/>
            <w:noWrap/>
            <w:hideMark/>
          </w:tcPr>
          <w:p w14:paraId="5DF0805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w:t>
            </w:r>
          </w:p>
        </w:tc>
        <w:tc>
          <w:tcPr>
            <w:tcW w:w="851" w:type="pct"/>
            <w:gridSpan w:val="2"/>
            <w:noWrap/>
            <w:hideMark/>
          </w:tcPr>
          <w:p w14:paraId="6E78D2D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w:t>
            </w:r>
          </w:p>
        </w:tc>
      </w:tr>
      <w:tr w:rsidR="00C6733C" w14:paraId="5AFB0CA5" w14:textId="77777777">
        <w:trPr>
          <w:trHeight w:val="1500"/>
        </w:trPr>
        <w:tc>
          <w:tcPr>
            <w:tcW w:w="1222" w:type="pct"/>
            <w:gridSpan w:val="2"/>
            <w:hideMark/>
          </w:tcPr>
          <w:p w14:paraId="6AD4DED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Aportación del ente público al plan de pensión como % del salario</w:t>
            </w:r>
          </w:p>
        </w:tc>
        <w:tc>
          <w:tcPr>
            <w:tcW w:w="874" w:type="pct"/>
            <w:gridSpan w:val="2"/>
            <w:hideMark/>
          </w:tcPr>
          <w:p w14:paraId="0376FA3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xml:space="preserve">Sobre </w:t>
            </w:r>
            <w:r>
              <w:rPr>
                <w:rFonts w:eastAsia="Times New Roman" w:cstheme="minorHAnsi"/>
                <w:color w:val="000000"/>
                <w:sz w:val="16"/>
                <w:szCs w:val="16"/>
              </w:rPr>
              <w:t>nómina activos</w:t>
            </w:r>
            <w:r>
              <w:rPr>
                <w:rFonts w:eastAsia="Times New Roman" w:cstheme="minorHAnsi"/>
                <w:color w:val="000000"/>
                <w:sz w:val="16"/>
                <w:szCs w:val="16"/>
              </w:rPr>
              <w:br/>
              <w:t>18.50%</w:t>
            </w:r>
            <w:r>
              <w:rPr>
                <w:rFonts w:eastAsia="Times New Roman" w:cstheme="minorHAnsi"/>
                <w:color w:val="000000"/>
                <w:sz w:val="16"/>
                <w:szCs w:val="16"/>
              </w:rPr>
              <w:br/>
              <w:t>Sobre nómina pensionados</w:t>
            </w:r>
            <w:r>
              <w:rPr>
                <w:rFonts w:eastAsia="Times New Roman" w:cstheme="minorHAnsi"/>
                <w:color w:val="000000"/>
                <w:sz w:val="16"/>
                <w:szCs w:val="16"/>
              </w:rPr>
              <w:br/>
              <w:t>18.50%</w:t>
            </w:r>
          </w:p>
        </w:tc>
        <w:tc>
          <w:tcPr>
            <w:tcW w:w="392" w:type="pct"/>
            <w:hideMark/>
          </w:tcPr>
          <w:p w14:paraId="0669C45C" w14:textId="77777777" w:rsidR="00C6733C" w:rsidRDefault="00C6733C">
            <w:pPr>
              <w:rPr>
                <w:rFonts w:eastAsia="Times New Roman" w:cstheme="minorHAnsi"/>
                <w:color w:val="000000"/>
                <w:sz w:val="16"/>
                <w:szCs w:val="16"/>
              </w:rPr>
            </w:pPr>
          </w:p>
        </w:tc>
        <w:tc>
          <w:tcPr>
            <w:tcW w:w="810" w:type="pct"/>
            <w:gridSpan w:val="2"/>
            <w:hideMark/>
          </w:tcPr>
          <w:p w14:paraId="229EAFA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Sobre nómina activos</w:t>
            </w:r>
            <w:r>
              <w:rPr>
                <w:rFonts w:eastAsia="Times New Roman" w:cstheme="minorHAnsi"/>
                <w:color w:val="000000"/>
                <w:sz w:val="16"/>
                <w:szCs w:val="16"/>
              </w:rPr>
              <w:br/>
              <w:t>18.50%</w:t>
            </w:r>
            <w:r>
              <w:rPr>
                <w:rFonts w:eastAsia="Times New Roman" w:cstheme="minorHAnsi"/>
                <w:color w:val="000000"/>
                <w:sz w:val="16"/>
                <w:szCs w:val="16"/>
              </w:rPr>
              <w:br/>
              <w:t>Sobre nómina pensionados</w:t>
            </w:r>
            <w:r>
              <w:rPr>
                <w:rFonts w:eastAsia="Times New Roman" w:cstheme="minorHAnsi"/>
                <w:color w:val="000000"/>
                <w:sz w:val="16"/>
                <w:szCs w:val="16"/>
              </w:rPr>
              <w:br/>
              <w:t>18.50%</w:t>
            </w:r>
          </w:p>
        </w:tc>
        <w:tc>
          <w:tcPr>
            <w:tcW w:w="852" w:type="pct"/>
            <w:gridSpan w:val="2"/>
            <w:hideMark/>
          </w:tcPr>
          <w:p w14:paraId="3CC45B6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Sobre nómina activos</w:t>
            </w:r>
            <w:r>
              <w:rPr>
                <w:rFonts w:eastAsia="Times New Roman" w:cstheme="minorHAnsi"/>
                <w:color w:val="000000"/>
                <w:sz w:val="16"/>
                <w:szCs w:val="16"/>
              </w:rPr>
              <w:br/>
              <w:t>18.50%</w:t>
            </w:r>
            <w:r>
              <w:rPr>
                <w:rFonts w:eastAsia="Times New Roman" w:cstheme="minorHAnsi"/>
                <w:color w:val="000000"/>
                <w:sz w:val="16"/>
                <w:szCs w:val="16"/>
              </w:rPr>
              <w:br/>
              <w:t>Sobre nómina pensionados</w:t>
            </w:r>
            <w:r>
              <w:rPr>
                <w:rFonts w:eastAsia="Times New Roman" w:cstheme="minorHAnsi"/>
                <w:color w:val="000000"/>
                <w:sz w:val="16"/>
                <w:szCs w:val="16"/>
              </w:rPr>
              <w:br/>
              <w:t>18.50%</w:t>
            </w:r>
          </w:p>
        </w:tc>
        <w:tc>
          <w:tcPr>
            <w:tcW w:w="851" w:type="pct"/>
            <w:gridSpan w:val="2"/>
            <w:hideMark/>
          </w:tcPr>
          <w:p w14:paraId="53F4375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Sobre nómina activos</w:t>
            </w:r>
            <w:r>
              <w:rPr>
                <w:rFonts w:eastAsia="Times New Roman" w:cstheme="minorHAnsi"/>
                <w:color w:val="000000"/>
                <w:sz w:val="16"/>
                <w:szCs w:val="16"/>
              </w:rPr>
              <w:br/>
              <w:t>18.50%</w:t>
            </w:r>
            <w:r>
              <w:rPr>
                <w:rFonts w:eastAsia="Times New Roman" w:cstheme="minorHAnsi"/>
                <w:color w:val="000000"/>
                <w:sz w:val="16"/>
                <w:szCs w:val="16"/>
              </w:rPr>
              <w:br/>
              <w:t>Sobre nómina pensionados</w:t>
            </w:r>
            <w:r>
              <w:rPr>
                <w:rFonts w:eastAsia="Times New Roman" w:cstheme="minorHAnsi"/>
                <w:color w:val="000000"/>
                <w:sz w:val="16"/>
                <w:szCs w:val="16"/>
              </w:rPr>
              <w:br/>
              <w:t>18.50%</w:t>
            </w:r>
          </w:p>
        </w:tc>
      </w:tr>
      <w:tr w:rsidR="00C6733C" w14:paraId="1296E07B" w14:textId="77777777">
        <w:trPr>
          <w:trHeight w:val="300"/>
        </w:trPr>
        <w:tc>
          <w:tcPr>
            <w:tcW w:w="1222" w:type="pct"/>
            <w:gridSpan w:val="2"/>
            <w:hideMark/>
          </w:tcPr>
          <w:p w14:paraId="6C20F73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Crecimiento esperado de los pensionados y jubilados (como %)</w:t>
            </w:r>
          </w:p>
        </w:tc>
        <w:tc>
          <w:tcPr>
            <w:tcW w:w="874" w:type="pct"/>
            <w:gridSpan w:val="2"/>
            <w:noWrap/>
            <w:hideMark/>
          </w:tcPr>
          <w:p w14:paraId="47B83086" w14:textId="77777777" w:rsidR="00C6733C" w:rsidRDefault="006D0638">
            <w:pPr>
              <w:jc w:val="both"/>
              <w:rPr>
                <w:rFonts w:eastAsia="Times New Roman" w:cstheme="minorHAnsi"/>
                <w:color w:val="000000"/>
                <w:sz w:val="16"/>
                <w:szCs w:val="16"/>
              </w:rPr>
            </w:pPr>
            <w:r>
              <w:rPr>
                <w:rFonts w:eastAsia="Times New Roman" w:cstheme="minorHAnsi"/>
                <w:color w:val="000000"/>
                <w:sz w:val="16"/>
                <w:szCs w:val="16"/>
              </w:rPr>
              <w:t>9.18%</w:t>
            </w:r>
          </w:p>
        </w:tc>
        <w:tc>
          <w:tcPr>
            <w:tcW w:w="392" w:type="pct"/>
            <w:noWrap/>
            <w:hideMark/>
          </w:tcPr>
          <w:p w14:paraId="002A6C29" w14:textId="77777777" w:rsidR="00C6733C" w:rsidRDefault="00C6733C">
            <w:pPr>
              <w:jc w:val="both"/>
              <w:rPr>
                <w:rFonts w:eastAsia="Times New Roman" w:cstheme="minorHAnsi"/>
                <w:color w:val="000000"/>
                <w:sz w:val="16"/>
                <w:szCs w:val="16"/>
              </w:rPr>
            </w:pPr>
          </w:p>
        </w:tc>
        <w:tc>
          <w:tcPr>
            <w:tcW w:w="810" w:type="pct"/>
            <w:gridSpan w:val="2"/>
            <w:noWrap/>
            <w:hideMark/>
          </w:tcPr>
          <w:p w14:paraId="76840E73" w14:textId="77777777" w:rsidR="00C6733C" w:rsidRDefault="006D0638">
            <w:pPr>
              <w:jc w:val="both"/>
              <w:rPr>
                <w:rFonts w:eastAsia="Times New Roman" w:cstheme="minorHAnsi"/>
                <w:color w:val="000000"/>
                <w:sz w:val="16"/>
                <w:szCs w:val="16"/>
              </w:rPr>
            </w:pPr>
            <w:r>
              <w:rPr>
                <w:rFonts w:eastAsia="Times New Roman" w:cstheme="minorHAnsi"/>
                <w:color w:val="000000"/>
                <w:sz w:val="16"/>
                <w:szCs w:val="16"/>
              </w:rPr>
              <w:t>31.01%</w:t>
            </w:r>
          </w:p>
        </w:tc>
        <w:tc>
          <w:tcPr>
            <w:tcW w:w="852" w:type="pct"/>
            <w:gridSpan w:val="2"/>
            <w:noWrap/>
            <w:hideMark/>
          </w:tcPr>
          <w:p w14:paraId="432B3C67" w14:textId="77777777" w:rsidR="00C6733C" w:rsidRDefault="006D0638">
            <w:pPr>
              <w:jc w:val="both"/>
              <w:rPr>
                <w:rFonts w:eastAsia="Times New Roman" w:cstheme="minorHAnsi"/>
                <w:color w:val="000000"/>
                <w:sz w:val="16"/>
                <w:szCs w:val="16"/>
              </w:rPr>
            </w:pPr>
            <w:r>
              <w:rPr>
                <w:rFonts w:eastAsia="Times New Roman" w:cstheme="minorHAnsi"/>
                <w:color w:val="000000"/>
                <w:sz w:val="16"/>
                <w:szCs w:val="16"/>
              </w:rPr>
              <w:t>14.97%</w:t>
            </w:r>
          </w:p>
        </w:tc>
        <w:tc>
          <w:tcPr>
            <w:tcW w:w="851" w:type="pct"/>
            <w:gridSpan w:val="2"/>
            <w:noWrap/>
            <w:hideMark/>
          </w:tcPr>
          <w:p w14:paraId="6CB90F8F" w14:textId="77777777" w:rsidR="00C6733C" w:rsidRDefault="006D0638">
            <w:pPr>
              <w:jc w:val="both"/>
              <w:rPr>
                <w:rFonts w:eastAsia="Times New Roman" w:cstheme="minorHAnsi"/>
                <w:color w:val="000000"/>
                <w:sz w:val="16"/>
                <w:szCs w:val="16"/>
              </w:rPr>
            </w:pPr>
            <w:r>
              <w:rPr>
                <w:rFonts w:eastAsia="Times New Roman" w:cstheme="minorHAnsi"/>
                <w:color w:val="000000"/>
                <w:sz w:val="16"/>
                <w:szCs w:val="16"/>
              </w:rPr>
              <w:t>NA</w:t>
            </w:r>
          </w:p>
        </w:tc>
      </w:tr>
      <w:tr w:rsidR="00C6733C" w14:paraId="14E81A9C" w14:textId="77777777">
        <w:trPr>
          <w:trHeight w:val="300"/>
        </w:trPr>
        <w:tc>
          <w:tcPr>
            <w:tcW w:w="1222" w:type="pct"/>
            <w:gridSpan w:val="2"/>
            <w:hideMark/>
          </w:tcPr>
          <w:p w14:paraId="412E882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Crecimiento esperado de los activos (como %)</w:t>
            </w:r>
          </w:p>
        </w:tc>
        <w:tc>
          <w:tcPr>
            <w:tcW w:w="874" w:type="pct"/>
            <w:gridSpan w:val="2"/>
            <w:noWrap/>
            <w:hideMark/>
          </w:tcPr>
          <w:p w14:paraId="312A263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0.2198%</w:t>
            </w:r>
          </w:p>
        </w:tc>
        <w:tc>
          <w:tcPr>
            <w:tcW w:w="392" w:type="pct"/>
            <w:noWrap/>
            <w:hideMark/>
          </w:tcPr>
          <w:p w14:paraId="39091B52" w14:textId="77777777" w:rsidR="00C6733C" w:rsidRDefault="00C6733C">
            <w:pPr>
              <w:jc w:val="right"/>
              <w:rPr>
                <w:rFonts w:eastAsia="Times New Roman" w:cstheme="minorHAnsi"/>
                <w:color w:val="000000"/>
                <w:sz w:val="16"/>
                <w:szCs w:val="16"/>
              </w:rPr>
            </w:pPr>
          </w:p>
        </w:tc>
        <w:tc>
          <w:tcPr>
            <w:tcW w:w="810" w:type="pct"/>
            <w:gridSpan w:val="2"/>
            <w:noWrap/>
            <w:hideMark/>
          </w:tcPr>
          <w:p w14:paraId="2D69DEA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0.2198%</w:t>
            </w:r>
          </w:p>
        </w:tc>
        <w:tc>
          <w:tcPr>
            <w:tcW w:w="852" w:type="pct"/>
            <w:gridSpan w:val="2"/>
            <w:noWrap/>
            <w:hideMark/>
          </w:tcPr>
          <w:p w14:paraId="518E5EB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0.2198%</w:t>
            </w:r>
          </w:p>
        </w:tc>
        <w:tc>
          <w:tcPr>
            <w:tcW w:w="851" w:type="pct"/>
            <w:gridSpan w:val="2"/>
            <w:noWrap/>
            <w:hideMark/>
          </w:tcPr>
          <w:p w14:paraId="5DD3797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0.2198%</w:t>
            </w:r>
          </w:p>
        </w:tc>
      </w:tr>
      <w:tr w:rsidR="00C6733C" w14:paraId="59096DA3" w14:textId="77777777">
        <w:trPr>
          <w:trHeight w:val="300"/>
        </w:trPr>
        <w:tc>
          <w:tcPr>
            <w:tcW w:w="1222" w:type="pct"/>
            <w:gridSpan w:val="2"/>
            <w:hideMark/>
          </w:tcPr>
          <w:p w14:paraId="27518B9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de Jubilación o Pensión</w:t>
            </w:r>
          </w:p>
        </w:tc>
        <w:tc>
          <w:tcPr>
            <w:tcW w:w="874" w:type="pct"/>
            <w:gridSpan w:val="2"/>
            <w:noWrap/>
            <w:hideMark/>
          </w:tcPr>
          <w:p w14:paraId="7E66080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54.49</w:t>
            </w:r>
          </w:p>
        </w:tc>
        <w:tc>
          <w:tcPr>
            <w:tcW w:w="392" w:type="pct"/>
            <w:noWrap/>
            <w:hideMark/>
          </w:tcPr>
          <w:p w14:paraId="2B4F20BB" w14:textId="77777777" w:rsidR="00C6733C" w:rsidRDefault="00C6733C">
            <w:pPr>
              <w:jc w:val="right"/>
              <w:rPr>
                <w:rFonts w:eastAsia="Times New Roman" w:cstheme="minorHAnsi"/>
                <w:color w:val="000000"/>
                <w:sz w:val="16"/>
                <w:szCs w:val="16"/>
              </w:rPr>
            </w:pPr>
          </w:p>
        </w:tc>
        <w:tc>
          <w:tcPr>
            <w:tcW w:w="810" w:type="pct"/>
            <w:gridSpan w:val="2"/>
            <w:noWrap/>
            <w:hideMark/>
          </w:tcPr>
          <w:p w14:paraId="15A7694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53.33</w:t>
            </w:r>
          </w:p>
        </w:tc>
        <w:tc>
          <w:tcPr>
            <w:tcW w:w="852" w:type="pct"/>
            <w:gridSpan w:val="2"/>
            <w:noWrap/>
            <w:hideMark/>
          </w:tcPr>
          <w:p w14:paraId="527F476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53.21</w:t>
            </w:r>
          </w:p>
        </w:tc>
        <w:tc>
          <w:tcPr>
            <w:tcW w:w="851" w:type="pct"/>
            <w:gridSpan w:val="2"/>
            <w:noWrap/>
            <w:hideMark/>
          </w:tcPr>
          <w:p w14:paraId="77E2F62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r>
      <w:tr w:rsidR="00C6733C" w14:paraId="34063714" w14:textId="77777777">
        <w:trPr>
          <w:trHeight w:val="300"/>
        </w:trPr>
        <w:tc>
          <w:tcPr>
            <w:tcW w:w="1222" w:type="pct"/>
            <w:gridSpan w:val="2"/>
            <w:hideMark/>
          </w:tcPr>
          <w:p w14:paraId="59BFE6A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Esperanza de vida</w:t>
            </w:r>
          </w:p>
        </w:tc>
        <w:tc>
          <w:tcPr>
            <w:tcW w:w="874" w:type="pct"/>
            <w:gridSpan w:val="2"/>
            <w:noWrap/>
            <w:hideMark/>
          </w:tcPr>
          <w:p w14:paraId="32003F6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26.08</w:t>
            </w:r>
          </w:p>
        </w:tc>
        <w:tc>
          <w:tcPr>
            <w:tcW w:w="392" w:type="pct"/>
            <w:noWrap/>
            <w:hideMark/>
          </w:tcPr>
          <w:p w14:paraId="4E8C343E" w14:textId="77777777" w:rsidR="00C6733C" w:rsidRDefault="00C6733C">
            <w:pPr>
              <w:jc w:val="right"/>
              <w:rPr>
                <w:rFonts w:eastAsia="Times New Roman" w:cstheme="minorHAnsi"/>
                <w:color w:val="000000"/>
                <w:sz w:val="16"/>
                <w:szCs w:val="16"/>
              </w:rPr>
            </w:pPr>
          </w:p>
        </w:tc>
        <w:tc>
          <w:tcPr>
            <w:tcW w:w="810" w:type="pct"/>
            <w:gridSpan w:val="2"/>
            <w:noWrap/>
            <w:hideMark/>
          </w:tcPr>
          <w:p w14:paraId="73BD1DB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27.74</w:t>
            </w:r>
          </w:p>
        </w:tc>
        <w:tc>
          <w:tcPr>
            <w:tcW w:w="852" w:type="pct"/>
            <w:gridSpan w:val="2"/>
            <w:noWrap/>
            <w:hideMark/>
          </w:tcPr>
          <w:p w14:paraId="3929E49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27.86</w:t>
            </w:r>
          </w:p>
        </w:tc>
        <w:tc>
          <w:tcPr>
            <w:tcW w:w="851" w:type="pct"/>
            <w:gridSpan w:val="2"/>
            <w:noWrap/>
            <w:hideMark/>
          </w:tcPr>
          <w:p w14:paraId="1733A9C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r>
      <w:tr w:rsidR="00C6733C" w14:paraId="72DAFC87" w14:textId="77777777">
        <w:trPr>
          <w:trHeight w:val="300"/>
        </w:trPr>
        <w:tc>
          <w:tcPr>
            <w:tcW w:w="1222" w:type="pct"/>
            <w:gridSpan w:val="2"/>
            <w:hideMark/>
          </w:tcPr>
          <w:p w14:paraId="6D7BBBAD"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Ingresos del Fondo</w:t>
            </w:r>
          </w:p>
        </w:tc>
        <w:tc>
          <w:tcPr>
            <w:tcW w:w="874" w:type="pct"/>
            <w:gridSpan w:val="2"/>
            <w:noWrap/>
            <w:hideMark/>
          </w:tcPr>
          <w:p w14:paraId="3EDBCBA4" w14:textId="77777777" w:rsidR="00C6733C" w:rsidRDefault="00C6733C">
            <w:pPr>
              <w:jc w:val="right"/>
              <w:rPr>
                <w:rFonts w:eastAsia="Times New Roman" w:cstheme="minorHAnsi"/>
                <w:color w:val="000000"/>
                <w:sz w:val="16"/>
                <w:szCs w:val="16"/>
              </w:rPr>
            </w:pPr>
          </w:p>
        </w:tc>
        <w:tc>
          <w:tcPr>
            <w:tcW w:w="392" w:type="pct"/>
            <w:noWrap/>
            <w:hideMark/>
          </w:tcPr>
          <w:p w14:paraId="11202CB8" w14:textId="77777777" w:rsidR="00C6733C" w:rsidRDefault="00C6733C">
            <w:pPr>
              <w:jc w:val="right"/>
              <w:rPr>
                <w:rFonts w:eastAsia="Times New Roman" w:cstheme="minorHAnsi"/>
                <w:color w:val="000000"/>
                <w:sz w:val="16"/>
                <w:szCs w:val="16"/>
              </w:rPr>
            </w:pPr>
          </w:p>
        </w:tc>
        <w:tc>
          <w:tcPr>
            <w:tcW w:w="810" w:type="pct"/>
            <w:gridSpan w:val="2"/>
            <w:noWrap/>
            <w:hideMark/>
          </w:tcPr>
          <w:p w14:paraId="1A605607" w14:textId="77777777" w:rsidR="00C6733C" w:rsidRDefault="00C6733C">
            <w:pPr>
              <w:jc w:val="right"/>
              <w:rPr>
                <w:rFonts w:eastAsia="Times New Roman" w:cstheme="minorHAnsi"/>
                <w:color w:val="000000"/>
                <w:sz w:val="16"/>
                <w:szCs w:val="16"/>
              </w:rPr>
            </w:pPr>
          </w:p>
        </w:tc>
        <w:tc>
          <w:tcPr>
            <w:tcW w:w="852" w:type="pct"/>
            <w:gridSpan w:val="2"/>
            <w:noWrap/>
            <w:hideMark/>
          </w:tcPr>
          <w:p w14:paraId="7CD11372" w14:textId="77777777" w:rsidR="00C6733C" w:rsidRDefault="00C6733C">
            <w:pPr>
              <w:jc w:val="right"/>
              <w:rPr>
                <w:rFonts w:eastAsia="Times New Roman" w:cstheme="minorHAnsi"/>
                <w:color w:val="000000"/>
                <w:sz w:val="16"/>
                <w:szCs w:val="16"/>
              </w:rPr>
            </w:pPr>
          </w:p>
        </w:tc>
        <w:tc>
          <w:tcPr>
            <w:tcW w:w="851" w:type="pct"/>
            <w:gridSpan w:val="2"/>
            <w:noWrap/>
            <w:hideMark/>
          </w:tcPr>
          <w:p w14:paraId="7BE3F27F" w14:textId="77777777" w:rsidR="00C6733C" w:rsidRDefault="00C6733C">
            <w:pPr>
              <w:jc w:val="right"/>
              <w:rPr>
                <w:rFonts w:eastAsia="Times New Roman" w:cstheme="minorHAnsi"/>
                <w:color w:val="000000"/>
                <w:sz w:val="16"/>
                <w:szCs w:val="16"/>
              </w:rPr>
            </w:pPr>
          </w:p>
        </w:tc>
      </w:tr>
      <w:tr w:rsidR="00C6733C" w14:paraId="14FDC826" w14:textId="77777777">
        <w:trPr>
          <w:trHeight w:val="300"/>
        </w:trPr>
        <w:tc>
          <w:tcPr>
            <w:tcW w:w="1222" w:type="pct"/>
            <w:gridSpan w:val="2"/>
            <w:hideMark/>
          </w:tcPr>
          <w:p w14:paraId="5616B3C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Ingresos Anuales al Fondo de Pensiones</w:t>
            </w:r>
          </w:p>
        </w:tc>
        <w:tc>
          <w:tcPr>
            <w:tcW w:w="874" w:type="pct"/>
            <w:gridSpan w:val="2"/>
            <w:noWrap/>
            <w:hideMark/>
          </w:tcPr>
          <w:p w14:paraId="3FFB2F4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716,582,788.72</w:t>
            </w:r>
          </w:p>
        </w:tc>
        <w:tc>
          <w:tcPr>
            <w:tcW w:w="392" w:type="pct"/>
            <w:noWrap/>
            <w:hideMark/>
          </w:tcPr>
          <w:p w14:paraId="2250D4A4" w14:textId="77777777" w:rsidR="00C6733C" w:rsidRDefault="00C6733C">
            <w:pPr>
              <w:jc w:val="right"/>
              <w:rPr>
                <w:rFonts w:eastAsia="Times New Roman" w:cstheme="minorHAnsi"/>
                <w:color w:val="000000"/>
                <w:sz w:val="16"/>
                <w:szCs w:val="16"/>
              </w:rPr>
            </w:pPr>
          </w:p>
        </w:tc>
        <w:tc>
          <w:tcPr>
            <w:tcW w:w="810" w:type="pct"/>
            <w:gridSpan w:val="2"/>
            <w:noWrap/>
            <w:hideMark/>
          </w:tcPr>
          <w:p w14:paraId="11FA4D0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716,582,788.72</w:t>
            </w:r>
          </w:p>
        </w:tc>
        <w:tc>
          <w:tcPr>
            <w:tcW w:w="852" w:type="pct"/>
            <w:gridSpan w:val="2"/>
            <w:noWrap/>
            <w:hideMark/>
          </w:tcPr>
          <w:p w14:paraId="4A68E66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716,582,788.72</w:t>
            </w:r>
          </w:p>
        </w:tc>
        <w:tc>
          <w:tcPr>
            <w:tcW w:w="851" w:type="pct"/>
            <w:gridSpan w:val="2"/>
            <w:noWrap/>
            <w:hideMark/>
          </w:tcPr>
          <w:p w14:paraId="355B920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716,582,788.72</w:t>
            </w:r>
          </w:p>
        </w:tc>
      </w:tr>
      <w:tr w:rsidR="00C6733C" w14:paraId="3BA11B64" w14:textId="77777777">
        <w:trPr>
          <w:trHeight w:val="300"/>
        </w:trPr>
        <w:tc>
          <w:tcPr>
            <w:tcW w:w="1222" w:type="pct"/>
            <w:gridSpan w:val="2"/>
            <w:hideMark/>
          </w:tcPr>
          <w:p w14:paraId="66F416B8"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Nómina anual</w:t>
            </w:r>
          </w:p>
        </w:tc>
        <w:tc>
          <w:tcPr>
            <w:tcW w:w="874" w:type="pct"/>
            <w:gridSpan w:val="2"/>
            <w:noWrap/>
            <w:hideMark/>
          </w:tcPr>
          <w:p w14:paraId="3D188489" w14:textId="77777777" w:rsidR="00C6733C" w:rsidRDefault="00C6733C">
            <w:pPr>
              <w:jc w:val="right"/>
              <w:rPr>
                <w:rFonts w:eastAsia="Times New Roman" w:cstheme="minorHAnsi"/>
                <w:color w:val="000000"/>
                <w:sz w:val="16"/>
                <w:szCs w:val="16"/>
              </w:rPr>
            </w:pPr>
          </w:p>
        </w:tc>
        <w:tc>
          <w:tcPr>
            <w:tcW w:w="392" w:type="pct"/>
            <w:noWrap/>
            <w:hideMark/>
          </w:tcPr>
          <w:p w14:paraId="70A140A0" w14:textId="77777777" w:rsidR="00C6733C" w:rsidRDefault="00C6733C">
            <w:pPr>
              <w:jc w:val="right"/>
              <w:rPr>
                <w:rFonts w:eastAsia="Times New Roman" w:cstheme="minorHAnsi"/>
                <w:color w:val="000000"/>
                <w:sz w:val="16"/>
                <w:szCs w:val="16"/>
              </w:rPr>
            </w:pPr>
          </w:p>
        </w:tc>
        <w:tc>
          <w:tcPr>
            <w:tcW w:w="810" w:type="pct"/>
            <w:gridSpan w:val="2"/>
            <w:noWrap/>
            <w:hideMark/>
          </w:tcPr>
          <w:p w14:paraId="7539378D" w14:textId="77777777" w:rsidR="00C6733C" w:rsidRDefault="00C6733C">
            <w:pPr>
              <w:jc w:val="right"/>
              <w:rPr>
                <w:rFonts w:eastAsia="Times New Roman" w:cstheme="minorHAnsi"/>
                <w:color w:val="000000"/>
                <w:sz w:val="16"/>
                <w:szCs w:val="16"/>
              </w:rPr>
            </w:pPr>
          </w:p>
        </w:tc>
        <w:tc>
          <w:tcPr>
            <w:tcW w:w="852" w:type="pct"/>
            <w:gridSpan w:val="2"/>
            <w:noWrap/>
            <w:hideMark/>
          </w:tcPr>
          <w:p w14:paraId="2F151F20" w14:textId="77777777" w:rsidR="00C6733C" w:rsidRDefault="00C6733C">
            <w:pPr>
              <w:jc w:val="right"/>
              <w:rPr>
                <w:rFonts w:eastAsia="Times New Roman" w:cstheme="minorHAnsi"/>
                <w:color w:val="000000"/>
                <w:sz w:val="16"/>
                <w:szCs w:val="16"/>
              </w:rPr>
            </w:pPr>
          </w:p>
        </w:tc>
        <w:tc>
          <w:tcPr>
            <w:tcW w:w="851" w:type="pct"/>
            <w:gridSpan w:val="2"/>
            <w:noWrap/>
            <w:hideMark/>
          </w:tcPr>
          <w:p w14:paraId="5857CEB0" w14:textId="77777777" w:rsidR="00C6733C" w:rsidRDefault="00C6733C">
            <w:pPr>
              <w:jc w:val="right"/>
              <w:rPr>
                <w:rFonts w:eastAsia="Times New Roman" w:cstheme="minorHAnsi"/>
                <w:color w:val="000000"/>
                <w:sz w:val="16"/>
                <w:szCs w:val="16"/>
              </w:rPr>
            </w:pPr>
          </w:p>
        </w:tc>
      </w:tr>
      <w:tr w:rsidR="00C6733C" w14:paraId="2A4EE517" w14:textId="77777777">
        <w:trPr>
          <w:trHeight w:val="300"/>
        </w:trPr>
        <w:tc>
          <w:tcPr>
            <w:tcW w:w="1222" w:type="pct"/>
            <w:gridSpan w:val="2"/>
            <w:hideMark/>
          </w:tcPr>
          <w:p w14:paraId="2EA4A2E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Activos</w:t>
            </w:r>
          </w:p>
        </w:tc>
        <w:tc>
          <w:tcPr>
            <w:tcW w:w="874" w:type="pct"/>
            <w:gridSpan w:val="2"/>
            <w:noWrap/>
            <w:hideMark/>
          </w:tcPr>
          <w:p w14:paraId="7D0AF82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2,122,027,032.12</w:t>
            </w:r>
          </w:p>
        </w:tc>
        <w:tc>
          <w:tcPr>
            <w:tcW w:w="392" w:type="pct"/>
            <w:noWrap/>
            <w:hideMark/>
          </w:tcPr>
          <w:p w14:paraId="28DF91EB" w14:textId="77777777" w:rsidR="00C6733C" w:rsidRDefault="00C6733C">
            <w:pPr>
              <w:jc w:val="right"/>
              <w:rPr>
                <w:rFonts w:eastAsia="Times New Roman" w:cstheme="minorHAnsi"/>
                <w:color w:val="000000"/>
                <w:sz w:val="16"/>
                <w:szCs w:val="16"/>
              </w:rPr>
            </w:pPr>
          </w:p>
        </w:tc>
        <w:tc>
          <w:tcPr>
            <w:tcW w:w="810" w:type="pct"/>
            <w:gridSpan w:val="2"/>
            <w:noWrap/>
            <w:hideMark/>
          </w:tcPr>
          <w:p w14:paraId="23EDA76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2,122,027,032.12</w:t>
            </w:r>
          </w:p>
        </w:tc>
        <w:tc>
          <w:tcPr>
            <w:tcW w:w="852" w:type="pct"/>
            <w:gridSpan w:val="2"/>
            <w:noWrap/>
            <w:hideMark/>
          </w:tcPr>
          <w:p w14:paraId="6F3D169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2,122,027,032.12</w:t>
            </w:r>
          </w:p>
        </w:tc>
        <w:tc>
          <w:tcPr>
            <w:tcW w:w="851" w:type="pct"/>
            <w:gridSpan w:val="2"/>
            <w:noWrap/>
            <w:hideMark/>
          </w:tcPr>
          <w:p w14:paraId="1599048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2,122,027,032.12</w:t>
            </w:r>
          </w:p>
        </w:tc>
      </w:tr>
      <w:tr w:rsidR="00C6733C" w14:paraId="0CD98C0B" w14:textId="77777777">
        <w:trPr>
          <w:trHeight w:val="300"/>
        </w:trPr>
        <w:tc>
          <w:tcPr>
            <w:tcW w:w="1222" w:type="pct"/>
            <w:gridSpan w:val="2"/>
            <w:hideMark/>
          </w:tcPr>
          <w:p w14:paraId="2FB7727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xml:space="preserve">Pensionados y </w:t>
            </w:r>
            <w:r>
              <w:rPr>
                <w:rFonts w:eastAsia="Times New Roman" w:cstheme="minorHAnsi"/>
                <w:color w:val="000000"/>
                <w:sz w:val="16"/>
                <w:szCs w:val="16"/>
              </w:rPr>
              <w:t>Jubilados</w:t>
            </w:r>
          </w:p>
        </w:tc>
        <w:tc>
          <w:tcPr>
            <w:tcW w:w="874" w:type="pct"/>
            <w:gridSpan w:val="2"/>
            <w:noWrap/>
            <w:hideMark/>
          </w:tcPr>
          <w:p w14:paraId="2BAFAB5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642,819,896.38</w:t>
            </w:r>
          </w:p>
        </w:tc>
        <w:tc>
          <w:tcPr>
            <w:tcW w:w="392" w:type="pct"/>
            <w:noWrap/>
            <w:hideMark/>
          </w:tcPr>
          <w:p w14:paraId="0D4C9CC5" w14:textId="77777777" w:rsidR="00C6733C" w:rsidRDefault="00C6733C">
            <w:pPr>
              <w:jc w:val="right"/>
              <w:rPr>
                <w:rFonts w:eastAsia="Times New Roman" w:cstheme="minorHAnsi"/>
                <w:color w:val="000000"/>
                <w:sz w:val="16"/>
                <w:szCs w:val="16"/>
              </w:rPr>
            </w:pPr>
          </w:p>
        </w:tc>
        <w:tc>
          <w:tcPr>
            <w:tcW w:w="810" w:type="pct"/>
            <w:gridSpan w:val="2"/>
            <w:noWrap/>
            <w:hideMark/>
          </w:tcPr>
          <w:p w14:paraId="4F26F09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10,015,049.71</w:t>
            </w:r>
          </w:p>
        </w:tc>
        <w:tc>
          <w:tcPr>
            <w:tcW w:w="852" w:type="pct"/>
            <w:gridSpan w:val="2"/>
            <w:noWrap/>
            <w:hideMark/>
          </w:tcPr>
          <w:p w14:paraId="23E854C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91,485,737.36</w:t>
            </w:r>
          </w:p>
        </w:tc>
        <w:tc>
          <w:tcPr>
            <w:tcW w:w="851" w:type="pct"/>
            <w:gridSpan w:val="2"/>
            <w:noWrap/>
            <w:hideMark/>
          </w:tcPr>
          <w:p w14:paraId="230834A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w:t>
            </w:r>
          </w:p>
        </w:tc>
      </w:tr>
      <w:tr w:rsidR="00C6733C" w14:paraId="2F6C384C" w14:textId="77777777">
        <w:trPr>
          <w:trHeight w:val="300"/>
        </w:trPr>
        <w:tc>
          <w:tcPr>
            <w:tcW w:w="1222" w:type="pct"/>
            <w:gridSpan w:val="2"/>
            <w:hideMark/>
          </w:tcPr>
          <w:p w14:paraId="10DE488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Beneficiarios de Pensionados y Jubilados</w:t>
            </w:r>
          </w:p>
        </w:tc>
        <w:tc>
          <w:tcPr>
            <w:tcW w:w="874" w:type="pct"/>
            <w:gridSpan w:val="2"/>
            <w:noWrap/>
            <w:hideMark/>
          </w:tcPr>
          <w:p w14:paraId="3A9053C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c>
          <w:tcPr>
            <w:tcW w:w="392" w:type="pct"/>
            <w:noWrap/>
            <w:hideMark/>
          </w:tcPr>
          <w:p w14:paraId="4DEAEE1B" w14:textId="77777777" w:rsidR="00C6733C" w:rsidRDefault="00C6733C">
            <w:pPr>
              <w:jc w:val="right"/>
              <w:rPr>
                <w:rFonts w:eastAsia="Times New Roman" w:cstheme="minorHAnsi"/>
                <w:color w:val="000000"/>
                <w:sz w:val="16"/>
                <w:szCs w:val="16"/>
              </w:rPr>
            </w:pPr>
          </w:p>
        </w:tc>
        <w:tc>
          <w:tcPr>
            <w:tcW w:w="810" w:type="pct"/>
            <w:gridSpan w:val="2"/>
            <w:noWrap/>
            <w:hideMark/>
          </w:tcPr>
          <w:p w14:paraId="48BD627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c>
          <w:tcPr>
            <w:tcW w:w="852" w:type="pct"/>
            <w:gridSpan w:val="2"/>
            <w:noWrap/>
            <w:hideMark/>
          </w:tcPr>
          <w:p w14:paraId="2477553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c>
          <w:tcPr>
            <w:tcW w:w="851" w:type="pct"/>
            <w:gridSpan w:val="2"/>
            <w:noWrap/>
            <w:hideMark/>
          </w:tcPr>
          <w:p w14:paraId="110CB44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r>
      <w:tr w:rsidR="00C6733C" w14:paraId="741D177A" w14:textId="77777777">
        <w:trPr>
          <w:trHeight w:val="300"/>
        </w:trPr>
        <w:tc>
          <w:tcPr>
            <w:tcW w:w="1222" w:type="pct"/>
            <w:gridSpan w:val="2"/>
            <w:hideMark/>
          </w:tcPr>
          <w:p w14:paraId="65B879CC"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Monto mensual por pensión</w:t>
            </w:r>
          </w:p>
        </w:tc>
        <w:tc>
          <w:tcPr>
            <w:tcW w:w="874" w:type="pct"/>
            <w:gridSpan w:val="2"/>
            <w:noWrap/>
            <w:hideMark/>
          </w:tcPr>
          <w:p w14:paraId="71257E2B" w14:textId="77777777" w:rsidR="00C6733C" w:rsidRDefault="00C6733C">
            <w:pPr>
              <w:rPr>
                <w:rFonts w:eastAsia="Times New Roman" w:cstheme="minorHAnsi"/>
                <w:color w:val="000000"/>
                <w:sz w:val="16"/>
                <w:szCs w:val="16"/>
              </w:rPr>
            </w:pPr>
          </w:p>
        </w:tc>
        <w:tc>
          <w:tcPr>
            <w:tcW w:w="392" w:type="pct"/>
            <w:noWrap/>
            <w:hideMark/>
          </w:tcPr>
          <w:p w14:paraId="46662983" w14:textId="77777777" w:rsidR="00C6733C" w:rsidRDefault="00C6733C">
            <w:pPr>
              <w:rPr>
                <w:rFonts w:eastAsia="Times New Roman" w:cstheme="minorHAnsi"/>
                <w:color w:val="000000"/>
                <w:sz w:val="16"/>
                <w:szCs w:val="16"/>
              </w:rPr>
            </w:pPr>
          </w:p>
        </w:tc>
        <w:tc>
          <w:tcPr>
            <w:tcW w:w="810" w:type="pct"/>
            <w:gridSpan w:val="2"/>
            <w:noWrap/>
            <w:hideMark/>
          </w:tcPr>
          <w:p w14:paraId="58536406" w14:textId="77777777" w:rsidR="00C6733C" w:rsidRDefault="00C6733C">
            <w:pPr>
              <w:rPr>
                <w:rFonts w:eastAsia="Times New Roman" w:cstheme="minorHAnsi"/>
                <w:color w:val="000000"/>
                <w:sz w:val="16"/>
                <w:szCs w:val="16"/>
              </w:rPr>
            </w:pPr>
          </w:p>
        </w:tc>
        <w:tc>
          <w:tcPr>
            <w:tcW w:w="852" w:type="pct"/>
            <w:gridSpan w:val="2"/>
            <w:noWrap/>
            <w:hideMark/>
          </w:tcPr>
          <w:p w14:paraId="1231276E" w14:textId="77777777" w:rsidR="00C6733C" w:rsidRDefault="00C6733C">
            <w:pPr>
              <w:rPr>
                <w:rFonts w:eastAsia="Times New Roman" w:cstheme="minorHAnsi"/>
                <w:color w:val="000000"/>
                <w:sz w:val="16"/>
                <w:szCs w:val="16"/>
              </w:rPr>
            </w:pPr>
          </w:p>
        </w:tc>
        <w:tc>
          <w:tcPr>
            <w:tcW w:w="851" w:type="pct"/>
            <w:gridSpan w:val="2"/>
            <w:noWrap/>
            <w:hideMark/>
          </w:tcPr>
          <w:p w14:paraId="02C253FF" w14:textId="77777777" w:rsidR="00C6733C" w:rsidRDefault="00C6733C">
            <w:pPr>
              <w:rPr>
                <w:rFonts w:eastAsia="Times New Roman" w:cstheme="minorHAnsi"/>
                <w:color w:val="000000"/>
                <w:sz w:val="16"/>
                <w:szCs w:val="16"/>
              </w:rPr>
            </w:pPr>
          </w:p>
        </w:tc>
      </w:tr>
      <w:tr w:rsidR="00C6733C" w14:paraId="4AF6EE44" w14:textId="77777777">
        <w:trPr>
          <w:trHeight w:val="300"/>
        </w:trPr>
        <w:tc>
          <w:tcPr>
            <w:tcW w:w="1222" w:type="pct"/>
            <w:gridSpan w:val="2"/>
            <w:hideMark/>
          </w:tcPr>
          <w:p w14:paraId="1B1AAC3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Máximo</w:t>
            </w:r>
          </w:p>
        </w:tc>
        <w:tc>
          <w:tcPr>
            <w:tcW w:w="874" w:type="pct"/>
            <w:gridSpan w:val="2"/>
            <w:noWrap/>
            <w:hideMark/>
          </w:tcPr>
          <w:p w14:paraId="694DA55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41,443.62</w:t>
            </w:r>
          </w:p>
        </w:tc>
        <w:tc>
          <w:tcPr>
            <w:tcW w:w="392" w:type="pct"/>
            <w:noWrap/>
            <w:hideMark/>
          </w:tcPr>
          <w:p w14:paraId="62CD52B2" w14:textId="77777777" w:rsidR="00C6733C" w:rsidRDefault="00C6733C">
            <w:pPr>
              <w:jc w:val="right"/>
              <w:rPr>
                <w:rFonts w:eastAsia="Times New Roman" w:cstheme="minorHAnsi"/>
                <w:color w:val="000000"/>
                <w:sz w:val="16"/>
                <w:szCs w:val="16"/>
              </w:rPr>
            </w:pPr>
          </w:p>
        </w:tc>
        <w:tc>
          <w:tcPr>
            <w:tcW w:w="810" w:type="pct"/>
            <w:gridSpan w:val="2"/>
            <w:noWrap/>
            <w:hideMark/>
          </w:tcPr>
          <w:p w14:paraId="79EA712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18,972.11</w:t>
            </w:r>
          </w:p>
        </w:tc>
        <w:tc>
          <w:tcPr>
            <w:tcW w:w="852" w:type="pct"/>
            <w:gridSpan w:val="2"/>
            <w:noWrap/>
            <w:hideMark/>
          </w:tcPr>
          <w:p w14:paraId="32047E2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43,862.37</w:t>
            </w:r>
          </w:p>
        </w:tc>
        <w:tc>
          <w:tcPr>
            <w:tcW w:w="851" w:type="pct"/>
            <w:gridSpan w:val="2"/>
            <w:noWrap/>
            <w:hideMark/>
          </w:tcPr>
          <w:p w14:paraId="716857A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r>
      <w:tr w:rsidR="00C6733C" w14:paraId="43595F88" w14:textId="77777777">
        <w:trPr>
          <w:trHeight w:val="300"/>
        </w:trPr>
        <w:tc>
          <w:tcPr>
            <w:tcW w:w="1222" w:type="pct"/>
            <w:gridSpan w:val="2"/>
            <w:hideMark/>
          </w:tcPr>
          <w:p w14:paraId="7E1F8FD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Mínimo</w:t>
            </w:r>
          </w:p>
        </w:tc>
        <w:tc>
          <w:tcPr>
            <w:tcW w:w="874" w:type="pct"/>
            <w:gridSpan w:val="2"/>
            <w:noWrap/>
            <w:hideMark/>
          </w:tcPr>
          <w:p w14:paraId="1BDD8BC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6,066.31</w:t>
            </w:r>
          </w:p>
        </w:tc>
        <w:tc>
          <w:tcPr>
            <w:tcW w:w="392" w:type="pct"/>
            <w:noWrap/>
            <w:hideMark/>
          </w:tcPr>
          <w:p w14:paraId="1D487ADC" w14:textId="77777777" w:rsidR="00C6733C" w:rsidRDefault="00C6733C">
            <w:pPr>
              <w:jc w:val="right"/>
              <w:rPr>
                <w:rFonts w:eastAsia="Times New Roman" w:cstheme="minorHAnsi"/>
                <w:color w:val="000000"/>
                <w:sz w:val="16"/>
                <w:szCs w:val="16"/>
              </w:rPr>
            </w:pPr>
          </w:p>
        </w:tc>
        <w:tc>
          <w:tcPr>
            <w:tcW w:w="810" w:type="pct"/>
            <w:gridSpan w:val="2"/>
            <w:noWrap/>
            <w:hideMark/>
          </w:tcPr>
          <w:p w14:paraId="009DFF6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4,367.63</w:t>
            </w:r>
          </w:p>
        </w:tc>
        <w:tc>
          <w:tcPr>
            <w:tcW w:w="852" w:type="pct"/>
            <w:gridSpan w:val="2"/>
            <w:noWrap/>
            <w:hideMark/>
          </w:tcPr>
          <w:p w14:paraId="485CA03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1,680.85</w:t>
            </w:r>
          </w:p>
        </w:tc>
        <w:tc>
          <w:tcPr>
            <w:tcW w:w="851" w:type="pct"/>
            <w:gridSpan w:val="2"/>
            <w:noWrap/>
            <w:hideMark/>
          </w:tcPr>
          <w:p w14:paraId="247BFB0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r>
      <w:tr w:rsidR="00C6733C" w14:paraId="7250C812" w14:textId="77777777">
        <w:trPr>
          <w:trHeight w:val="300"/>
        </w:trPr>
        <w:tc>
          <w:tcPr>
            <w:tcW w:w="1222" w:type="pct"/>
            <w:gridSpan w:val="2"/>
            <w:hideMark/>
          </w:tcPr>
          <w:p w14:paraId="56B2BC2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Promedio</w:t>
            </w:r>
          </w:p>
        </w:tc>
        <w:tc>
          <w:tcPr>
            <w:tcW w:w="874" w:type="pct"/>
            <w:gridSpan w:val="2"/>
            <w:noWrap/>
            <w:hideMark/>
          </w:tcPr>
          <w:p w14:paraId="21E8CC2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20,033.03</w:t>
            </w:r>
          </w:p>
        </w:tc>
        <w:tc>
          <w:tcPr>
            <w:tcW w:w="392" w:type="pct"/>
            <w:noWrap/>
            <w:hideMark/>
          </w:tcPr>
          <w:p w14:paraId="7AEDDA66" w14:textId="77777777" w:rsidR="00C6733C" w:rsidRDefault="00C6733C">
            <w:pPr>
              <w:jc w:val="right"/>
              <w:rPr>
                <w:rFonts w:eastAsia="Times New Roman" w:cstheme="minorHAnsi"/>
                <w:color w:val="000000"/>
                <w:sz w:val="16"/>
                <w:szCs w:val="16"/>
              </w:rPr>
            </w:pPr>
          </w:p>
        </w:tc>
        <w:tc>
          <w:tcPr>
            <w:tcW w:w="810" w:type="pct"/>
            <w:gridSpan w:val="2"/>
            <w:noWrap/>
            <w:hideMark/>
          </w:tcPr>
          <w:p w14:paraId="11E0652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8,974.06</w:t>
            </w:r>
          </w:p>
        </w:tc>
        <w:tc>
          <w:tcPr>
            <w:tcW w:w="852" w:type="pct"/>
            <w:gridSpan w:val="2"/>
            <w:noWrap/>
            <w:hideMark/>
          </w:tcPr>
          <w:p w14:paraId="68956AC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8,948.14</w:t>
            </w:r>
          </w:p>
        </w:tc>
        <w:tc>
          <w:tcPr>
            <w:tcW w:w="851" w:type="pct"/>
            <w:gridSpan w:val="2"/>
            <w:noWrap/>
            <w:hideMark/>
          </w:tcPr>
          <w:p w14:paraId="472F07F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r>
      <w:tr w:rsidR="00C6733C" w14:paraId="77B9EE18" w14:textId="77777777">
        <w:trPr>
          <w:trHeight w:val="300"/>
        </w:trPr>
        <w:tc>
          <w:tcPr>
            <w:tcW w:w="1222" w:type="pct"/>
            <w:gridSpan w:val="2"/>
            <w:hideMark/>
          </w:tcPr>
          <w:p w14:paraId="20184FBB"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Monto de la reserva</w:t>
            </w:r>
          </w:p>
        </w:tc>
        <w:tc>
          <w:tcPr>
            <w:tcW w:w="874" w:type="pct"/>
            <w:gridSpan w:val="2"/>
            <w:noWrap/>
            <w:hideMark/>
          </w:tcPr>
          <w:p w14:paraId="5FB76FB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537,735,598.09</w:t>
            </w:r>
          </w:p>
        </w:tc>
        <w:tc>
          <w:tcPr>
            <w:tcW w:w="392" w:type="pct"/>
            <w:noWrap/>
            <w:hideMark/>
          </w:tcPr>
          <w:p w14:paraId="1B454421" w14:textId="77777777" w:rsidR="00C6733C" w:rsidRDefault="00C6733C">
            <w:pPr>
              <w:jc w:val="right"/>
              <w:rPr>
                <w:rFonts w:eastAsia="Times New Roman" w:cstheme="minorHAnsi"/>
                <w:color w:val="000000"/>
                <w:sz w:val="16"/>
                <w:szCs w:val="16"/>
              </w:rPr>
            </w:pPr>
          </w:p>
        </w:tc>
        <w:tc>
          <w:tcPr>
            <w:tcW w:w="810" w:type="pct"/>
            <w:gridSpan w:val="2"/>
            <w:noWrap/>
            <w:hideMark/>
          </w:tcPr>
          <w:p w14:paraId="4B536381" w14:textId="77777777" w:rsidR="00C6733C" w:rsidRDefault="00C6733C">
            <w:pPr>
              <w:jc w:val="right"/>
              <w:rPr>
                <w:rFonts w:eastAsia="Times New Roman" w:cstheme="minorHAnsi"/>
                <w:color w:val="000000"/>
                <w:sz w:val="16"/>
                <w:szCs w:val="16"/>
              </w:rPr>
            </w:pPr>
          </w:p>
        </w:tc>
        <w:tc>
          <w:tcPr>
            <w:tcW w:w="852" w:type="pct"/>
            <w:gridSpan w:val="2"/>
            <w:noWrap/>
            <w:hideMark/>
          </w:tcPr>
          <w:p w14:paraId="591D2A92" w14:textId="77777777" w:rsidR="00C6733C" w:rsidRDefault="00C6733C">
            <w:pPr>
              <w:jc w:val="right"/>
              <w:rPr>
                <w:rFonts w:eastAsia="Times New Roman" w:cstheme="minorHAnsi"/>
                <w:color w:val="000000"/>
                <w:sz w:val="16"/>
                <w:szCs w:val="16"/>
              </w:rPr>
            </w:pPr>
          </w:p>
        </w:tc>
        <w:tc>
          <w:tcPr>
            <w:tcW w:w="851" w:type="pct"/>
            <w:gridSpan w:val="2"/>
            <w:noWrap/>
            <w:hideMark/>
          </w:tcPr>
          <w:p w14:paraId="4EF713A8" w14:textId="77777777" w:rsidR="00C6733C" w:rsidRDefault="00C6733C">
            <w:pPr>
              <w:jc w:val="right"/>
              <w:rPr>
                <w:rFonts w:eastAsia="Times New Roman" w:cstheme="minorHAnsi"/>
                <w:color w:val="000000"/>
                <w:sz w:val="16"/>
                <w:szCs w:val="16"/>
              </w:rPr>
            </w:pPr>
          </w:p>
        </w:tc>
      </w:tr>
      <w:tr w:rsidR="00C6733C" w14:paraId="4AF43544" w14:textId="77777777">
        <w:trPr>
          <w:trHeight w:val="300"/>
        </w:trPr>
        <w:tc>
          <w:tcPr>
            <w:tcW w:w="1222" w:type="pct"/>
            <w:gridSpan w:val="2"/>
            <w:hideMark/>
          </w:tcPr>
          <w:p w14:paraId="32EFF54C"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Valor presente de las obligaciones</w:t>
            </w:r>
          </w:p>
        </w:tc>
        <w:tc>
          <w:tcPr>
            <w:tcW w:w="874" w:type="pct"/>
            <w:gridSpan w:val="2"/>
            <w:noWrap/>
            <w:hideMark/>
          </w:tcPr>
          <w:p w14:paraId="3AA231B6" w14:textId="77777777" w:rsidR="00C6733C" w:rsidRDefault="00C6733C">
            <w:pPr>
              <w:jc w:val="right"/>
              <w:rPr>
                <w:rFonts w:eastAsia="Times New Roman" w:cstheme="minorHAnsi"/>
                <w:color w:val="000000"/>
                <w:sz w:val="16"/>
                <w:szCs w:val="16"/>
              </w:rPr>
            </w:pPr>
          </w:p>
        </w:tc>
        <w:tc>
          <w:tcPr>
            <w:tcW w:w="392" w:type="pct"/>
            <w:noWrap/>
            <w:hideMark/>
          </w:tcPr>
          <w:p w14:paraId="7B59E96E" w14:textId="77777777" w:rsidR="00C6733C" w:rsidRDefault="00C6733C">
            <w:pPr>
              <w:jc w:val="right"/>
              <w:rPr>
                <w:rFonts w:eastAsia="Times New Roman" w:cstheme="minorHAnsi"/>
                <w:color w:val="000000"/>
                <w:sz w:val="16"/>
                <w:szCs w:val="16"/>
              </w:rPr>
            </w:pPr>
          </w:p>
        </w:tc>
        <w:tc>
          <w:tcPr>
            <w:tcW w:w="810" w:type="pct"/>
            <w:gridSpan w:val="2"/>
            <w:noWrap/>
            <w:hideMark/>
          </w:tcPr>
          <w:p w14:paraId="435D2AC1" w14:textId="77777777" w:rsidR="00C6733C" w:rsidRDefault="00C6733C">
            <w:pPr>
              <w:jc w:val="right"/>
              <w:rPr>
                <w:rFonts w:eastAsia="Times New Roman" w:cstheme="minorHAnsi"/>
                <w:color w:val="000000"/>
                <w:sz w:val="16"/>
                <w:szCs w:val="16"/>
              </w:rPr>
            </w:pPr>
          </w:p>
        </w:tc>
        <w:tc>
          <w:tcPr>
            <w:tcW w:w="852" w:type="pct"/>
            <w:gridSpan w:val="2"/>
            <w:noWrap/>
            <w:hideMark/>
          </w:tcPr>
          <w:p w14:paraId="683E0973" w14:textId="77777777" w:rsidR="00C6733C" w:rsidRDefault="00C6733C">
            <w:pPr>
              <w:jc w:val="right"/>
              <w:rPr>
                <w:rFonts w:eastAsia="Times New Roman" w:cstheme="minorHAnsi"/>
                <w:color w:val="000000"/>
                <w:sz w:val="16"/>
                <w:szCs w:val="16"/>
              </w:rPr>
            </w:pPr>
          </w:p>
        </w:tc>
        <w:tc>
          <w:tcPr>
            <w:tcW w:w="851" w:type="pct"/>
            <w:gridSpan w:val="2"/>
            <w:noWrap/>
            <w:hideMark/>
          </w:tcPr>
          <w:p w14:paraId="2EFD6ABA" w14:textId="77777777" w:rsidR="00C6733C" w:rsidRDefault="00C6733C">
            <w:pPr>
              <w:jc w:val="right"/>
              <w:rPr>
                <w:rFonts w:eastAsia="Times New Roman" w:cstheme="minorHAnsi"/>
                <w:color w:val="000000"/>
                <w:sz w:val="16"/>
                <w:szCs w:val="16"/>
              </w:rPr>
            </w:pPr>
          </w:p>
        </w:tc>
      </w:tr>
      <w:tr w:rsidR="00C6733C" w14:paraId="47125A29" w14:textId="77777777">
        <w:trPr>
          <w:trHeight w:val="300"/>
        </w:trPr>
        <w:tc>
          <w:tcPr>
            <w:tcW w:w="1222" w:type="pct"/>
            <w:gridSpan w:val="2"/>
            <w:hideMark/>
          </w:tcPr>
          <w:p w14:paraId="15AC476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Pensiones y Jubilaciones en curso de pago</w:t>
            </w:r>
          </w:p>
        </w:tc>
        <w:tc>
          <w:tcPr>
            <w:tcW w:w="874" w:type="pct"/>
            <w:gridSpan w:val="2"/>
            <w:noWrap/>
            <w:hideMark/>
          </w:tcPr>
          <w:p w14:paraId="0D3CCC4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10,387,188,322.22</w:t>
            </w:r>
          </w:p>
        </w:tc>
        <w:tc>
          <w:tcPr>
            <w:tcW w:w="392" w:type="pct"/>
            <w:noWrap/>
            <w:hideMark/>
          </w:tcPr>
          <w:p w14:paraId="7075BC05" w14:textId="77777777" w:rsidR="00C6733C" w:rsidRDefault="00C6733C">
            <w:pPr>
              <w:jc w:val="right"/>
              <w:rPr>
                <w:rFonts w:eastAsia="Times New Roman" w:cstheme="minorHAnsi"/>
                <w:color w:val="000000"/>
                <w:sz w:val="16"/>
                <w:szCs w:val="16"/>
              </w:rPr>
            </w:pPr>
          </w:p>
        </w:tc>
        <w:tc>
          <w:tcPr>
            <w:tcW w:w="810" w:type="pct"/>
            <w:gridSpan w:val="2"/>
            <w:noWrap/>
            <w:hideMark/>
          </w:tcPr>
          <w:p w14:paraId="6FBB122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48,140,051.13</w:t>
            </w:r>
          </w:p>
        </w:tc>
        <w:tc>
          <w:tcPr>
            <w:tcW w:w="852" w:type="pct"/>
            <w:gridSpan w:val="2"/>
            <w:noWrap/>
            <w:hideMark/>
          </w:tcPr>
          <w:p w14:paraId="76B4A2F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443,732,187.59</w:t>
            </w:r>
          </w:p>
        </w:tc>
        <w:tc>
          <w:tcPr>
            <w:tcW w:w="851" w:type="pct"/>
            <w:gridSpan w:val="2"/>
            <w:noWrap/>
            <w:hideMark/>
          </w:tcPr>
          <w:p w14:paraId="0ADC78C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212,807,936.96</w:t>
            </w:r>
          </w:p>
        </w:tc>
      </w:tr>
      <w:tr w:rsidR="00C6733C" w14:paraId="0876D997" w14:textId="77777777">
        <w:trPr>
          <w:trHeight w:val="300"/>
        </w:trPr>
        <w:tc>
          <w:tcPr>
            <w:tcW w:w="1222" w:type="pct"/>
            <w:gridSpan w:val="2"/>
            <w:hideMark/>
          </w:tcPr>
          <w:p w14:paraId="2619B80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Generación actual</w:t>
            </w:r>
          </w:p>
        </w:tc>
        <w:tc>
          <w:tcPr>
            <w:tcW w:w="874" w:type="pct"/>
            <w:gridSpan w:val="2"/>
            <w:noWrap/>
            <w:hideMark/>
          </w:tcPr>
          <w:p w14:paraId="43B4C16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26,136,861,440.16</w:t>
            </w:r>
          </w:p>
        </w:tc>
        <w:tc>
          <w:tcPr>
            <w:tcW w:w="392" w:type="pct"/>
            <w:noWrap/>
            <w:hideMark/>
          </w:tcPr>
          <w:p w14:paraId="086D3BE2" w14:textId="77777777" w:rsidR="00C6733C" w:rsidRDefault="00C6733C">
            <w:pPr>
              <w:jc w:val="right"/>
              <w:rPr>
                <w:rFonts w:eastAsia="Times New Roman" w:cstheme="minorHAnsi"/>
                <w:color w:val="000000"/>
                <w:sz w:val="16"/>
                <w:szCs w:val="16"/>
              </w:rPr>
            </w:pPr>
          </w:p>
        </w:tc>
        <w:tc>
          <w:tcPr>
            <w:tcW w:w="810" w:type="pct"/>
            <w:gridSpan w:val="2"/>
            <w:noWrap/>
            <w:hideMark/>
          </w:tcPr>
          <w:p w14:paraId="619EF2F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512,561,383.83</w:t>
            </w:r>
          </w:p>
        </w:tc>
        <w:tc>
          <w:tcPr>
            <w:tcW w:w="852" w:type="pct"/>
            <w:gridSpan w:val="2"/>
            <w:noWrap/>
            <w:hideMark/>
          </w:tcPr>
          <w:p w14:paraId="29DAD6F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1,581,479,294.51</w:t>
            </w:r>
          </w:p>
        </w:tc>
        <w:tc>
          <w:tcPr>
            <w:tcW w:w="851" w:type="pct"/>
            <w:gridSpan w:val="2"/>
            <w:noWrap/>
            <w:hideMark/>
          </w:tcPr>
          <w:p w14:paraId="4B75FCF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1,841,404,963.99</w:t>
            </w:r>
          </w:p>
        </w:tc>
      </w:tr>
      <w:tr w:rsidR="00C6733C" w14:paraId="5836B8DB" w14:textId="77777777">
        <w:trPr>
          <w:trHeight w:val="300"/>
        </w:trPr>
        <w:tc>
          <w:tcPr>
            <w:tcW w:w="1222" w:type="pct"/>
            <w:gridSpan w:val="2"/>
            <w:hideMark/>
          </w:tcPr>
          <w:p w14:paraId="5286365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Generaciones futuras</w:t>
            </w:r>
          </w:p>
        </w:tc>
        <w:tc>
          <w:tcPr>
            <w:tcW w:w="874" w:type="pct"/>
            <w:gridSpan w:val="2"/>
            <w:noWrap/>
            <w:hideMark/>
          </w:tcPr>
          <w:p w14:paraId="01E09D0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20,503,583,030.47</w:t>
            </w:r>
          </w:p>
        </w:tc>
        <w:tc>
          <w:tcPr>
            <w:tcW w:w="392" w:type="pct"/>
            <w:noWrap/>
            <w:hideMark/>
          </w:tcPr>
          <w:p w14:paraId="20F5BA97" w14:textId="77777777" w:rsidR="00C6733C" w:rsidRDefault="00C6733C">
            <w:pPr>
              <w:jc w:val="right"/>
              <w:rPr>
                <w:rFonts w:eastAsia="Times New Roman" w:cstheme="minorHAnsi"/>
                <w:color w:val="000000"/>
                <w:sz w:val="16"/>
                <w:szCs w:val="16"/>
              </w:rPr>
            </w:pPr>
          </w:p>
        </w:tc>
        <w:tc>
          <w:tcPr>
            <w:tcW w:w="810" w:type="pct"/>
            <w:gridSpan w:val="2"/>
            <w:noWrap/>
            <w:hideMark/>
          </w:tcPr>
          <w:p w14:paraId="0E03F58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1,638,043,362.35</w:t>
            </w:r>
          </w:p>
        </w:tc>
        <w:tc>
          <w:tcPr>
            <w:tcW w:w="852" w:type="pct"/>
            <w:gridSpan w:val="2"/>
            <w:noWrap/>
            <w:hideMark/>
          </w:tcPr>
          <w:p w14:paraId="48EFB94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3,164,082,917.73</w:t>
            </w:r>
          </w:p>
        </w:tc>
        <w:tc>
          <w:tcPr>
            <w:tcW w:w="851" w:type="pct"/>
            <w:gridSpan w:val="2"/>
            <w:noWrap/>
            <w:hideMark/>
          </w:tcPr>
          <w:p w14:paraId="2FA496B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2,786,209,893.73</w:t>
            </w:r>
          </w:p>
        </w:tc>
      </w:tr>
      <w:tr w:rsidR="00C6733C" w14:paraId="6BA53CE5" w14:textId="77777777">
        <w:trPr>
          <w:trHeight w:val="600"/>
        </w:trPr>
        <w:tc>
          <w:tcPr>
            <w:tcW w:w="1222" w:type="pct"/>
            <w:gridSpan w:val="2"/>
            <w:hideMark/>
          </w:tcPr>
          <w:p w14:paraId="465E833F"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Valor presente de las contribuciones asociadas a los sueldos futuros de cotización 3%</w:t>
            </w:r>
          </w:p>
        </w:tc>
        <w:tc>
          <w:tcPr>
            <w:tcW w:w="874" w:type="pct"/>
            <w:gridSpan w:val="2"/>
            <w:noWrap/>
            <w:hideMark/>
          </w:tcPr>
          <w:p w14:paraId="32DDF1FC" w14:textId="77777777" w:rsidR="00C6733C" w:rsidRDefault="00C6733C">
            <w:pPr>
              <w:rPr>
                <w:rFonts w:eastAsia="Times New Roman" w:cstheme="minorHAnsi"/>
                <w:color w:val="000000"/>
                <w:sz w:val="16"/>
                <w:szCs w:val="16"/>
              </w:rPr>
            </w:pPr>
          </w:p>
        </w:tc>
        <w:tc>
          <w:tcPr>
            <w:tcW w:w="392" w:type="pct"/>
            <w:noWrap/>
            <w:hideMark/>
          </w:tcPr>
          <w:p w14:paraId="0799322F" w14:textId="77777777" w:rsidR="00C6733C" w:rsidRDefault="00C6733C">
            <w:pPr>
              <w:rPr>
                <w:rFonts w:eastAsia="Times New Roman" w:cstheme="minorHAnsi"/>
                <w:color w:val="000000"/>
                <w:sz w:val="16"/>
                <w:szCs w:val="16"/>
              </w:rPr>
            </w:pPr>
          </w:p>
        </w:tc>
        <w:tc>
          <w:tcPr>
            <w:tcW w:w="810" w:type="pct"/>
            <w:gridSpan w:val="2"/>
            <w:noWrap/>
            <w:hideMark/>
          </w:tcPr>
          <w:p w14:paraId="1B26DC30" w14:textId="77777777" w:rsidR="00C6733C" w:rsidRDefault="00C6733C">
            <w:pPr>
              <w:rPr>
                <w:rFonts w:eastAsia="Times New Roman" w:cstheme="minorHAnsi"/>
                <w:color w:val="000000"/>
                <w:sz w:val="16"/>
                <w:szCs w:val="16"/>
              </w:rPr>
            </w:pPr>
          </w:p>
        </w:tc>
        <w:tc>
          <w:tcPr>
            <w:tcW w:w="852" w:type="pct"/>
            <w:gridSpan w:val="2"/>
            <w:noWrap/>
            <w:hideMark/>
          </w:tcPr>
          <w:p w14:paraId="3CD9F03C" w14:textId="77777777" w:rsidR="00C6733C" w:rsidRDefault="00C6733C">
            <w:pPr>
              <w:rPr>
                <w:rFonts w:eastAsia="Times New Roman" w:cstheme="minorHAnsi"/>
                <w:color w:val="000000"/>
                <w:sz w:val="16"/>
                <w:szCs w:val="16"/>
              </w:rPr>
            </w:pPr>
          </w:p>
        </w:tc>
        <w:tc>
          <w:tcPr>
            <w:tcW w:w="851" w:type="pct"/>
            <w:gridSpan w:val="2"/>
            <w:noWrap/>
            <w:hideMark/>
          </w:tcPr>
          <w:p w14:paraId="0FE1FCA0" w14:textId="77777777" w:rsidR="00C6733C" w:rsidRDefault="00C6733C">
            <w:pPr>
              <w:rPr>
                <w:rFonts w:eastAsia="Times New Roman" w:cstheme="minorHAnsi"/>
                <w:color w:val="000000"/>
                <w:sz w:val="16"/>
                <w:szCs w:val="16"/>
              </w:rPr>
            </w:pPr>
          </w:p>
        </w:tc>
      </w:tr>
      <w:tr w:rsidR="00C6733C" w14:paraId="19C2AB79" w14:textId="77777777">
        <w:trPr>
          <w:trHeight w:val="300"/>
        </w:trPr>
        <w:tc>
          <w:tcPr>
            <w:tcW w:w="1222" w:type="pct"/>
            <w:gridSpan w:val="2"/>
            <w:hideMark/>
          </w:tcPr>
          <w:p w14:paraId="3D1E14E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xml:space="preserve">Generación </w:t>
            </w:r>
            <w:r>
              <w:rPr>
                <w:rFonts w:eastAsia="Times New Roman" w:cstheme="minorHAnsi"/>
                <w:color w:val="000000"/>
                <w:sz w:val="16"/>
                <w:szCs w:val="16"/>
              </w:rPr>
              <w:t>actual</w:t>
            </w:r>
          </w:p>
        </w:tc>
        <w:tc>
          <w:tcPr>
            <w:tcW w:w="874" w:type="pct"/>
            <w:gridSpan w:val="2"/>
            <w:noWrap/>
            <w:hideMark/>
          </w:tcPr>
          <w:p w14:paraId="4615AC2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2,132,228,918.77</w:t>
            </w:r>
          </w:p>
        </w:tc>
        <w:tc>
          <w:tcPr>
            <w:tcW w:w="392" w:type="pct"/>
            <w:noWrap/>
            <w:hideMark/>
          </w:tcPr>
          <w:p w14:paraId="48793445" w14:textId="77777777" w:rsidR="00C6733C" w:rsidRDefault="00C6733C">
            <w:pPr>
              <w:jc w:val="right"/>
              <w:rPr>
                <w:rFonts w:eastAsia="Times New Roman" w:cstheme="minorHAnsi"/>
                <w:color w:val="000000"/>
                <w:sz w:val="16"/>
                <w:szCs w:val="16"/>
              </w:rPr>
            </w:pPr>
          </w:p>
        </w:tc>
        <w:tc>
          <w:tcPr>
            <w:tcW w:w="810" w:type="pct"/>
            <w:gridSpan w:val="2"/>
            <w:noWrap/>
            <w:hideMark/>
          </w:tcPr>
          <w:p w14:paraId="6CD7237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32,733,057.32</w:t>
            </w:r>
          </w:p>
        </w:tc>
        <w:tc>
          <w:tcPr>
            <w:tcW w:w="852" w:type="pct"/>
            <w:gridSpan w:val="2"/>
            <w:noWrap/>
            <w:hideMark/>
          </w:tcPr>
          <w:p w14:paraId="147780D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118,229,345.24</w:t>
            </w:r>
          </w:p>
        </w:tc>
        <w:tc>
          <w:tcPr>
            <w:tcW w:w="851" w:type="pct"/>
            <w:gridSpan w:val="2"/>
            <w:noWrap/>
            <w:hideMark/>
          </w:tcPr>
          <w:p w14:paraId="47977DD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119,922,412.25</w:t>
            </w:r>
          </w:p>
        </w:tc>
      </w:tr>
      <w:tr w:rsidR="00C6733C" w14:paraId="205C8930" w14:textId="77777777">
        <w:trPr>
          <w:trHeight w:val="300"/>
        </w:trPr>
        <w:tc>
          <w:tcPr>
            <w:tcW w:w="1222" w:type="pct"/>
            <w:gridSpan w:val="2"/>
            <w:hideMark/>
          </w:tcPr>
          <w:p w14:paraId="5C38EDB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Generaciones futuras</w:t>
            </w:r>
          </w:p>
        </w:tc>
        <w:tc>
          <w:tcPr>
            <w:tcW w:w="874" w:type="pct"/>
            <w:gridSpan w:val="2"/>
            <w:noWrap/>
            <w:hideMark/>
          </w:tcPr>
          <w:p w14:paraId="0F0363A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5,082,446,523.49</w:t>
            </w:r>
          </w:p>
        </w:tc>
        <w:tc>
          <w:tcPr>
            <w:tcW w:w="392" w:type="pct"/>
            <w:noWrap/>
            <w:hideMark/>
          </w:tcPr>
          <w:p w14:paraId="101230DF" w14:textId="77777777" w:rsidR="00C6733C" w:rsidRDefault="00C6733C">
            <w:pPr>
              <w:jc w:val="right"/>
              <w:rPr>
                <w:rFonts w:eastAsia="Times New Roman" w:cstheme="minorHAnsi"/>
                <w:color w:val="000000"/>
                <w:sz w:val="16"/>
                <w:szCs w:val="16"/>
              </w:rPr>
            </w:pPr>
          </w:p>
        </w:tc>
        <w:tc>
          <w:tcPr>
            <w:tcW w:w="810" w:type="pct"/>
            <w:gridSpan w:val="2"/>
            <w:noWrap/>
            <w:hideMark/>
          </w:tcPr>
          <w:p w14:paraId="24E9878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406,039,655.60</w:t>
            </w:r>
          </w:p>
        </w:tc>
        <w:tc>
          <w:tcPr>
            <w:tcW w:w="852" w:type="pct"/>
            <w:gridSpan w:val="2"/>
            <w:noWrap/>
            <w:hideMark/>
          </w:tcPr>
          <w:p w14:paraId="2E00CF1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784,315,707.23</w:t>
            </w:r>
          </w:p>
        </w:tc>
        <w:tc>
          <w:tcPr>
            <w:tcW w:w="851" w:type="pct"/>
            <w:gridSpan w:val="2"/>
            <w:noWrap/>
            <w:hideMark/>
          </w:tcPr>
          <w:p w14:paraId="70163E2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690,648,203.64</w:t>
            </w:r>
          </w:p>
        </w:tc>
      </w:tr>
      <w:tr w:rsidR="00C6733C" w14:paraId="6557AD8F" w14:textId="77777777">
        <w:trPr>
          <w:trHeight w:val="300"/>
        </w:trPr>
        <w:tc>
          <w:tcPr>
            <w:tcW w:w="1222" w:type="pct"/>
            <w:gridSpan w:val="2"/>
            <w:hideMark/>
          </w:tcPr>
          <w:p w14:paraId="1907B082"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Valor presente de aportaciones futuras</w:t>
            </w:r>
          </w:p>
        </w:tc>
        <w:tc>
          <w:tcPr>
            <w:tcW w:w="874" w:type="pct"/>
            <w:gridSpan w:val="2"/>
            <w:noWrap/>
            <w:hideMark/>
          </w:tcPr>
          <w:p w14:paraId="570B3C4C" w14:textId="77777777" w:rsidR="00C6733C" w:rsidRDefault="00C6733C">
            <w:pPr>
              <w:jc w:val="right"/>
              <w:rPr>
                <w:rFonts w:eastAsia="Times New Roman" w:cstheme="minorHAnsi"/>
                <w:color w:val="000000"/>
                <w:sz w:val="16"/>
                <w:szCs w:val="16"/>
              </w:rPr>
            </w:pPr>
          </w:p>
        </w:tc>
        <w:tc>
          <w:tcPr>
            <w:tcW w:w="392" w:type="pct"/>
            <w:noWrap/>
            <w:hideMark/>
          </w:tcPr>
          <w:p w14:paraId="65151DFA" w14:textId="77777777" w:rsidR="00C6733C" w:rsidRDefault="00C6733C">
            <w:pPr>
              <w:jc w:val="right"/>
              <w:rPr>
                <w:rFonts w:eastAsia="Times New Roman" w:cstheme="minorHAnsi"/>
                <w:color w:val="000000"/>
                <w:sz w:val="16"/>
                <w:szCs w:val="16"/>
              </w:rPr>
            </w:pPr>
          </w:p>
        </w:tc>
        <w:tc>
          <w:tcPr>
            <w:tcW w:w="810" w:type="pct"/>
            <w:gridSpan w:val="2"/>
            <w:noWrap/>
            <w:hideMark/>
          </w:tcPr>
          <w:p w14:paraId="762BEF03" w14:textId="77777777" w:rsidR="00C6733C" w:rsidRDefault="00C6733C">
            <w:pPr>
              <w:jc w:val="right"/>
              <w:rPr>
                <w:rFonts w:eastAsia="Times New Roman" w:cstheme="minorHAnsi"/>
                <w:color w:val="000000"/>
                <w:sz w:val="16"/>
                <w:szCs w:val="16"/>
              </w:rPr>
            </w:pPr>
          </w:p>
        </w:tc>
        <w:tc>
          <w:tcPr>
            <w:tcW w:w="852" w:type="pct"/>
            <w:gridSpan w:val="2"/>
            <w:noWrap/>
            <w:hideMark/>
          </w:tcPr>
          <w:p w14:paraId="0E7D3536" w14:textId="77777777" w:rsidR="00C6733C" w:rsidRDefault="00C6733C">
            <w:pPr>
              <w:jc w:val="right"/>
              <w:rPr>
                <w:rFonts w:eastAsia="Times New Roman" w:cstheme="minorHAnsi"/>
                <w:color w:val="000000"/>
                <w:sz w:val="16"/>
                <w:szCs w:val="16"/>
              </w:rPr>
            </w:pPr>
          </w:p>
        </w:tc>
        <w:tc>
          <w:tcPr>
            <w:tcW w:w="851" w:type="pct"/>
            <w:gridSpan w:val="2"/>
            <w:noWrap/>
            <w:hideMark/>
          </w:tcPr>
          <w:p w14:paraId="746F1A7A" w14:textId="77777777" w:rsidR="00C6733C" w:rsidRDefault="00C6733C">
            <w:pPr>
              <w:jc w:val="right"/>
              <w:rPr>
                <w:rFonts w:eastAsia="Times New Roman" w:cstheme="minorHAnsi"/>
                <w:color w:val="000000"/>
                <w:sz w:val="16"/>
                <w:szCs w:val="16"/>
              </w:rPr>
            </w:pPr>
          </w:p>
        </w:tc>
      </w:tr>
      <w:tr w:rsidR="00C6733C" w14:paraId="4489442A" w14:textId="77777777">
        <w:trPr>
          <w:trHeight w:val="300"/>
        </w:trPr>
        <w:tc>
          <w:tcPr>
            <w:tcW w:w="1222" w:type="pct"/>
            <w:gridSpan w:val="2"/>
            <w:hideMark/>
          </w:tcPr>
          <w:p w14:paraId="6FAA2ED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Generación actual</w:t>
            </w:r>
          </w:p>
        </w:tc>
        <w:tc>
          <w:tcPr>
            <w:tcW w:w="874" w:type="pct"/>
            <w:gridSpan w:val="2"/>
            <w:noWrap/>
            <w:hideMark/>
          </w:tcPr>
          <w:p w14:paraId="6ED51EB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10,152,347,558.37</w:t>
            </w:r>
          </w:p>
        </w:tc>
        <w:tc>
          <w:tcPr>
            <w:tcW w:w="392" w:type="pct"/>
            <w:noWrap/>
            <w:hideMark/>
          </w:tcPr>
          <w:p w14:paraId="01093113" w14:textId="77777777" w:rsidR="00C6733C" w:rsidRDefault="00C6733C">
            <w:pPr>
              <w:jc w:val="right"/>
              <w:rPr>
                <w:rFonts w:eastAsia="Times New Roman" w:cstheme="minorHAnsi"/>
                <w:color w:val="000000"/>
                <w:sz w:val="16"/>
                <w:szCs w:val="16"/>
              </w:rPr>
            </w:pPr>
          </w:p>
        </w:tc>
        <w:tc>
          <w:tcPr>
            <w:tcW w:w="810" w:type="pct"/>
            <w:gridSpan w:val="2"/>
            <w:noWrap/>
            <w:hideMark/>
          </w:tcPr>
          <w:p w14:paraId="58AC557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155,854,454.29</w:t>
            </w:r>
          </w:p>
        </w:tc>
        <w:tc>
          <w:tcPr>
            <w:tcW w:w="852" w:type="pct"/>
            <w:gridSpan w:val="2"/>
            <w:noWrap/>
            <w:hideMark/>
          </w:tcPr>
          <w:p w14:paraId="665836A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562,934,586.37</w:t>
            </w:r>
          </w:p>
        </w:tc>
        <w:tc>
          <w:tcPr>
            <w:tcW w:w="851" w:type="pct"/>
            <w:gridSpan w:val="2"/>
            <w:noWrap/>
            <w:hideMark/>
          </w:tcPr>
          <w:p w14:paraId="6134E02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570,995,918.17</w:t>
            </w:r>
          </w:p>
        </w:tc>
      </w:tr>
      <w:tr w:rsidR="00C6733C" w14:paraId="55DA495E" w14:textId="77777777">
        <w:trPr>
          <w:trHeight w:val="300"/>
        </w:trPr>
        <w:tc>
          <w:tcPr>
            <w:tcW w:w="1222" w:type="pct"/>
            <w:gridSpan w:val="2"/>
            <w:hideMark/>
          </w:tcPr>
          <w:p w14:paraId="6108D7F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Generaciones futuras</w:t>
            </w:r>
          </w:p>
        </w:tc>
        <w:tc>
          <w:tcPr>
            <w:tcW w:w="874" w:type="pct"/>
            <w:gridSpan w:val="2"/>
            <w:noWrap/>
            <w:hideMark/>
          </w:tcPr>
          <w:p w14:paraId="2B5247B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13,124,622,104.34</w:t>
            </w:r>
          </w:p>
        </w:tc>
        <w:tc>
          <w:tcPr>
            <w:tcW w:w="392" w:type="pct"/>
            <w:noWrap/>
            <w:hideMark/>
          </w:tcPr>
          <w:p w14:paraId="0E954225" w14:textId="77777777" w:rsidR="00C6733C" w:rsidRDefault="00C6733C">
            <w:pPr>
              <w:jc w:val="right"/>
              <w:rPr>
                <w:rFonts w:eastAsia="Times New Roman" w:cstheme="minorHAnsi"/>
                <w:color w:val="000000"/>
                <w:sz w:val="16"/>
                <w:szCs w:val="16"/>
              </w:rPr>
            </w:pPr>
          </w:p>
        </w:tc>
        <w:tc>
          <w:tcPr>
            <w:tcW w:w="810" w:type="pct"/>
            <w:gridSpan w:val="2"/>
            <w:noWrap/>
            <w:hideMark/>
          </w:tcPr>
          <w:p w14:paraId="0F174E0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1,048,533,814.28</w:t>
            </w:r>
          </w:p>
        </w:tc>
        <w:tc>
          <w:tcPr>
            <w:tcW w:w="852" w:type="pct"/>
            <w:gridSpan w:val="2"/>
            <w:noWrap/>
            <w:hideMark/>
          </w:tcPr>
          <w:p w14:paraId="0C19FC9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2,025,372,469.79</w:t>
            </w:r>
          </w:p>
        </w:tc>
        <w:tc>
          <w:tcPr>
            <w:tcW w:w="851" w:type="pct"/>
            <w:gridSpan w:val="2"/>
            <w:noWrap/>
            <w:hideMark/>
          </w:tcPr>
          <w:p w14:paraId="5BFB618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1,783,490,812.52</w:t>
            </w:r>
          </w:p>
        </w:tc>
      </w:tr>
      <w:tr w:rsidR="00C6733C" w14:paraId="00DB7A0E" w14:textId="77777777">
        <w:trPr>
          <w:trHeight w:val="300"/>
        </w:trPr>
        <w:tc>
          <w:tcPr>
            <w:tcW w:w="1222" w:type="pct"/>
            <w:gridSpan w:val="2"/>
            <w:hideMark/>
          </w:tcPr>
          <w:p w14:paraId="323D919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Otros Ingresos</w:t>
            </w:r>
          </w:p>
        </w:tc>
        <w:tc>
          <w:tcPr>
            <w:tcW w:w="874" w:type="pct"/>
            <w:gridSpan w:val="2"/>
            <w:noWrap/>
            <w:hideMark/>
          </w:tcPr>
          <w:p w14:paraId="7F07EE2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c>
          <w:tcPr>
            <w:tcW w:w="392" w:type="pct"/>
            <w:noWrap/>
            <w:hideMark/>
          </w:tcPr>
          <w:p w14:paraId="6E4932C0" w14:textId="77777777" w:rsidR="00C6733C" w:rsidRDefault="00C6733C">
            <w:pPr>
              <w:jc w:val="right"/>
              <w:rPr>
                <w:rFonts w:eastAsia="Times New Roman" w:cstheme="minorHAnsi"/>
                <w:color w:val="000000"/>
                <w:sz w:val="16"/>
                <w:szCs w:val="16"/>
              </w:rPr>
            </w:pPr>
          </w:p>
        </w:tc>
        <w:tc>
          <w:tcPr>
            <w:tcW w:w="810" w:type="pct"/>
            <w:gridSpan w:val="2"/>
            <w:noWrap/>
            <w:hideMark/>
          </w:tcPr>
          <w:p w14:paraId="092CDA1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c>
          <w:tcPr>
            <w:tcW w:w="852" w:type="pct"/>
            <w:gridSpan w:val="2"/>
            <w:noWrap/>
            <w:hideMark/>
          </w:tcPr>
          <w:p w14:paraId="18B6DB2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c>
          <w:tcPr>
            <w:tcW w:w="851" w:type="pct"/>
            <w:gridSpan w:val="2"/>
            <w:noWrap/>
            <w:hideMark/>
          </w:tcPr>
          <w:p w14:paraId="3A022F4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w:t>
            </w:r>
          </w:p>
        </w:tc>
      </w:tr>
      <w:tr w:rsidR="00C6733C" w14:paraId="1D62FECB" w14:textId="77777777">
        <w:trPr>
          <w:trHeight w:val="300"/>
        </w:trPr>
        <w:tc>
          <w:tcPr>
            <w:tcW w:w="1222" w:type="pct"/>
            <w:gridSpan w:val="2"/>
            <w:hideMark/>
          </w:tcPr>
          <w:p w14:paraId="7EE6095A"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Déficit/superávit actuarial</w:t>
            </w:r>
          </w:p>
        </w:tc>
        <w:tc>
          <w:tcPr>
            <w:tcW w:w="874" w:type="pct"/>
            <w:gridSpan w:val="2"/>
            <w:noWrap/>
            <w:hideMark/>
          </w:tcPr>
          <w:p w14:paraId="5A01D095" w14:textId="77777777" w:rsidR="00C6733C" w:rsidRDefault="00C6733C">
            <w:pPr>
              <w:jc w:val="right"/>
              <w:rPr>
                <w:rFonts w:eastAsia="Times New Roman" w:cstheme="minorHAnsi"/>
                <w:color w:val="000000"/>
                <w:sz w:val="16"/>
                <w:szCs w:val="16"/>
              </w:rPr>
            </w:pPr>
          </w:p>
        </w:tc>
        <w:tc>
          <w:tcPr>
            <w:tcW w:w="392" w:type="pct"/>
            <w:noWrap/>
            <w:hideMark/>
          </w:tcPr>
          <w:p w14:paraId="12ABD87F" w14:textId="77777777" w:rsidR="00C6733C" w:rsidRDefault="00C6733C">
            <w:pPr>
              <w:jc w:val="right"/>
              <w:rPr>
                <w:rFonts w:eastAsia="Times New Roman" w:cstheme="minorHAnsi"/>
                <w:color w:val="000000"/>
                <w:sz w:val="16"/>
                <w:szCs w:val="16"/>
              </w:rPr>
            </w:pPr>
          </w:p>
        </w:tc>
        <w:tc>
          <w:tcPr>
            <w:tcW w:w="810" w:type="pct"/>
            <w:gridSpan w:val="2"/>
            <w:noWrap/>
            <w:hideMark/>
          </w:tcPr>
          <w:p w14:paraId="659D36FB" w14:textId="77777777" w:rsidR="00C6733C" w:rsidRDefault="00C6733C">
            <w:pPr>
              <w:jc w:val="right"/>
              <w:rPr>
                <w:rFonts w:eastAsia="Times New Roman" w:cstheme="minorHAnsi"/>
                <w:color w:val="000000"/>
                <w:sz w:val="16"/>
                <w:szCs w:val="16"/>
              </w:rPr>
            </w:pPr>
          </w:p>
        </w:tc>
        <w:tc>
          <w:tcPr>
            <w:tcW w:w="852" w:type="pct"/>
            <w:gridSpan w:val="2"/>
            <w:noWrap/>
            <w:hideMark/>
          </w:tcPr>
          <w:p w14:paraId="5B5339E3" w14:textId="77777777" w:rsidR="00C6733C" w:rsidRDefault="00C6733C">
            <w:pPr>
              <w:jc w:val="right"/>
              <w:rPr>
                <w:rFonts w:eastAsia="Times New Roman" w:cstheme="minorHAnsi"/>
                <w:color w:val="000000"/>
                <w:sz w:val="16"/>
                <w:szCs w:val="16"/>
              </w:rPr>
            </w:pPr>
          </w:p>
        </w:tc>
        <w:tc>
          <w:tcPr>
            <w:tcW w:w="851" w:type="pct"/>
            <w:gridSpan w:val="2"/>
            <w:noWrap/>
            <w:hideMark/>
          </w:tcPr>
          <w:p w14:paraId="22E0993A" w14:textId="77777777" w:rsidR="00C6733C" w:rsidRDefault="00C6733C">
            <w:pPr>
              <w:jc w:val="right"/>
              <w:rPr>
                <w:rFonts w:eastAsia="Times New Roman" w:cstheme="minorHAnsi"/>
                <w:color w:val="000000"/>
                <w:sz w:val="16"/>
                <w:szCs w:val="16"/>
              </w:rPr>
            </w:pPr>
          </w:p>
        </w:tc>
      </w:tr>
      <w:tr w:rsidR="00C6733C" w14:paraId="0CFAF9E1" w14:textId="77777777">
        <w:trPr>
          <w:trHeight w:val="300"/>
        </w:trPr>
        <w:tc>
          <w:tcPr>
            <w:tcW w:w="1222" w:type="pct"/>
            <w:gridSpan w:val="2"/>
            <w:hideMark/>
          </w:tcPr>
          <w:p w14:paraId="79D5787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Generación actual</w:t>
            </w:r>
          </w:p>
        </w:tc>
        <w:tc>
          <w:tcPr>
            <w:tcW w:w="874" w:type="pct"/>
            <w:gridSpan w:val="2"/>
            <w:noWrap/>
            <w:hideMark/>
          </w:tcPr>
          <w:p w14:paraId="0D7BCC25"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(23,701,737,687.14)</w:t>
            </w:r>
          </w:p>
        </w:tc>
        <w:tc>
          <w:tcPr>
            <w:tcW w:w="392" w:type="pct"/>
            <w:noWrap/>
            <w:hideMark/>
          </w:tcPr>
          <w:p w14:paraId="6153699A" w14:textId="77777777" w:rsidR="00C6733C" w:rsidRDefault="00C6733C">
            <w:pPr>
              <w:jc w:val="right"/>
              <w:rPr>
                <w:rFonts w:eastAsia="Times New Roman" w:cstheme="minorHAnsi"/>
                <w:color w:val="000000"/>
                <w:sz w:val="16"/>
                <w:szCs w:val="16"/>
              </w:rPr>
            </w:pPr>
          </w:p>
        </w:tc>
        <w:tc>
          <w:tcPr>
            <w:tcW w:w="810" w:type="pct"/>
            <w:gridSpan w:val="2"/>
            <w:noWrap/>
            <w:hideMark/>
          </w:tcPr>
          <w:p w14:paraId="580721B2"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(372,113,923.35)</w:t>
            </w:r>
          </w:p>
        </w:tc>
        <w:tc>
          <w:tcPr>
            <w:tcW w:w="852" w:type="pct"/>
            <w:gridSpan w:val="2"/>
            <w:noWrap/>
            <w:hideMark/>
          </w:tcPr>
          <w:p w14:paraId="24A480F5"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(1,344,047,550.50)</w:t>
            </w:r>
          </w:p>
        </w:tc>
        <w:tc>
          <w:tcPr>
            <w:tcW w:w="851" w:type="pct"/>
            <w:gridSpan w:val="2"/>
            <w:noWrap/>
            <w:hideMark/>
          </w:tcPr>
          <w:p w14:paraId="55F401EE"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(1,363,294,570.53)</w:t>
            </w:r>
          </w:p>
        </w:tc>
      </w:tr>
      <w:tr w:rsidR="00C6733C" w14:paraId="7DA0FA7F" w14:textId="77777777">
        <w:trPr>
          <w:trHeight w:val="300"/>
        </w:trPr>
        <w:tc>
          <w:tcPr>
            <w:tcW w:w="1222" w:type="pct"/>
            <w:gridSpan w:val="2"/>
            <w:hideMark/>
          </w:tcPr>
          <w:p w14:paraId="1350EE3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Generaciones futuras</w:t>
            </w:r>
          </w:p>
        </w:tc>
        <w:tc>
          <w:tcPr>
            <w:tcW w:w="874" w:type="pct"/>
            <w:gridSpan w:val="2"/>
            <w:noWrap/>
            <w:hideMark/>
          </w:tcPr>
          <w:p w14:paraId="22CFF778"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(2,296,514,402.64)</w:t>
            </w:r>
          </w:p>
        </w:tc>
        <w:tc>
          <w:tcPr>
            <w:tcW w:w="392" w:type="pct"/>
            <w:noWrap/>
            <w:hideMark/>
          </w:tcPr>
          <w:p w14:paraId="1F558C9D" w14:textId="77777777" w:rsidR="00C6733C" w:rsidRDefault="00C6733C">
            <w:pPr>
              <w:jc w:val="right"/>
              <w:rPr>
                <w:rFonts w:eastAsia="Times New Roman" w:cstheme="minorHAnsi"/>
                <w:color w:val="000000"/>
                <w:sz w:val="16"/>
                <w:szCs w:val="16"/>
              </w:rPr>
            </w:pPr>
          </w:p>
        </w:tc>
        <w:tc>
          <w:tcPr>
            <w:tcW w:w="810" w:type="pct"/>
            <w:gridSpan w:val="2"/>
            <w:noWrap/>
            <w:hideMark/>
          </w:tcPr>
          <w:p w14:paraId="30002A98"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(183,469,892.47)</w:t>
            </w:r>
          </w:p>
        </w:tc>
        <w:tc>
          <w:tcPr>
            <w:tcW w:w="852" w:type="pct"/>
            <w:gridSpan w:val="2"/>
            <w:noWrap/>
            <w:hideMark/>
          </w:tcPr>
          <w:p w14:paraId="116ECE9B"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(354,394,740.71)</w:t>
            </w:r>
          </w:p>
        </w:tc>
        <w:tc>
          <w:tcPr>
            <w:tcW w:w="851" w:type="pct"/>
            <w:gridSpan w:val="2"/>
            <w:noWrap/>
            <w:hideMark/>
          </w:tcPr>
          <w:p w14:paraId="62F8CB6D"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(312,070,877.57)</w:t>
            </w:r>
          </w:p>
        </w:tc>
      </w:tr>
      <w:tr w:rsidR="00C6733C" w14:paraId="76FA501E" w14:textId="77777777">
        <w:trPr>
          <w:trHeight w:val="300"/>
        </w:trPr>
        <w:tc>
          <w:tcPr>
            <w:tcW w:w="1222" w:type="pct"/>
            <w:gridSpan w:val="2"/>
            <w:hideMark/>
          </w:tcPr>
          <w:p w14:paraId="23B6DB8A"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Periodo de suficiencia</w:t>
            </w:r>
          </w:p>
        </w:tc>
        <w:tc>
          <w:tcPr>
            <w:tcW w:w="874" w:type="pct"/>
            <w:gridSpan w:val="2"/>
            <w:noWrap/>
            <w:hideMark/>
          </w:tcPr>
          <w:p w14:paraId="39110B49" w14:textId="77777777" w:rsidR="00C6733C" w:rsidRDefault="00C6733C">
            <w:pPr>
              <w:rPr>
                <w:rFonts w:eastAsia="Times New Roman" w:cstheme="minorHAnsi"/>
                <w:color w:val="000000"/>
                <w:sz w:val="16"/>
                <w:szCs w:val="16"/>
              </w:rPr>
            </w:pPr>
          </w:p>
        </w:tc>
        <w:tc>
          <w:tcPr>
            <w:tcW w:w="392" w:type="pct"/>
            <w:noWrap/>
            <w:hideMark/>
          </w:tcPr>
          <w:p w14:paraId="5DEAB44D" w14:textId="77777777" w:rsidR="00C6733C" w:rsidRDefault="00C6733C">
            <w:pPr>
              <w:rPr>
                <w:rFonts w:eastAsia="Times New Roman" w:cstheme="minorHAnsi"/>
                <w:color w:val="000000"/>
                <w:sz w:val="16"/>
                <w:szCs w:val="16"/>
              </w:rPr>
            </w:pPr>
          </w:p>
        </w:tc>
        <w:tc>
          <w:tcPr>
            <w:tcW w:w="810" w:type="pct"/>
            <w:gridSpan w:val="2"/>
            <w:noWrap/>
            <w:hideMark/>
          </w:tcPr>
          <w:p w14:paraId="1013E470" w14:textId="77777777" w:rsidR="00C6733C" w:rsidRDefault="00C6733C">
            <w:pPr>
              <w:rPr>
                <w:rFonts w:eastAsia="Times New Roman" w:cstheme="minorHAnsi"/>
                <w:color w:val="000000"/>
                <w:sz w:val="16"/>
                <w:szCs w:val="16"/>
              </w:rPr>
            </w:pPr>
          </w:p>
        </w:tc>
        <w:tc>
          <w:tcPr>
            <w:tcW w:w="852" w:type="pct"/>
            <w:gridSpan w:val="2"/>
            <w:noWrap/>
            <w:hideMark/>
          </w:tcPr>
          <w:p w14:paraId="662F56D4" w14:textId="77777777" w:rsidR="00C6733C" w:rsidRDefault="00C6733C">
            <w:pPr>
              <w:rPr>
                <w:rFonts w:eastAsia="Times New Roman" w:cstheme="minorHAnsi"/>
                <w:color w:val="000000"/>
                <w:sz w:val="16"/>
                <w:szCs w:val="16"/>
              </w:rPr>
            </w:pPr>
          </w:p>
        </w:tc>
        <w:tc>
          <w:tcPr>
            <w:tcW w:w="851" w:type="pct"/>
            <w:gridSpan w:val="2"/>
            <w:noWrap/>
            <w:hideMark/>
          </w:tcPr>
          <w:p w14:paraId="4123016B" w14:textId="77777777" w:rsidR="00C6733C" w:rsidRDefault="00C6733C">
            <w:pPr>
              <w:rPr>
                <w:rFonts w:eastAsia="Times New Roman" w:cstheme="minorHAnsi"/>
                <w:color w:val="000000"/>
                <w:sz w:val="16"/>
                <w:szCs w:val="16"/>
              </w:rPr>
            </w:pPr>
          </w:p>
        </w:tc>
      </w:tr>
      <w:tr w:rsidR="00C6733C" w14:paraId="5FDCE9F9" w14:textId="77777777">
        <w:trPr>
          <w:trHeight w:val="300"/>
        </w:trPr>
        <w:tc>
          <w:tcPr>
            <w:tcW w:w="1222" w:type="pct"/>
            <w:gridSpan w:val="2"/>
            <w:hideMark/>
          </w:tcPr>
          <w:p w14:paraId="7BE07E7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Año de descapitalización</w:t>
            </w:r>
          </w:p>
        </w:tc>
        <w:tc>
          <w:tcPr>
            <w:tcW w:w="874" w:type="pct"/>
            <w:gridSpan w:val="2"/>
            <w:noWrap/>
            <w:hideMark/>
          </w:tcPr>
          <w:p w14:paraId="6E6086E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2023</w:t>
            </w:r>
          </w:p>
        </w:tc>
        <w:tc>
          <w:tcPr>
            <w:tcW w:w="392" w:type="pct"/>
            <w:noWrap/>
            <w:hideMark/>
          </w:tcPr>
          <w:p w14:paraId="08242683" w14:textId="77777777" w:rsidR="00C6733C" w:rsidRDefault="00C6733C">
            <w:pPr>
              <w:rPr>
                <w:rFonts w:eastAsia="Times New Roman" w:cstheme="minorHAnsi"/>
                <w:color w:val="000000"/>
                <w:sz w:val="16"/>
                <w:szCs w:val="16"/>
              </w:rPr>
            </w:pPr>
          </w:p>
        </w:tc>
        <w:tc>
          <w:tcPr>
            <w:tcW w:w="810" w:type="pct"/>
            <w:gridSpan w:val="2"/>
            <w:noWrap/>
            <w:hideMark/>
          </w:tcPr>
          <w:p w14:paraId="6DE613E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2023</w:t>
            </w:r>
          </w:p>
        </w:tc>
        <w:tc>
          <w:tcPr>
            <w:tcW w:w="852" w:type="pct"/>
            <w:gridSpan w:val="2"/>
            <w:noWrap/>
            <w:hideMark/>
          </w:tcPr>
          <w:p w14:paraId="2E976EF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2023</w:t>
            </w:r>
          </w:p>
        </w:tc>
        <w:tc>
          <w:tcPr>
            <w:tcW w:w="851" w:type="pct"/>
            <w:gridSpan w:val="2"/>
            <w:noWrap/>
            <w:hideMark/>
          </w:tcPr>
          <w:p w14:paraId="0289145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2023</w:t>
            </w:r>
          </w:p>
        </w:tc>
      </w:tr>
      <w:tr w:rsidR="00C6733C" w14:paraId="4086D0D9" w14:textId="77777777">
        <w:trPr>
          <w:trHeight w:val="300"/>
        </w:trPr>
        <w:tc>
          <w:tcPr>
            <w:tcW w:w="1222" w:type="pct"/>
            <w:gridSpan w:val="2"/>
            <w:hideMark/>
          </w:tcPr>
          <w:p w14:paraId="3908D60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Tasa de rendimiento</w:t>
            </w:r>
          </w:p>
        </w:tc>
        <w:tc>
          <w:tcPr>
            <w:tcW w:w="874" w:type="pct"/>
            <w:gridSpan w:val="2"/>
            <w:noWrap/>
            <w:hideMark/>
          </w:tcPr>
          <w:p w14:paraId="230833A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3%</w:t>
            </w:r>
          </w:p>
        </w:tc>
        <w:tc>
          <w:tcPr>
            <w:tcW w:w="392" w:type="pct"/>
            <w:noWrap/>
            <w:hideMark/>
          </w:tcPr>
          <w:p w14:paraId="0CB21E01" w14:textId="77777777" w:rsidR="00C6733C" w:rsidRDefault="00C6733C">
            <w:pPr>
              <w:rPr>
                <w:rFonts w:eastAsia="Times New Roman" w:cstheme="minorHAnsi"/>
                <w:color w:val="000000"/>
                <w:sz w:val="16"/>
                <w:szCs w:val="16"/>
              </w:rPr>
            </w:pPr>
          </w:p>
        </w:tc>
        <w:tc>
          <w:tcPr>
            <w:tcW w:w="810" w:type="pct"/>
            <w:gridSpan w:val="2"/>
            <w:noWrap/>
            <w:hideMark/>
          </w:tcPr>
          <w:p w14:paraId="2835D6C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3%</w:t>
            </w:r>
          </w:p>
        </w:tc>
        <w:tc>
          <w:tcPr>
            <w:tcW w:w="852" w:type="pct"/>
            <w:gridSpan w:val="2"/>
            <w:noWrap/>
            <w:hideMark/>
          </w:tcPr>
          <w:p w14:paraId="347D0534" w14:textId="77777777" w:rsidR="00C6733C" w:rsidRDefault="006D0638">
            <w:pPr>
              <w:rPr>
                <w:rFonts w:eastAsia="Times New Roman" w:cstheme="minorHAnsi"/>
                <w:color w:val="000000"/>
                <w:sz w:val="16"/>
                <w:szCs w:val="16"/>
              </w:rPr>
            </w:pPr>
            <w:r>
              <w:rPr>
                <w:rFonts w:eastAsia="Times New Roman" w:cstheme="minorHAnsi"/>
                <w:color w:val="000000"/>
                <w:sz w:val="16"/>
                <w:szCs w:val="16"/>
              </w:rPr>
              <w:t>3%</w:t>
            </w:r>
          </w:p>
        </w:tc>
        <w:tc>
          <w:tcPr>
            <w:tcW w:w="851" w:type="pct"/>
            <w:gridSpan w:val="2"/>
            <w:noWrap/>
            <w:hideMark/>
          </w:tcPr>
          <w:p w14:paraId="3B3D7A3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3%</w:t>
            </w:r>
          </w:p>
        </w:tc>
      </w:tr>
      <w:tr w:rsidR="00C6733C" w14:paraId="53D072E6" w14:textId="77777777">
        <w:trPr>
          <w:trHeight w:val="300"/>
        </w:trPr>
        <w:tc>
          <w:tcPr>
            <w:tcW w:w="1222" w:type="pct"/>
            <w:gridSpan w:val="2"/>
            <w:hideMark/>
          </w:tcPr>
          <w:p w14:paraId="0F06DD24"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Estudio actuarial</w:t>
            </w:r>
          </w:p>
        </w:tc>
        <w:tc>
          <w:tcPr>
            <w:tcW w:w="874" w:type="pct"/>
            <w:gridSpan w:val="2"/>
            <w:noWrap/>
            <w:hideMark/>
          </w:tcPr>
          <w:p w14:paraId="155E6C6C" w14:textId="77777777" w:rsidR="00C6733C" w:rsidRDefault="00C6733C">
            <w:pPr>
              <w:rPr>
                <w:rFonts w:eastAsia="Times New Roman" w:cstheme="minorHAnsi"/>
                <w:color w:val="000000"/>
                <w:sz w:val="16"/>
                <w:szCs w:val="16"/>
              </w:rPr>
            </w:pPr>
          </w:p>
        </w:tc>
        <w:tc>
          <w:tcPr>
            <w:tcW w:w="392" w:type="pct"/>
            <w:noWrap/>
            <w:hideMark/>
          </w:tcPr>
          <w:p w14:paraId="62722381" w14:textId="77777777" w:rsidR="00C6733C" w:rsidRDefault="00C6733C">
            <w:pPr>
              <w:rPr>
                <w:rFonts w:eastAsia="Times New Roman" w:cstheme="minorHAnsi"/>
                <w:color w:val="000000"/>
                <w:sz w:val="16"/>
                <w:szCs w:val="16"/>
              </w:rPr>
            </w:pPr>
          </w:p>
        </w:tc>
        <w:tc>
          <w:tcPr>
            <w:tcW w:w="810" w:type="pct"/>
            <w:gridSpan w:val="2"/>
            <w:noWrap/>
            <w:hideMark/>
          </w:tcPr>
          <w:p w14:paraId="4FC8F583" w14:textId="77777777" w:rsidR="00C6733C" w:rsidRDefault="00C6733C">
            <w:pPr>
              <w:rPr>
                <w:rFonts w:eastAsia="Times New Roman" w:cstheme="minorHAnsi"/>
                <w:color w:val="000000"/>
                <w:sz w:val="16"/>
                <w:szCs w:val="16"/>
              </w:rPr>
            </w:pPr>
          </w:p>
        </w:tc>
        <w:tc>
          <w:tcPr>
            <w:tcW w:w="852" w:type="pct"/>
            <w:gridSpan w:val="2"/>
            <w:noWrap/>
            <w:hideMark/>
          </w:tcPr>
          <w:p w14:paraId="6B7F80C6" w14:textId="77777777" w:rsidR="00C6733C" w:rsidRDefault="00C6733C">
            <w:pPr>
              <w:rPr>
                <w:rFonts w:eastAsia="Times New Roman" w:cstheme="minorHAnsi"/>
                <w:color w:val="000000"/>
                <w:sz w:val="16"/>
                <w:szCs w:val="16"/>
              </w:rPr>
            </w:pPr>
          </w:p>
        </w:tc>
        <w:tc>
          <w:tcPr>
            <w:tcW w:w="851" w:type="pct"/>
            <w:gridSpan w:val="2"/>
            <w:noWrap/>
            <w:hideMark/>
          </w:tcPr>
          <w:p w14:paraId="157C1223" w14:textId="77777777" w:rsidR="00C6733C" w:rsidRDefault="00C6733C">
            <w:pPr>
              <w:rPr>
                <w:rFonts w:eastAsia="Times New Roman" w:cstheme="minorHAnsi"/>
                <w:color w:val="000000"/>
                <w:sz w:val="16"/>
                <w:szCs w:val="16"/>
              </w:rPr>
            </w:pPr>
          </w:p>
        </w:tc>
      </w:tr>
      <w:tr w:rsidR="00C6733C" w14:paraId="2CE97134" w14:textId="77777777">
        <w:trPr>
          <w:trHeight w:val="300"/>
        </w:trPr>
        <w:tc>
          <w:tcPr>
            <w:tcW w:w="1222" w:type="pct"/>
            <w:gridSpan w:val="2"/>
            <w:hideMark/>
          </w:tcPr>
          <w:p w14:paraId="7ED4C58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Año de elaboración del estudio actuarial</w:t>
            </w:r>
          </w:p>
        </w:tc>
        <w:tc>
          <w:tcPr>
            <w:tcW w:w="874" w:type="pct"/>
            <w:gridSpan w:val="2"/>
            <w:noWrap/>
            <w:hideMark/>
          </w:tcPr>
          <w:p w14:paraId="43A9F1E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2018</w:t>
            </w:r>
          </w:p>
        </w:tc>
        <w:tc>
          <w:tcPr>
            <w:tcW w:w="392" w:type="pct"/>
            <w:noWrap/>
            <w:hideMark/>
          </w:tcPr>
          <w:p w14:paraId="69B2177D" w14:textId="77777777" w:rsidR="00C6733C" w:rsidRDefault="00C6733C">
            <w:pPr>
              <w:rPr>
                <w:rFonts w:eastAsia="Times New Roman" w:cstheme="minorHAnsi"/>
                <w:color w:val="000000"/>
                <w:sz w:val="16"/>
                <w:szCs w:val="16"/>
              </w:rPr>
            </w:pPr>
          </w:p>
        </w:tc>
        <w:tc>
          <w:tcPr>
            <w:tcW w:w="810" w:type="pct"/>
            <w:gridSpan w:val="2"/>
            <w:noWrap/>
            <w:hideMark/>
          </w:tcPr>
          <w:p w14:paraId="703BF7D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2018</w:t>
            </w:r>
          </w:p>
        </w:tc>
        <w:tc>
          <w:tcPr>
            <w:tcW w:w="852" w:type="pct"/>
            <w:gridSpan w:val="2"/>
            <w:noWrap/>
            <w:hideMark/>
          </w:tcPr>
          <w:p w14:paraId="479EEBD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2018</w:t>
            </w:r>
          </w:p>
        </w:tc>
        <w:tc>
          <w:tcPr>
            <w:tcW w:w="851" w:type="pct"/>
            <w:gridSpan w:val="2"/>
            <w:noWrap/>
            <w:hideMark/>
          </w:tcPr>
          <w:p w14:paraId="36CB362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2018</w:t>
            </w:r>
          </w:p>
        </w:tc>
      </w:tr>
      <w:tr w:rsidR="00C6733C" w14:paraId="3FE49881" w14:textId="77777777">
        <w:trPr>
          <w:trHeight w:val="900"/>
        </w:trPr>
        <w:tc>
          <w:tcPr>
            <w:tcW w:w="1222" w:type="pct"/>
            <w:gridSpan w:val="2"/>
            <w:hideMark/>
          </w:tcPr>
          <w:p w14:paraId="12A8951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Empresa que elaboró el estudio actuarial</w:t>
            </w:r>
          </w:p>
        </w:tc>
        <w:tc>
          <w:tcPr>
            <w:tcW w:w="874" w:type="pct"/>
            <w:gridSpan w:val="2"/>
            <w:hideMark/>
          </w:tcPr>
          <w:p w14:paraId="686D160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392" w:type="pct"/>
            <w:hideMark/>
          </w:tcPr>
          <w:p w14:paraId="3BF22577" w14:textId="77777777" w:rsidR="00C6733C" w:rsidRDefault="00C6733C">
            <w:pPr>
              <w:rPr>
                <w:rFonts w:eastAsia="Times New Roman" w:cstheme="minorHAnsi"/>
                <w:color w:val="000000"/>
                <w:sz w:val="16"/>
                <w:szCs w:val="16"/>
              </w:rPr>
            </w:pPr>
          </w:p>
        </w:tc>
        <w:tc>
          <w:tcPr>
            <w:tcW w:w="810" w:type="pct"/>
            <w:gridSpan w:val="2"/>
            <w:hideMark/>
          </w:tcPr>
          <w:p w14:paraId="53941EC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852" w:type="pct"/>
            <w:gridSpan w:val="2"/>
            <w:hideMark/>
          </w:tcPr>
          <w:p w14:paraId="746E466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xml:space="preserve">Valuaciones Actuariales del Norte, S. </w:t>
            </w:r>
            <w:r>
              <w:rPr>
                <w:rFonts w:eastAsia="Times New Roman" w:cstheme="minorHAnsi"/>
                <w:color w:val="000000"/>
                <w:sz w:val="16"/>
                <w:szCs w:val="16"/>
              </w:rPr>
              <w:t>C.</w:t>
            </w:r>
          </w:p>
        </w:tc>
        <w:tc>
          <w:tcPr>
            <w:tcW w:w="851" w:type="pct"/>
            <w:gridSpan w:val="2"/>
            <w:hideMark/>
          </w:tcPr>
          <w:p w14:paraId="458FFCD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Valuaciones Actuariales del Norte, S. C.</w:t>
            </w:r>
          </w:p>
        </w:tc>
      </w:tr>
      <w:tr w:rsidR="00C6733C" w14:paraId="59F1E130" w14:textId="77777777">
        <w:trPr>
          <w:trHeight w:val="1134"/>
          <w:tblHeader/>
        </w:trPr>
        <w:tc>
          <w:tcPr>
            <w:tcW w:w="5000" w:type="pct"/>
            <w:gridSpan w:val="11"/>
            <w:shd w:val="clear" w:color="auto" w:fill="A8D08D" w:themeFill="accent6" w:themeFillTint="99"/>
            <w:noWrap/>
            <w:vAlign w:val="center"/>
            <w:hideMark/>
          </w:tcPr>
          <w:p w14:paraId="3FBB6E1F" w14:textId="77777777" w:rsidR="00C6733C" w:rsidRDefault="006D0638">
            <w:pPr>
              <w:jc w:val="center"/>
              <w:rPr>
                <w:rFonts w:eastAsia="Times New Roman" w:cstheme="minorHAnsi"/>
                <w:b/>
                <w:bCs/>
                <w:sz w:val="16"/>
                <w:szCs w:val="16"/>
              </w:rPr>
            </w:pPr>
            <w:r>
              <w:rPr>
                <w:rFonts w:eastAsia="Times New Roman" w:cstheme="minorHAnsi"/>
                <w:b/>
                <w:bCs/>
                <w:sz w:val="16"/>
                <w:szCs w:val="16"/>
              </w:rPr>
              <w:t>OFICINA DE PENSIONES DEL ESTADO DE OAXACA</w:t>
            </w:r>
          </w:p>
          <w:p w14:paraId="147C6C43" w14:textId="77777777" w:rsidR="00C6733C" w:rsidRDefault="006D0638">
            <w:pPr>
              <w:jc w:val="center"/>
              <w:rPr>
                <w:rFonts w:eastAsia="Times New Roman" w:cstheme="minorHAnsi"/>
                <w:b/>
                <w:bCs/>
                <w:sz w:val="16"/>
                <w:szCs w:val="16"/>
              </w:rPr>
            </w:pPr>
            <w:r>
              <w:rPr>
                <w:rFonts w:eastAsia="Times New Roman" w:cstheme="minorHAnsi"/>
                <w:b/>
                <w:bCs/>
                <w:sz w:val="16"/>
                <w:szCs w:val="16"/>
              </w:rPr>
              <w:t>Fondo de Pensiones de los Integrantes de las Instituciones Policiales de la Secretaria de Seguridad Pública del Gobierno del Estado de Oaxaca</w:t>
            </w:r>
          </w:p>
          <w:p w14:paraId="04520762" w14:textId="77777777" w:rsidR="00C6733C" w:rsidRDefault="006D0638">
            <w:pPr>
              <w:jc w:val="center"/>
              <w:rPr>
                <w:rFonts w:eastAsia="Times New Roman" w:cstheme="minorHAnsi"/>
                <w:b/>
                <w:bCs/>
                <w:sz w:val="16"/>
                <w:szCs w:val="16"/>
              </w:rPr>
            </w:pPr>
            <w:r>
              <w:rPr>
                <w:rFonts w:eastAsia="Times New Roman" w:cstheme="minorHAnsi"/>
                <w:b/>
                <w:bCs/>
                <w:color w:val="000000"/>
                <w:sz w:val="16"/>
                <w:szCs w:val="16"/>
              </w:rPr>
              <w:t>Informe sobre Estudios Actu</w:t>
            </w:r>
            <w:r>
              <w:rPr>
                <w:rFonts w:eastAsia="Times New Roman" w:cstheme="minorHAnsi"/>
                <w:b/>
                <w:bCs/>
                <w:color w:val="000000"/>
                <w:sz w:val="16"/>
                <w:szCs w:val="16"/>
              </w:rPr>
              <w:t>ariales – LDF</w:t>
            </w:r>
          </w:p>
        </w:tc>
      </w:tr>
      <w:tr w:rsidR="00C6733C" w14:paraId="32B8B246" w14:textId="77777777">
        <w:trPr>
          <w:trHeight w:val="568"/>
          <w:tblHeader/>
        </w:trPr>
        <w:tc>
          <w:tcPr>
            <w:tcW w:w="1120" w:type="pct"/>
            <w:shd w:val="clear" w:color="auto" w:fill="A8D08D" w:themeFill="accent6" w:themeFillTint="99"/>
            <w:vAlign w:val="center"/>
            <w:hideMark/>
          </w:tcPr>
          <w:p w14:paraId="2F58DD2F" w14:textId="77777777" w:rsidR="00C6733C" w:rsidRDefault="00C6733C">
            <w:pPr>
              <w:jc w:val="center"/>
              <w:rPr>
                <w:rFonts w:eastAsia="Times New Roman" w:cstheme="minorHAnsi"/>
                <w:b/>
                <w:bCs/>
                <w:color w:val="000000"/>
                <w:sz w:val="16"/>
                <w:szCs w:val="16"/>
              </w:rPr>
            </w:pPr>
          </w:p>
        </w:tc>
        <w:tc>
          <w:tcPr>
            <w:tcW w:w="942" w:type="pct"/>
            <w:gridSpan w:val="2"/>
            <w:shd w:val="clear" w:color="auto" w:fill="A8D08D" w:themeFill="accent6" w:themeFillTint="99"/>
            <w:vAlign w:val="center"/>
            <w:hideMark/>
          </w:tcPr>
          <w:p w14:paraId="7F2A1961"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Pensiones y jubilaciones</w:t>
            </w:r>
          </w:p>
        </w:tc>
        <w:tc>
          <w:tcPr>
            <w:tcW w:w="590" w:type="pct"/>
            <w:gridSpan w:val="3"/>
            <w:shd w:val="clear" w:color="auto" w:fill="A8D08D" w:themeFill="accent6" w:themeFillTint="99"/>
            <w:vAlign w:val="center"/>
            <w:hideMark/>
          </w:tcPr>
          <w:p w14:paraId="0D1C9F1E"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Salud</w:t>
            </w:r>
          </w:p>
        </w:tc>
        <w:tc>
          <w:tcPr>
            <w:tcW w:w="783" w:type="pct"/>
            <w:gridSpan w:val="2"/>
            <w:shd w:val="clear" w:color="auto" w:fill="A8D08D" w:themeFill="accent6" w:themeFillTint="99"/>
            <w:vAlign w:val="center"/>
            <w:hideMark/>
          </w:tcPr>
          <w:p w14:paraId="1E110590"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Riesgos de trabajo</w:t>
            </w:r>
          </w:p>
        </w:tc>
        <w:tc>
          <w:tcPr>
            <w:tcW w:w="783" w:type="pct"/>
            <w:gridSpan w:val="2"/>
            <w:shd w:val="clear" w:color="auto" w:fill="A8D08D" w:themeFill="accent6" w:themeFillTint="99"/>
            <w:vAlign w:val="center"/>
            <w:hideMark/>
          </w:tcPr>
          <w:p w14:paraId="0E0F199E"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Invalidez y vida</w:t>
            </w:r>
          </w:p>
        </w:tc>
        <w:tc>
          <w:tcPr>
            <w:tcW w:w="781" w:type="pct"/>
            <w:shd w:val="clear" w:color="auto" w:fill="A8D08D" w:themeFill="accent6" w:themeFillTint="99"/>
            <w:vAlign w:val="center"/>
            <w:hideMark/>
          </w:tcPr>
          <w:p w14:paraId="74566DA1" w14:textId="77777777" w:rsidR="00C6733C" w:rsidRDefault="006D0638">
            <w:pPr>
              <w:jc w:val="center"/>
              <w:rPr>
                <w:rFonts w:eastAsia="Times New Roman" w:cstheme="minorHAnsi"/>
                <w:b/>
                <w:bCs/>
                <w:color w:val="000000"/>
                <w:sz w:val="16"/>
                <w:szCs w:val="16"/>
              </w:rPr>
            </w:pPr>
            <w:r>
              <w:rPr>
                <w:rFonts w:eastAsia="Times New Roman" w:cstheme="minorHAnsi"/>
                <w:b/>
                <w:bCs/>
                <w:color w:val="000000"/>
                <w:sz w:val="16"/>
                <w:szCs w:val="16"/>
              </w:rPr>
              <w:t>Otras prestaciones sociales</w:t>
            </w:r>
          </w:p>
        </w:tc>
      </w:tr>
      <w:tr w:rsidR="00C6733C" w14:paraId="3C19B739" w14:textId="77777777">
        <w:trPr>
          <w:trHeight w:val="300"/>
        </w:trPr>
        <w:tc>
          <w:tcPr>
            <w:tcW w:w="1120" w:type="pct"/>
            <w:hideMark/>
          </w:tcPr>
          <w:p w14:paraId="729BF9C6"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Tipo de Sistema</w:t>
            </w:r>
          </w:p>
        </w:tc>
        <w:tc>
          <w:tcPr>
            <w:tcW w:w="942" w:type="pct"/>
            <w:gridSpan w:val="2"/>
            <w:noWrap/>
            <w:hideMark/>
          </w:tcPr>
          <w:p w14:paraId="64CA12A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373B202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24C956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F0CCDE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29444BB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39F449EB" w14:textId="77777777">
        <w:trPr>
          <w:trHeight w:val="600"/>
        </w:trPr>
        <w:tc>
          <w:tcPr>
            <w:tcW w:w="1120" w:type="pct"/>
            <w:hideMark/>
          </w:tcPr>
          <w:p w14:paraId="4196D65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Prestación laboral o Fondo general para trabajadores del estado o municipio</w:t>
            </w:r>
          </w:p>
        </w:tc>
        <w:tc>
          <w:tcPr>
            <w:tcW w:w="942" w:type="pct"/>
            <w:gridSpan w:val="2"/>
            <w:noWrap/>
            <w:hideMark/>
          </w:tcPr>
          <w:p w14:paraId="52A93F70"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Prestación Laboral</w:t>
            </w:r>
          </w:p>
        </w:tc>
        <w:tc>
          <w:tcPr>
            <w:tcW w:w="590" w:type="pct"/>
            <w:gridSpan w:val="3"/>
            <w:noWrap/>
            <w:hideMark/>
          </w:tcPr>
          <w:p w14:paraId="41F38D3F"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377E7065"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 xml:space="preserve">Prestación </w:t>
            </w:r>
            <w:r>
              <w:rPr>
                <w:rFonts w:eastAsia="Times New Roman" w:cstheme="minorHAnsi"/>
                <w:color w:val="000000"/>
                <w:sz w:val="16"/>
                <w:szCs w:val="16"/>
              </w:rPr>
              <w:t>Laboral</w:t>
            </w:r>
          </w:p>
        </w:tc>
        <w:tc>
          <w:tcPr>
            <w:tcW w:w="783" w:type="pct"/>
            <w:gridSpan w:val="2"/>
            <w:noWrap/>
            <w:hideMark/>
          </w:tcPr>
          <w:p w14:paraId="08AAA99D"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Prestación Laboral</w:t>
            </w:r>
          </w:p>
        </w:tc>
        <w:tc>
          <w:tcPr>
            <w:tcW w:w="781" w:type="pct"/>
            <w:noWrap/>
            <w:hideMark/>
          </w:tcPr>
          <w:p w14:paraId="16399420"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Prestación Laboral</w:t>
            </w:r>
          </w:p>
        </w:tc>
      </w:tr>
      <w:tr w:rsidR="00C6733C" w14:paraId="52D6C681" w14:textId="77777777">
        <w:trPr>
          <w:trHeight w:val="300"/>
        </w:trPr>
        <w:tc>
          <w:tcPr>
            <w:tcW w:w="1120" w:type="pct"/>
            <w:hideMark/>
          </w:tcPr>
          <w:p w14:paraId="6BC4A25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Beneficio definido, Contribución definida o Mixto</w:t>
            </w:r>
          </w:p>
        </w:tc>
        <w:tc>
          <w:tcPr>
            <w:tcW w:w="942" w:type="pct"/>
            <w:gridSpan w:val="2"/>
            <w:hideMark/>
          </w:tcPr>
          <w:p w14:paraId="71951256"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Beneficio Definido</w:t>
            </w:r>
          </w:p>
        </w:tc>
        <w:tc>
          <w:tcPr>
            <w:tcW w:w="590" w:type="pct"/>
            <w:gridSpan w:val="3"/>
            <w:noWrap/>
            <w:hideMark/>
          </w:tcPr>
          <w:p w14:paraId="7EED5D8E"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hideMark/>
          </w:tcPr>
          <w:p w14:paraId="732B1B93"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Beneficio Definido</w:t>
            </w:r>
          </w:p>
        </w:tc>
        <w:tc>
          <w:tcPr>
            <w:tcW w:w="783" w:type="pct"/>
            <w:gridSpan w:val="2"/>
            <w:hideMark/>
          </w:tcPr>
          <w:p w14:paraId="57CDD481"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Beneficio Definido</w:t>
            </w:r>
          </w:p>
        </w:tc>
        <w:tc>
          <w:tcPr>
            <w:tcW w:w="781" w:type="pct"/>
            <w:hideMark/>
          </w:tcPr>
          <w:p w14:paraId="0E5E4DAE"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Beneficio Definido</w:t>
            </w:r>
          </w:p>
        </w:tc>
      </w:tr>
      <w:tr w:rsidR="00C6733C" w14:paraId="2147AED9" w14:textId="77777777">
        <w:trPr>
          <w:trHeight w:val="300"/>
        </w:trPr>
        <w:tc>
          <w:tcPr>
            <w:tcW w:w="1120" w:type="pct"/>
            <w:hideMark/>
          </w:tcPr>
          <w:p w14:paraId="148A28D8"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Población afiliada</w:t>
            </w:r>
          </w:p>
        </w:tc>
        <w:tc>
          <w:tcPr>
            <w:tcW w:w="942" w:type="pct"/>
            <w:gridSpan w:val="2"/>
            <w:noWrap/>
            <w:hideMark/>
          </w:tcPr>
          <w:p w14:paraId="134DA21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2450FC7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1F32BF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8EA736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555B0E7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259A65F7" w14:textId="77777777">
        <w:trPr>
          <w:trHeight w:val="300"/>
        </w:trPr>
        <w:tc>
          <w:tcPr>
            <w:tcW w:w="1120" w:type="pct"/>
            <w:hideMark/>
          </w:tcPr>
          <w:p w14:paraId="560B81B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Activos</w:t>
            </w:r>
          </w:p>
        </w:tc>
        <w:tc>
          <w:tcPr>
            <w:tcW w:w="942" w:type="pct"/>
            <w:gridSpan w:val="2"/>
            <w:noWrap/>
            <w:hideMark/>
          </w:tcPr>
          <w:p w14:paraId="127C1CE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6,140 </w:t>
            </w:r>
          </w:p>
        </w:tc>
        <w:tc>
          <w:tcPr>
            <w:tcW w:w="590" w:type="pct"/>
            <w:gridSpan w:val="3"/>
            <w:noWrap/>
            <w:hideMark/>
          </w:tcPr>
          <w:p w14:paraId="3E6C9D9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7E63FA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6,140 </w:t>
            </w:r>
          </w:p>
        </w:tc>
        <w:tc>
          <w:tcPr>
            <w:tcW w:w="783" w:type="pct"/>
            <w:gridSpan w:val="2"/>
            <w:noWrap/>
            <w:hideMark/>
          </w:tcPr>
          <w:p w14:paraId="07250AC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6,140 </w:t>
            </w:r>
          </w:p>
        </w:tc>
        <w:tc>
          <w:tcPr>
            <w:tcW w:w="781" w:type="pct"/>
            <w:noWrap/>
            <w:hideMark/>
          </w:tcPr>
          <w:p w14:paraId="331AC8E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6,140 </w:t>
            </w:r>
          </w:p>
        </w:tc>
      </w:tr>
      <w:tr w:rsidR="00C6733C" w14:paraId="2EC19345" w14:textId="77777777">
        <w:trPr>
          <w:trHeight w:val="300"/>
        </w:trPr>
        <w:tc>
          <w:tcPr>
            <w:tcW w:w="1120" w:type="pct"/>
            <w:hideMark/>
          </w:tcPr>
          <w:p w14:paraId="2F468DF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xml:space="preserve">Edad </w:t>
            </w:r>
            <w:r>
              <w:rPr>
                <w:rFonts w:eastAsia="Times New Roman" w:cstheme="minorHAnsi"/>
                <w:color w:val="000000"/>
                <w:sz w:val="16"/>
                <w:szCs w:val="16"/>
              </w:rPr>
              <w:t>máxima</w:t>
            </w:r>
          </w:p>
        </w:tc>
        <w:tc>
          <w:tcPr>
            <w:tcW w:w="942" w:type="pct"/>
            <w:gridSpan w:val="2"/>
            <w:noWrap/>
            <w:hideMark/>
          </w:tcPr>
          <w:p w14:paraId="40C149B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84 </w:t>
            </w:r>
          </w:p>
        </w:tc>
        <w:tc>
          <w:tcPr>
            <w:tcW w:w="590" w:type="pct"/>
            <w:gridSpan w:val="3"/>
            <w:noWrap/>
            <w:hideMark/>
          </w:tcPr>
          <w:p w14:paraId="5236F86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21E392D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84 </w:t>
            </w:r>
          </w:p>
        </w:tc>
        <w:tc>
          <w:tcPr>
            <w:tcW w:w="783" w:type="pct"/>
            <w:gridSpan w:val="2"/>
            <w:noWrap/>
            <w:hideMark/>
          </w:tcPr>
          <w:p w14:paraId="3284B6F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84 </w:t>
            </w:r>
          </w:p>
        </w:tc>
        <w:tc>
          <w:tcPr>
            <w:tcW w:w="781" w:type="pct"/>
            <w:noWrap/>
            <w:hideMark/>
          </w:tcPr>
          <w:p w14:paraId="286B12E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84 </w:t>
            </w:r>
          </w:p>
        </w:tc>
      </w:tr>
      <w:tr w:rsidR="00C6733C" w14:paraId="1B39F8FD" w14:textId="77777777">
        <w:trPr>
          <w:trHeight w:val="300"/>
        </w:trPr>
        <w:tc>
          <w:tcPr>
            <w:tcW w:w="1120" w:type="pct"/>
            <w:hideMark/>
          </w:tcPr>
          <w:p w14:paraId="533B85F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mínima</w:t>
            </w:r>
          </w:p>
        </w:tc>
        <w:tc>
          <w:tcPr>
            <w:tcW w:w="942" w:type="pct"/>
            <w:gridSpan w:val="2"/>
            <w:noWrap/>
            <w:hideMark/>
          </w:tcPr>
          <w:p w14:paraId="2D906FD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 </w:t>
            </w:r>
          </w:p>
        </w:tc>
        <w:tc>
          <w:tcPr>
            <w:tcW w:w="590" w:type="pct"/>
            <w:gridSpan w:val="3"/>
            <w:noWrap/>
            <w:hideMark/>
          </w:tcPr>
          <w:p w14:paraId="19203E2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04FD92A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 </w:t>
            </w:r>
          </w:p>
        </w:tc>
        <w:tc>
          <w:tcPr>
            <w:tcW w:w="783" w:type="pct"/>
            <w:gridSpan w:val="2"/>
            <w:noWrap/>
            <w:hideMark/>
          </w:tcPr>
          <w:p w14:paraId="0EF099E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 </w:t>
            </w:r>
          </w:p>
        </w:tc>
        <w:tc>
          <w:tcPr>
            <w:tcW w:w="781" w:type="pct"/>
            <w:noWrap/>
            <w:hideMark/>
          </w:tcPr>
          <w:p w14:paraId="3F4D802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 </w:t>
            </w:r>
          </w:p>
        </w:tc>
      </w:tr>
      <w:tr w:rsidR="00C6733C" w14:paraId="3C8BF217" w14:textId="77777777">
        <w:trPr>
          <w:trHeight w:val="300"/>
        </w:trPr>
        <w:tc>
          <w:tcPr>
            <w:tcW w:w="1120" w:type="pct"/>
            <w:hideMark/>
          </w:tcPr>
          <w:p w14:paraId="1A11CAD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promedio</w:t>
            </w:r>
          </w:p>
        </w:tc>
        <w:tc>
          <w:tcPr>
            <w:tcW w:w="942" w:type="pct"/>
            <w:gridSpan w:val="2"/>
            <w:noWrap/>
            <w:hideMark/>
          </w:tcPr>
          <w:p w14:paraId="379E83A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39 </w:t>
            </w:r>
          </w:p>
        </w:tc>
        <w:tc>
          <w:tcPr>
            <w:tcW w:w="590" w:type="pct"/>
            <w:gridSpan w:val="3"/>
            <w:noWrap/>
            <w:hideMark/>
          </w:tcPr>
          <w:p w14:paraId="572D5B5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0215B88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39 </w:t>
            </w:r>
          </w:p>
        </w:tc>
        <w:tc>
          <w:tcPr>
            <w:tcW w:w="783" w:type="pct"/>
            <w:gridSpan w:val="2"/>
            <w:noWrap/>
            <w:hideMark/>
          </w:tcPr>
          <w:p w14:paraId="1654D50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39 </w:t>
            </w:r>
          </w:p>
        </w:tc>
        <w:tc>
          <w:tcPr>
            <w:tcW w:w="781" w:type="pct"/>
            <w:noWrap/>
            <w:hideMark/>
          </w:tcPr>
          <w:p w14:paraId="4F7E54E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39 </w:t>
            </w:r>
          </w:p>
        </w:tc>
      </w:tr>
      <w:tr w:rsidR="00C6733C" w14:paraId="24368F3E" w14:textId="77777777">
        <w:trPr>
          <w:trHeight w:val="300"/>
        </w:trPr>
        <w:tc>
          <w:tcPr>
            <w:tcW w:w="1120" w:type="pct"/>
            <w:hideMark/>
          </w:tcPr>
          <w:p w14:paraId="5FD343D4"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Pensionados y Jubilados</w:t>
            </w:r>
          </w:p>
        </w:tc>
        <w:tc>
          <w:tcPr>
            <w:tcW w:w="942" w:type="pct"/>
            <w:gridSpan w:val="2"/>
            <w:noWrap/>
            <w:hideMark/>
          </w:tcPr>
          <w:p w14:paraId="46DE164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590" w:type="pct"/>
            <w:gridSpan w:val="3"/>
            <w:noWrap/>
            <w:hideMark/>
          </w:tcPr>
          <w:p w14:paraId="510A4C3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131B5F7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3" w:type="pct"/>
            <w:gridSpan w:val="2"/>
            <w:noWrap/>
            <w:hideMark/>
          </w:tcPr>
          <w:p w14:paraId="1C2AC8A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1" w:type="pct"/>
            <w:noWrap/>
            <w:hideMark/>
          </w:tcPr>
          <w:p w14:paraId="30616A4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r>
      <w:tr w:rsidR="00C6733C" w14:paraId="2CC634E1" w14:textId="77777777">
        <w:trPr>
          <w:trHeight w:val="300"/>
        </w:trPr>
        <w:tc>
          <w:tcPr>
            <w:tcW w:w="1120" w:type="pct"/>
            <w:hideMark/>
          </w:tcPr>
          <w:p w14:paraId="5C21FD8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máxima</w:t>
            </w:r>
          </w:p>
        </w:tc>
        <w:tc>
          <w:tcPr>
            <w:tcW w:w="942" w:type="pct"/>
            <w:gridSpan w:val="2"/>
            <w:noWrap/>
            <w:hideMark/>
          </w:tcPr>
          <w:p w14:paraId="1F07691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590" w:type="pct"/>
            <w:gridSpan w:val="3"/>
            <w:noWrap/>
            <w:hideMark/>
          </w:tcPr>
          <w:p w14:paraId="7A56D99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0E7427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3" w:type="pct"/>
            <w:gridSpan w:val="2"/>
            <w:noWrap/>
            <w:hideMark/>
          </w:tcPr>
          <w:p w14:paraId="72ED8E6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1" w:type="pct"/>
            <w:noWrap/>
            <w:hideMark/>
          </w:tcPr>
          <w:p w14:paraId="1E7C975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r>
      <w:tr w:rsidR="00C6733C" w14:paraId="0196CC05" w14:textId="77777777">
        <w:trPr>
          <w:trHeight w:val="300"/>
        </w:trPr>
        <w:tc>
          <w:tcPr>
            <w:tcW w:w="1120" w:type="pct"/>
            <w:hideMark/>
          </w:tcPr>
          <w:p w14:paraId="4AE75A8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mínima</w:t>
            </w:r>
          </w:p>
        </w:tc>
        <w:tc>
          <w:tcPr>
            <w:tcW w:w="942" w:type="pct"/>
            <w:gridSpan w:val="2"/>
            <w:noWrap/>
            <w:hideMark/>
          </w:tcPr>
          <w:p w14:paraId="2888CF2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590" w:type="pct"/>
            <w:gridSpan w:val="3"/>
            <w:noWrap/>
            <w:hideMark/>
          </w:tcPr>
          <w:p w14:paraId="237ECF8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2ED0E4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3" w:type="pct"/>
            <w:gridSpan w:val="2"/>
            <w:noWrap/>
            <w:hideMark/>
          </w:tcPr>
          <w:p w14:paraId="6B4A245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1" w:type="pct"/>
            <w:noWrap/>
            <w:hideMark/>
          </w:tcPr>
          <w:p w14:paraId="166025C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r>
      <w:tr w:rsidR="00C6733C" w14:paraId="5ABCF9CE" w14:textId="77777777">
        <w:trPr>
          <w:trHeight w:val="300"/>
        </w:trPr>
        <w:tc>
          <w:tcPr>
            <w:tcW w:w="1120" w:type="pct"/>
            <w:hideMark/>
          </w:tcPr>
          <w:p w14:paraId="111D852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promedio</w:t>
            </w:r>
          </w:p>
        </w:tc>
        <w:tc>
          <w:tcPr>
            <w:tcW w:w="942" w:type="pct"/>
            <w:gridSpan w:val="2"/>
            <w:noWrap/>
            <w:hideMark/>
          </w:tcPr>
          <w:p w14:paraId="348AF36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590" w:type="pct"/>
            <w:gridSpan w:val="3"/>
            <w:noWrap/>
            <w:hideMark/>
          </w:tcPr>
          <w:p w14:paraId="51A7A20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26FF90D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3" w:type="pct"/>
            <w:gridSpan w:val="2"/>
            <w:noWrap/>
            <w:hideMark/>
          </w:tcPr>
          <w:p w14:paraId="3564635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1" w:type="pct"/>
            <w:noWrap/>
            <w:hideMark/>
          </w:tcPr>
          <w:p w14:paraId="6744F02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 </w:t>
            </w:r>
          </w:p>
        </w:tc>
      </w:tr>
      <w:tr w:rsidR="00C6733C" w14:paraId="13CC5515" w14:textId="77777777">
        <w:trPr>
          <w:trHeight w:val="300"/>
        </w:trPr>
        <w:tc>
          <w:tcPr>
            <w:tcW w:w="1120" w:type="pct"/>
            <w:hideMark/>
          </w:tcPr>
          <w:p w14:paraId="1EC8292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Beneficiarios</w:t>
            </w:r>
          </w:p>
        </w:tc>
        <w:tc>
          <w:tcPr>
            <w:tcW w:w="942" w:type="pct"/>
            <w:gridSpan w:val="2"/>
            <w:noWrap/>
            <w:hideMark/>
          </w:tcPr>
          <w:p w14:paraId="7FE09F4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674B5144"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4F797BE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029299A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4D1E05A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14FADDA0" w14:textId="77777777">
        <w:trPr>
          <w:trHeight w:val="300"/>
        </w:trPr>
        <w:tc>
          <w:tcPr>
            <w:tcW w:w="1120" w:type="pct"/>
            <w:hideMark/>
          </w:tcPr>
          <w:p w14:paraId="20E8B69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xml:space="preserve">Promedio de </w:t>
            </w:r>
            <w:r>
              <w:rPr>
                <w:rFonts w:eastAsia="Times New Roman" w:cstheme="minorHAnsi"/>
                <w:color w:val="000000"/>
                <w:sz w:val="16"/>
                <w:szCs w:val="16"/>
              </w:rPr>
              <w:t>años de servicio (trabajadores activos)</w:t>
            </w:r>
          </w:p>
        </w:tc>
        <w:tc>
          <w:tcPr>
            <w:tcW w:w="942" w:type="pct"/>
            <w:gridSpan w:val="2"/>
            <w:noWrap/>
            <w:hideMark/>
          </w:tcPr>
          <w:p w14:paraId="1AB1559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10.53 </w:t>
            </w:r>
          </w:p>
        </w:tc>
        <w:tc>
          <w:tcPr>
            <w:tcW w:w="590" w:type="pct"/>
            <w:gridSpan w:val="3"/>
            <w:noWrap/>
            <w:hideMark/>
          </w:tcPr>
          <w:p w14:paraId="202C2A3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95C3C9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10.53 </w:t>
            </w:r>
          </w:p>
        </w:tc>
        <w:tc>
          <w:tcPr>
            <w:tcW w:w="783" w:type="pct"/>
            <w:gridSpan w:val="2"/>
            <w:noWrap/>
            <w:hideMark/>
          </w:tcPr>
          <w:p w14:paraId="428D916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10.53 </w:t>
            </w:r>
          </w:p>
        </w:tc>
        <w:tc>
          <w:tcPr>
            <w:tcW w:w="781" w:type="pct"/>
            <w:noWrap/>
            <w:hideMark/>
          </w:tcPr>
          <w:p w14:paraId="4C0FCB6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10.53 </w:t>
            </w:r>
          </w:p>
        </w:tc>
      </w:tr>
      <w:tr w:rsidR="00C6733C" w14:paraId="58CF99AB" w14:textId="77777777">
        <w:trPr>
          <w:trHeight w:val="600"/>
        </w:trPr>
        <w:tc>
          <w:tcPr>
            <w:tcW w:w="1120" w:type="pct"/>
            <w:hideMark/>
          </w:tcPr>
          <w:p w14:paraId="7715073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Aportación individual al plan de pensión como % del salario</w:t>
            </w:r>
          </w:p>
        </w:tc>
        <w:tc>
          <w:tcPr>
            <w:tcW w:w="942" w:type="pct"/>
            <w:gridSpan w:val="2"/>
            <w:hideMark/>
          </w:tcPr>
          <w:p w14:paraId="7CC366E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1.0%</w:t>
            </w:r>
          </w:p>
        </w:tc>
        <w:tc>
          <w:tcPr>
            <w:tcW w:w="590" w:type="pct"/>
            <w:gridSpan w:val="3"/>
            <w:noWrap/>
            <w:hideMark/>
          </w:tcPr>
          <w:p w14:paraId="6F4FB18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hideMark/>
          </w:tcPr>
          <w:p w14:paraId="5F59E9B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1.0%</w:t>
            </w:r>
          </w:p>
        </w:tc>
        <w:tc>
          <w:tcPr>
            <w:tcW w:w="783" w:type="pct"/>
            <w:gridSpan w:val="2"/>
            <w:hideMark/>
          </w:tcPr>
          <w:p w14:paraId="17673C4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1.0%</w:t>
            </w:r>
          </w:p>
        </w:tc>
        <w:tc>
          <w:tcPr>
            <w:tcW w:w="781" w:type="pct"/>
            <w:hideMark/>
          </w:tcPr>
          <w:p w14:paraId="6E80A89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1.0%</w:t>
            </w:r>
          </w:p>
        </w:tc>
      </w:tr>
      <w:tr w:rsidR="00C6733C" w14:paraId="7105D54F" w14:textId="77777777">
        <w:trPr>
          <w:trHeight w:val="600"/>
        </w:trPr>
        <w:tc>
          <w:tcPr>
            <w:tcW w:w="1120" w:type="pct"/>
            <w:hideMark/>
          </w:tcPr>
          <w:p w14:paraId="2F470A9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Aportación del ente público al plan de pensión como % del salario</w:t>
            </w:r>
          </w:p>
        </w:tc>
        <w:tc>
          <w:tcPr>
            <w:tcW w:w="942" w:type="pct"/>
            <w:gridSpan w:val="2"/>
            <w:hideMark/>
          </w:tcPr>
          <w:p w14:paraId="536F0C8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2.0%</w:t>
            </w:r>
          </w:p>
        </w:tc>
        <w:tc>
          <w:tcPr>
            <w:tcW w:w="590" w:type="pct"/>
            <w:gridSpan w:val="3"/>
            <w:noWrap/>
            <w:hideMark/>
          </w:tcPr>
          <w:p w14:paraId="6640EC5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hideMark/>
          </w:tcPr>
          <w:p w14:paraId="63B88AA4"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2.0%</w:t>
            </w:r>
          </w:p>
        </w:tc>
        <w:tc>
          <w:tcPr>
            <w:tcW w:w="783" w:type="pct"/>
            <w:gridSpan w:val="2"/>
            <w:hideMark/>
          </w:tcPr>
          <w:p w14:paraId="39ABB42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2.0%</w:t>
            </w:r>
          </w:p>
        </w:tc>
        <w:tc>
          <w:tcPr>
            <w:tcW w:w="781" w:type="pct"/>
            <w:hideMark/>
          </w:tcPr>
          <w:p w14:paraId="0B2A4E2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2.0%</w:t>
            </w:r>
          </w:p>
        </w:tc>
      </w:tr>
      <w:tr w:rsidR="00C6733C" w14:paraId="62AF1472" w14:textId="77777777">
        <w:trPr>
          <w:trHeight w:val="300"/>
        </w:trPr>
        <w:tc>
          <w:tcPr>
            <w:tcW w:w="1120" w:type="pct"/>
            <w:hideMark/>
          </w:tcPr>
          <w:p w14:paraId="07D5240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Crecimiento esperado de los pensionados y jubilados (como %)</w:t>
            </w:r>
          </w:p>
        </w:tc>
        <w:tc>
          <w:tcPr>
            <w:tcW w:w="942" w:type="pct"/>
            <w:gridSpan w:val="2"/>
            <w:noWrap/>
            <w:hideMark/>
          </w:tcPr>
          <w:p w14:paraId="16D4AD0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 -   </w:t>
            </w:r>
          </w:p>
        </w:tc>
        <w:tc>
          <w:tcPr>
            <w:tcW w:w="590" w:type="pct"/>
            <w:gridSpan w:val="3"/>
            <w:noWrap/>
            <w:hideMark/>
          </w:tcPr>
          <w:p w14:paraId="77FE1EF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AF6992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 -   </w:t>
            </w:r>
          </w:p>
        </w:tc>
        <w:tc>
          <w:tcPr>
            <w:tcW w:w="783" w:type="pct"/>
            <w:gridSpan w:val="2"/>
            <w:noWrap/>
            <w:hideMark/>
          </w:tcPr>
          <w:p w14:paraId="115E92F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 -   </w:t>
            </w:r>
          </w:p>
        </w:tc>
        <w:tc>
          <w:tcPr>
            <w:tcW w:w="781" w:type="pct"/>
            <w:noWrap/>
            <w:hideMark/>
          </w:tcPr>
          <w:p w14:paraId="7439A656"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NA</w:t>
            </w:r>
          </w:p>
        </w:tc>
      </w:tr>
      <w:tr w:rsidR="00C6733C" w14:paraId="1220AF42" w14:textId="77777777">
        <w:trPr>
          <w:trHeight w:val="300"/>
        </w:trPr>
        <w:tc>
          <w:tcPr>
            <w:tcW w:w="1120" w:type="pct"/>
            <w:hideMark/>
          </w:tcPr>
          <w:p w14:paraId="71B0462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Crecimiento esperado de los activos (como %)</w:t>
            </w:r>
          </w:p>
        </w:tc>
        <w:tc>
          <w:tcPr>
            <w:tcW w:w="942" w:type="pct"/>
            <w:gridSpan w:val="2"/>
            <w:noWrap/>
            <w:hideMark/>
          </w:tcPr>
          <w:p w14:paraId="127F75B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0.2322%</w:t>
            </w:r>
          </w:p>
        </w:tc>
        <w:tc>
          <w:tcPr>
            <w:tcW w:w="590" w:type="pct"/>
            <w:gridSpan w:val="3"/>
            <w:noWrap/>
            <w:hideMark/>
          </w:tcPr>
          <w:p w14:paraId="3ED3048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4060B6B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0.2322%</w:t>
            </w:r>
          </w:p>
        </w:tc>
        <w:tc>
          <w:tcPr>
            <w:tcW w:w="783" w:type="pct"/>
            <w:gridSpan w:val="2"/>
            <w:noWrap/>
            <w:hideMark/>
          </w:tcPr>
          <w:p w14:paraId="594E228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0.2322%</w:t>
            </w:r>
          </w:p>
        </w:tc>
        <w:tc>
          <w:tcPr>
            <w:tcW w:w="781" w:type="pct"/>
            <w:noWrap/>
            <w:hideMark/>
          </w:tcPr>
          <w:p w14:paraId="258FA10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0.2322%</w:t>
            </w:r>
          </w:p>
        </w:tc>
      </w:tr>
      <w:tr w:rsidR="00C6733C" w14:paraId="282A770C" w14:textId="77777777">
        <w:trPr>
          <w:trHeight w:val="300"/>
        </w:trPr>
        <w:tc>
          <w:tcPr>
            <w:tcW w:w="1120" w:type="pct"/>
            <w:hideMark/>
          </w:tcPr>
          <w:p w14:paraId="0AF02F2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Edad de Jubilación o Pensión</w:t>
            </w:r>
          </w:p>
        </w:tc>
        <w:tc>
          <w:tcPr>
            <w:tcW w:w="942" w:type="pct"/>
            <w:gridSpan w:val="2"/>
            <w:noWrap/>
            <w:hideMark/>
          </w:tcPr>
          <w:p w14:paraId="3B4E8DA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65.00 </w:t>
            </w:r>
          </w:p>
        </w:tc>
        <w:tc>
          <w:tcPr>
            <w:tcW w:w="590" w:type="pct"/>
            <w:gridSpan w:val="3"/>
            <w:noWrap/>
            <w:hideMark/>
          </w:tcPr>
          <w:p w14:paraId="4F9D951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B6C6CA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65.00 </w:t>
            </w:r>
          </w:p>
        </w:tc>
        <w:tc>
          <w:tcPr>
            <w:tcW w:w="783" w:type="pct"/>
            <w:gridSpan w:val="2"/>
            <w:noWrap/>
            <w:hideMark/>
          </w:tcPr>
          <w:p w14:paraId="3990A3A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65.00 </w:t>
            </w:r>
          </w:p>
        </w:tc>
        <w:tc>
          <w:tcPr>
            <w:tcW w:w="781" w:type="pct"/>
            <w:noWrap/>
            <w:hideMark/>
          </w:tcPr>
          <w:p w14:paraId="7CE2E9A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65.00 </w:t>
            </w:r>
          </w:p>
        </w:tc>
      </w:tr>
      <w:tr w:rsidR="00C6733C" w14:paraId="30348827" w14:textId="77777777">
        <w:trPr>
          <w:trHeight w:val="300"/>
        </w:trPr>
        <w:tc>
          <w:tcPr>
            <w:tcW w:w="1120" w:type="pct"/>
            <w:hideMark/>
          </w:tcPr>
          <w:p w14:paraId="0025D70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Esperanza de vida</w:t>
            </w:r>
          </w:p>
        </w:tc>
        <w:tc>
          <w:tcPr>
            <w:tcW w:w="942" w:type="pct"/>
            <w:gridSpan w:val="2"/>
            <w:noWrap/>
            <w:hideMark/>
          </w:tcPr>
          <w:p w14:paraId="46B644C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18.00 </w:t>
            </w:r>
          </w:p>
        </w:tc>
        <w:tc>
          <w:tcPr>
            <w:tcW w:w="590" w:type="pct"/>
            <w:gridSpan w:val="3"/>
            <w:noWrap/>
            <w:hideMark/>
          </w:tcPr>
          <w:p w14:paraId="5979C3C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2F58EC6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18.00 </w:t>
            </w:r>
          </w:p>
        </w:tc>
        <w:tc>
          <w:tcPr>
            <w:tcW w:w="783" w:type="pct"/>
            <w:gridSpan w:val="2"/>
            <w:noWrap/>
            <w:hideMark/>
          </w:tcPr>
          <w:p w14:paraId="01722B5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18.00 </w:t>
            </w:r>
          </w:p>
        </w:tc>
        <w:tc>
          <w:tcPr>
            <w:tcW w:w="781" w:type="pct"/>
            <w:noWrap/>
            <w:hideMark/>
          </w:tcPr>
          <w:p w14:paraId="13F4C4F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18.00 </w:t>
            </w:r>
          </w:p>
        </w:tc>
      </w:tr>
      <w:tr w:rsidR="00C6733C" w14:paraId="6BAB7AE1" w14:textId="77777777">
        <w:trPr>
          <w:trHeight w:val="300"/>
        </w:trPr>
        <w:tc>
          <w:tcPr>
            <w:tcW w:w="1120" w:type="pct"/>
            <w:hideMark/>
          </w:tcPr>
          <w:p w14:paraId="6A581865"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Ingresos del Fondo</w:t>
            </w:r>
          </w:p>
        </w:tc>
        <w:tc>
          <w:tcPr>
            <w:tcW w:w="942" w:type="pct"/>
            <w:gridSpan w:val="2"/>
            <w:noWrap/>
            <w:hideMark/>
          </w:tcPr>
          <w:p w14:paraId="50ACC32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0EC88DD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3EF6013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E9976D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60710A7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142D4CFA" w14:textId="77777777">
        <w:trPr>
          <w:trHeight w:val="300"/>
        </w:trPr>
        <w:tc>
          <w:tcPr>
            <w:tcW w:w="1120" w:type="pct"/>
            <w:hideMark/>
          </w:tcPr>
          <w:p w14:paraId="2C95E90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xml:space="preserve">Ingresos </w:t>
            </w:r>
            <w:r>
              <w:rPr>
                <w:rFonts w:eastAsia="Times New Roman" w:cstheme="minorHAnsi"/>
                <w:color w:val="000000"/>
                <w:sz w:val="16"/>
                <w:szCs w:val="16"/>
              </w:rPr>
              <w:t>Anuales al Fondo de Pensiones</w:t>
            </w:r>
          </w:p>
        </w:tc>
        <w:tc>
          <w:tcPr>
            <w:tcW w:w="942" w:type="pct"/>
            <w:gridSpan w:val="2"/>
            <w:noWrap/>
            <w:hideMark/>
          </w:tcPr>
          <w:p w14:paraId="0E1A4D0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13,589,890.57 </w:t>
            </w:r>
          </w:p>
        </w:tc>
        <w:tc>
          <w:tcPr>
            <w:tcW w:w="590" w:type="pct"/>
            <w:gridSpan w:val="3"/>
            <w:noWrap/>
            <w:hideMark/>
          </w:tcPr>
          <w:p w14:paraId="2208B21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42A52C4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13,589,890.57 </w:t>
            </w:r>
          </w:p>
        </w:tc>
        <w:tc>
          <w:tcPr>
            <w:tcW w:w="783" w:type="pct"/>
            <w:gridSpan w:val="2"/>
            <w:noWrap/>
            <w:hideMark/>
          </w:tcPr>
          <w:p w14:paraId="55A1107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13,589,890.57 </w:t>
            </w:r>
          </w:p>
        </w:tc>
        <w:tc>
          <w:tcPr>
            <w:tcW w:w="781" w:type="pct"/>
            <w:noWrap/>
            <w:hideMark/>
          </w:tcPr>
          <w:p w14:paraId="1F01693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13,589,890.57 </w:t>
            </w:r>
          </w:p>
        </w:tc>
      </w:tr>
      <w:tr w:rsidR="00C6733C" w14:paraId="45CB11FB" w14:textId="77777777">
        <w:trPr>
          <w:trHeight w:val="300"/>
        </w:trPr>
        <w:tc>
          <w:tcPr>
            <w:tcW w:w="1120" w:type="pct"/>
            <w:hideMark/>
          </w:tcPr>
          <w:p w14:paraId="28EED3EF"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Nómina anual</w:t>
            </w:r>
          </w:p>
        </w:tc>
        <w:tc>
          <w:tcPr>
            <w:tcW w:w="942" w:type="pct"/>
            <w:gridSpan w:val="2"/>
            <w:noWrap/>
            <w:hideMark/>
          </w:tcPr>
          <w:p w14:paraId="6D454BB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1677A2A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06A7801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2E8C3C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16AB543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0834FF85" w14:textId="77777777">
        <w:trPr>
          <w:trHeight w:val="300"/>
        </w:trPr>
        <w:tc>
          <w:tcPr>
            <w:tcW w:w="1120" w:type="pct"/>
            <w:hideMark/>
          </w:tcPr>
          <w:p w14:paraId="1A7DAD04"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Activos</w:t>
            </w:r>
          </w:p>
        </w:tc>
        <w:tc>
          <w:tcPr>
            <w:tcW w:w="942" w:type="pct"/>
            <w:gridSpan w:val="2"/>
            <w:noWrap/>
            <w:hideMark/>
          </w:tcPr>
          <w:p w14:paraId="62633C5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332,707,692.00 </w:t>
            </w:r>
          </w:p>
        </w:tc>
        <w:tc>
          <w:tcPr>
            <w:tcW w:w="590" w:type="pct"/>
            <w:gridSpan w:val="3"/>
            <w:noWrap/>
            <w:hideMark/>
          </w:tcPr>
          <w:p w14:paraId="140E667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077DB80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332,707,692.00 </w:t>
            </w:r>
          </w:p>
        </w:tc>
        <w:tc>
          <w:tcPr>
            <w:tcW w:w="783" w:type="pct"/>
            <w:gridSpan w:val="2"/>
            <w:noWrap/>
            <w:hideMark/>
          </w:tcPr>
          <w:p w14:paraId="7D0A95DF"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332,707,692.00 </w:t>
            </w:r>
          </w:p>
        </w:tc>
        <w:tc>
          <w:tcPr>
            <w:tcW w:w="781" w:type="pct"/>
            <w:noWrap/>
            <w:hideMark/>
          </w:tcPr>
          <w:p w14:paraId="1A24935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332,707,692.00 </w:t>
            </w:r>
          </w:p>
        </w:tc>
      </w:tr>
      <w:tr w:rsidR="00C6733C" w14:paraId="44ADD306" w14:textId="77777777">
        <w:trPr>
          <w:trHeight w:val="300"/>
        </w:trPr>
        <w:tc>
          <w:tcPr>
            <w:tcW w:w="1120" w:type="pct"/>
            <w:hideMark/>
          </w:tcPr>
          <w:p w14:paraId="743B4A6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Pensionados y Jubilados</w:t>
            </w:r>
          </w:p>
        </w:tc>
        <w:tc>
          <w:tcPr>
            <w:tcW w:w="942" w:type="pct"/>
            <w:gridSpan w:val="2"/>
            <w:noWrap/>
            <w:hideMark/>
          </w:tcPr>
          <w:p w14:paraId="21A287B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14:paraId="733D752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17C38AA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14:paraId="43AAA7F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14:paraId="04FBA32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rsidR="00C6733C" w14:paraId="7C04DFDA" w14:textId="77777777">
        <w:trPr>
          <w:trHeight w:val="300"/>
        </w:trPr>
        <w:tc>
          <w:tcPr>
            <w:tcW w:w="1120" w:type="pct"/>
            <w:hideMark/>
          </w:tcPr>
          <w:p w14:paraId="5B85633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Beneficiarios de Pensionados y Jubilados</w:t>
            </w:r>
          </w:p>
        </w:tc>
        <w:tc>
          <w:tcPr>
            <w:tcW w:w="942" w:type="pct"/>
            <w:gridSpan w:val="2"/>
            <w:noWrap/>
            <w:hideMark/>
          </w:tcPr>
          <w:p w14:paraId="273B631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14:paraId="2C55086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52F2C5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14:paraId="0DC584F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14:paraId="6D8AAC6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rsidR="00C6733C" w14:paraId="078048D1" w14:textId="77777777">
        <w:trPr>
          <w:trHeight w:val="300"/>
        </w:trPr>
        <w:tc>
          <w:tcPr>
            <w:tcW w:w="1120" w:type="pct"/>
            <w:hideMark/>
          </w:tcPr>
          <w:p w14:paraId="620CB8E3"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Monto mensual por pensión</w:t>
            </w:r>
          </w:p>
        </w:tc>
        <w:tc>
          <w:tcPr>
            <w:tcW w:w="942" w:type="pct"/>
            <w:gridSpan w:val="2"/>
            <w:noWrap/>
            <w:hideMark/>
          </w:tcPr>
          <w:p w14:paraId="1D1DBEB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1929918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AC099D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9DBD1D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010DBFB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3C81E400" w14:textId="77777777">
        <w:trPr>
          <w:trHeight w:val="300"/>
        </w:trPr>
        <w:tc>
          <w:tcPr>
            <w:tcW w:w="1120" w:type="pct"/>
            <w:hideMark/>
          </w:tcPr>
          <w:p w14:paraId="5F76270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Máximo</w:t>
            </w:r>
          </w:p>
        </w:tc>
        <w:tc>
          <w:tcPr>
            <w:tcW w:w="942" w:type="pct"/>
            <w:gridSpan w:val="2"/>
            <w:noWrap/>
            <w:hideMark/>
          </w:tcPr>
          <w:p w14:paraId="52C4509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14:paraId="5054513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4DBCE38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14:paraId="62719A7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14:paraId="3B40B58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rsidR="00C6733C" w14:paraId="394092BC" w14:textId="77777777">
        <w:trPr>
          <w:trHeight w:val="300"/>
        </w:trPr>
        <w:tc>
          <w:tcPr>
            <w:tcW w:w="1120" w:type="pct"/>
            <w:hideMark/>
          </w:tcPr>
          <w:p w14:paraId="5E149E8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Mínimo</w:t>
            </w:r>
          </w:p>
        </w:tc>
        <w:tc>
          <w:tcPr>
            <w:tcW w:w="942" w:type="pct"/>
            <w:gridSpan w:val="2"/>
            <w:noWrap/>
            <w:hideMark/>
          </w:tcPr>
          <w:p w14:paraId="58137D2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14:paraId="7EB563F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0FC9AF7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14:paraId="475C1CF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14:paraId="33CF782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rsidR="00C6733C" w14:paraId="5BFC7B07" w14:textId="77777777">
        <w:trPr>
          <w:trHeight w:val="300"/>
        </w:trPr>
        <w:tc>
          <w:tcPr>
            <w:tcW w:w="1120" w:type="pct"/>
            <w:hideMark/>
          </w:tcPr>
          <w:p w14:paraId="7D49FCB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Promedio</w:t>
            </w:r>
          </w:p>
        </w:tc>
        <w:tc>
          <w:tcPr>
            <w:tcW w:w="942" w:type="pct"/>
            <w:gridSpan w:val="2"/>
            <w:noWrap/>
            <w:hideMark/>
          </w:tcPr>
          <w:p w14:paraId="1A7161E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14:paraId="0AC4EDC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3FE19FA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14:paraId="4DB61598"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14:paraId="5D6738D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rsidR="00C6733C" w14:paraId="25D3FD85" w14:textId="77777777">
        <w:trPr>
          <w:trHeight w:val="300"/>
        </w:trPr>
        <w:tc>
          <w:tcPr>
            <w:tcW w:w="1120" w:type="pct"/>
            <w:hideMark/>
          </w:tcPr>
          <w:p w14:paraId="00089D1B"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Monto de la reserva</w:t>
            </w:r>
          </w:p>
        </w:tc>
        <w:tc>
          <w:tcPr>
            <w:tcW w:w="942" w:type="pct"/>
            <w:gridSpan w:val="2"/>
            <w:noWrap/>
            <w:hideMark/>
          </w:tcPr>
          <w:p w14:paraId="657FB4F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18,862,334.88 </w:t>
            </w:r>
          </w:p>
        </w:tc>
        <w:tc>
          <w:tcPr>
            <w:tcW w:w="590" w:type="pct"/>
            <w:gridSpan w:val="3"/>
            <w:noWrap/>
            <w:hideMark/>
          </w:tcPr>
          <w:p w14:paraId="6F4DCB8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1687090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572814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24D54C1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18,862,334.88 </w:t>
            </w:r>
          </w:p>
        </w:tc>
      </w:tr>
      <w:tr w:rsidR="00C6733C" w14:paraId="6F470C6C" w14:textId="77777777">
        <w:trPr>
          <w:trHeight w:val="300"/>
        </w:trPr>
        <w:tc>
          <w:tcPr>
            <w:tcW w:w="1120" w:type="pct"/>
            <w:hideMark/>
          </w:tcPr>
          <w:p w14:paraId="50B1ACE2"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Valor presente de las obligaciones</w:t>
            </w:r>
          </w:p>
        </w:tc>
        <w:tc>
          <w:tcPr>
            <w:tcW w:w="942" w:type="pct"/>
            <w:gridSpan w:val="2"/>
            <w:noWrap/>
            <w:hideMark/>
          </w:tcPr>
          <w:p w14:paraId="4B42449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484D998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40715D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EDD145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0261715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67FAA693" w14:textId="77777777">
        <w:trPr>
          <w:trHeight w:val="300"/>
        </w:trPr>
        <w:tc>
          <w:tcPr>
            <w:tcW w:w="1120" w:type="pct"/>
            <w:hideMark/>
          </w:tcPr>
          <w:p w14:paraId="13B46CF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Pensiones y Jubilaciones en curso de pago</w:t>
            </w:r>
          </w:p>
        </w:tc>
        <w:tc>
          <w:tcPr>
            <w:tcW w:w="942" w:type="pct"/>
            <w:gridSpan w:val="2"/>
            <w:noWrap/>
            <w:hideMark/>
          </w:tcPr>
          <w:p w14:paraId="0BC4451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14:paraId="039AB67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157589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14:paraId="6EEE4C6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14:paraId="46F60A6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rsidR="00C6733C" w14:paraId="391E8B94" w14:textId="77777777">
        <w:trPr>
          <w:trHeight w:val="300"/>
        </w:trPr>
        <w:tc>
          <w:tcPr>
            <w:tcW w:w="1120" w:type="pct"/>
            <w:hideMark/>
          </w:tcPr>
          <w:p w14:paraId="15D5515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Generación actual</w:t>
            </w:r>
          </w:p>
        </w:tc>
        <w:tc>
          <w:tcPr>
            <w:tcW w:w="942" w:type="pct"/>
            <w:gridSpan w:val="2"/>
            <w:noWrap/>
            <w:hideMark/>
          </w:tcPr>
          <w:p w14:paraId="339E145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2,104,461,433.67 </w:t>
            </w:r>
          </w:p>
        </w:tc>
        <w:tc>
          <w:tcPr>
            <w:tcW w:w="590" w:type="pct"/>
            <w:gridSpan w:val="3"/>
            <w:noWrap/>
            <w:hideMark/>
          </w:tcPr>
          <w:p w14:paraId="527F9ECE"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04FC241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111,248,561.97 </w:t>
            </w:r>
          </w:p>
        </w:tc>
        <w:tc>
          <w:tcPr>
            <w:tcW w:w="783" w:type="pct"/>
            <w:gridSpan w:val="2"/>
            <w:noWrap/>
            <w:hideMark/>
          </w:tcPr>
          <w:p w14:paraId="58009B3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81,477,334.14 </w:t>
            </w:r>
          </w:p>
        </w:tc>
        <w:tc>
          <w:tcPr>
            <w:tcW w:w="781" w:type="pct"/>
            <w:noWrap/>
            <w:hideMark/>
          </w:tcPr>
          <w:p w14:paraId="2A4F23D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178,765,627.31 </w:t>
            </w:r>
          </w:p>
        </w:tc>
      </w:tr>
      <w:tr w:rsidR="00C6733C" w14:paraId="21531F3D" w14:textId="77777777">
        <w:trPr>
          <w:trHeight w:val="300"/>
        </w:trPr>
        <w:tc>
          <w:tcPr>
            <w:tcW w:w="1120" w:type="pct"/>
            <w:hideMark/>
          </w:tcPr>
          <w:p w14:paraId="63DD878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Generaciones futuras</w:t>
            </w:r>
          </w:p>
        </w:tc>
        <w:tc>
          <w:tcPr>
            <w:tcW w:w="942" w:type="pct"/>
            <w:gridSpan w:val="2"/>
            <w:noWrap/>
            <w:hideMark/>
          </w:tcPr>
          <w:p w14:paraId="44A4386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2,282,909,836.40 </w:t>
            </w:r>
          </w:p>
        </w:tc>
        <w:tc>
          <w:tcPr>
            <w:tcW w:w="590" w:type="pct"/>
            <w:gridSpan w:val="3"/>
            <w:noWrap/>
            <w:hideMark/>
          </w:tcPr>
          <w:p w14:paraId="6B15A24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37FEB71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309,546,317.78 </w:t>
            </w:r>
          </w:p>
        </w:tc>
        <w:tc>
          <w:tcPr>
            <w:tcW w:w="783" w:type="pct"/>
            <w:gridSpan w:val="2"/>
            <w:noWrap/>
            <w:hideMark/>
          </w:tcPr>
          <w:p w14:paraId="41C1A8AB"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120,647,699.03 </w:t>
            </w:r>
          </w:p>
        </w:tc>
        <w:tc>
          <w:tcPr>
            <w:tcW w:w="781" w:type="pct"/>
            <w:noWrap/>
            <w:hideMark/>
          </w:tcPr>
          <w:p w14:paraId="3D70896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251,395,273.06 </w:t>
            </w:r>
          </w:p>
        </w:tc>
      </w:tr>
      <w:tr w:rsidR="00C6733C" w14:paraId="63E6EE1E" w14:textId="77777777">
        <w:trPr>
          <w:trHeight w:val="600"/>
        </w:trPr>
        <w:tc>
          <w:tcPr>
            <w:tcW w:w="1120" w:type="pct"/>
            <w:hideMark/>
          </w:tcPr>
          <w:p w14:paraId="0CE22834"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Valor presente de las contribuciones asociadas a los sueldos futuros de cotización X%</w:t>
            </w:r>
          </w:p>
        </w:tc>
        <w:tc>
          <w:tcPr>
            <w:tcW w:w="942" w:type="pct"/>
            <w:gridSpan w:val="2"/>
            <w:noWrap/>
            <w:hideMark/>
          </w:tcPr>
          <w:p w14:paraId="5B2CF97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676BAC1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28B4CD7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3B3BE89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04559FFA"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37555A94" w14:textId="77777777">
        <w:trPr>
          <w:trHeight w:val="300"/>
        </w:trPr>
        <w:tc>
          <w:tcPr>
            <w:tcW w:w="1120" w:type="pct"/>
            <w:hideMark/>
          </w:tcPr>
          <w:p w14:paraId="2D49ECDC"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Generación actual</w:t>
            </w:r>
          </w:p>
        </w:tc>
        <w:tc>
          <w:tcPr>
            <w:tcW w:w="942" w:type="pct"/>
            <w:gridSpan w:val="2"/>
            <w:noWrap/>
            <w:hideMark/>
          </w:tcPr>
          <w:p w14:paraId="0810865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95,141,933.30 </w:t>
            </w:r>
          </w:p>
        </w:tc>
        <w:tc>
          <w:tcPr>
            <w:tcW w:w="590" w:type="pct"/>
            <w:gridSpan w:val="3"/>
            <w:noWrap/>
            <w:hideMark/>
          </w:tcPr>
          <w:p w14:paraId="7CFEB05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1BEDEC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5,029,506.88 </w:t>
            </w:r>
          </w:p>
        </w:tc>
        <w:tc>
          <w:tcPr>
            <w:tcW w:w="783" w:type="pct"/>
            <w:gridSpan w:val="2"/>
            <w:noWrap/>
            <w:hideMark/>
          </w:tcPr>
          <w:p w14:paraId="2276547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3,683,560.54 </w:t>
            </w:r>
          </w:p>
        </w:tc>
        <w:tc>
          <w:tcPr>
            <w:tcW w:w="781" w:type="pct"/>
            <w:noWrap/>
            <w:hideMark/>
          </w:tcPr>
          <w:p w14:paraId="3093F61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8,081,928.76 </w:t>
            </w:r>
          </w:p>
        </w:tc>
      </w:tr>
      <w:tr w:rsidR="00C6733C" w14:paraId="58FE1ECA" w14:textId="77777777">
        <w:trPr>
          <w:trHeight w:val="300"/>
        </w:trPr>
        <w:tc>
          <w:tcPr>
            <w:tcW w:w="1120" w:type="pct"/>
            <w:hideMark/>
          </w:tcPr>
          <w:p w14:paraId="6080A16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Generaciones futuras</w:t>
            </w:r>
          </w:p>
        </w:tc>
        <w:tc>
          <w:tcPr>
            <w:tcW w:w="942" w:type="pct"/>
            <w:gridSpan w:val="2"/>
            <w:noWrap/>
            <w:hideMark/>
          </w:tcPr>
          <w:p w14:paraId="41BCCAC1"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191,541,349.39 </w:t>
            </w:r>
          </w:p>
        </w:tc>
        <w:tc>
          <w:tcPr>
            <w:tcW w:w="590" w:type="pct"/>
            <w:gridSpan w:val="3"/>
            <w:noWrap/>
            <w:hideMark/>
          </w:tcPr>
          <w:p w14:paraId="02BB1BE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F29C22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25,971,643.06 </w:t>
            </w:r>
          </w:p>
        </w:tc>
        <w:tc>
          <w:tcPr>
            <w:tcW w:w="783" w:type="pct"/>
            <w:gridSpan w:val="2"/>
            <w:noWrap/>
            <w:hideMark/>
          </w:tcPr>
          <w:p w14:paraId="6009770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10,122,617.50 </w:t>
            </w:r>
          </w:p>
        </w:tc>
        <w:tc>
          <w:tcPr>
            <w:tcW w:w="781" w:type="pct"/>
            <w:noWrap/>
            <w:hideMark/>
          </w:tcPr>
          <w:p w14:paraId="662949B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21,092,637.59 </w:t>
            </w:r>
          </w:p>
        </w:tc>
      </w:tr>
      <w:tr w:rsidR="00C6733C" w14:paraId="65B6A578" w14:textId="77777777">
        <w:trPr>
          <w:trHeight w:val="300"/>
        </w:trPr>
        <w:tc>
          <w:tcPr>
            <w:tcW w:w="1120" w:type="pct"/>
            <w:hideMark/>
          </w:tcPr>
          <w:p w14:paraId="27F00A65"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Valor presente de aportaciones futuras</w:t>
            </w:r>
          </w:p>
        </w:tc>
        <w:tc>
          <w:tcPr>
            <w:tcW w:w="942" w:type="pct"/>
            <w:gridSpan w:val="2"/>
            <w:noWrap/>
            <w:hideMark/>
          </w:tcPr>
          <w:p w14:paraId="3ECB847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20A5461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F7E7BB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325C8DB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23B4AF5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08C6082C" w14:textId="77777777">
        <w:trPr>
          <w:trHeight w:val="300"/>
        </w:trPr>
        <w:tc>
          <w:tcPr>
            <w:tcW w:w="1120" w:type="pct"/>
            <w:hideMark/>
          </w:tcPr>
          <w:p w14:paraId="2AF6CDC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Generación actual</w:t>
            </w:r>
          </w:p>
        </w:tc>
        <w:tc>
          <w:tcPr>
            <w:tcW w:w="942" w:type="pct"/>
            <w:gridSpan w:val="2"/>
            <w:noWrap/>
            <w:hideMark/>
          </w:tcPr>
          <w:p w14:paraId="59411552"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112,398,178.05 </w:t>
            </w:r>
          </w:p>
        </w:tc>
        <w:tc>
          <w:tcPr>
            <w:tcW w:w="590" w:type="pct"/>
            <w:gridSpan w:val="3"/>
            <w:noWrap/>
            <w:hideMark/>
          </w:tcPr>
          <w:p w14:paraId="30DBD65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CB987A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5,941,727.17 </w:t>
            </w:r>
          </w:p>
        </w:tc>
        <w:tc>
          <w:tcPr>
            <w:tcW w:w="783" w:type="pct"/>
            <w:gridSpan w:val="2"/>
            <w:noWrap/>
            <w:hideMark/>
          </w:tcPr>
          <w:p w14:paraId="74956A7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4,351,661.55 </w:t>
            </w:r>
          </w:p>
        </w:tc>
        <w:tc>
          <w:tcPr>
            <w:tcW w:w="781" w:type="pct"/>
            <w:noWrap/>
            <w:hideMark/>
          </w:tcPr>
          <w:p w14:paraId="2322CAA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9,547,778.11 </w:t>
            </w:r>
          </w:p>
        </w:tc>
      </w:tr>
      <w:tr w:rsidR="00C6733C" w14:paraId="002CAB39" w14:textId="77777777">
        <w:trPr>
          <w:trHeight w:val="300"/>
        </w:trPr>
        <w:tc>
          <w:tcPr>
            <w:tcW w:w="1120" w:type="pct"/>
            <w:hideMark/>
          </w:tcPr>
          <w:p w14:paraId="303431B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Generaciones futuras</w:t>
            </w:r>
          </w:p>
        </w:tc>
        <w:tc>
          <w:tcPr>
            <w:tcW w:w="942" w:type="pct"/>
            <w:gridSpan w:val="2"/>
            <w:noWrap/>
            <w:hideMark/>
          </w:tcPr>
          <w:p w14:paraId="5D64EA83"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209,252,793.56 </w:t>
            </w:r>
          </w:p>
        </w:tc>
        <w:tc>
          <w:tcPr>
            <w:tcW w:w="590" w:type="pct"/>
            <w:gridSpan w:val="3"/>
            <w:noWrap/>
            <w:hideMark/>
          </w:tcPr>
          <w:p w14:paraId="03858F0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35CD383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28,373,188.77 </w:t>
            </w:r>
          </w:p>
        </w:tc>
        <w:tc>
          <w:tcPr>
            <w:tcW w:w="783" w:type="pct"/>
            <w:gridSpan w:val="2"/>
            <w:noWrap/>
            <w:hideMark/>
          </w:tcPr>
          <w:p w14:paraId="1CF3728D"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11,058,635.63 </w:t>
            </w:r>
          </w:p>
        </w:tc>
        <w:tc>
          <w:tcPr>
            <w:tcW w:w="781" w:type="pct"/>
            <w:noWrap/>
            <w:hideMark/>
          </w:tcPr>
          <w:p w14:paraId="427E3E66"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23,043,031.46 </w:t>
            </w:r>
          </w:p>
        </w:tc>
      </w:tr>
      <w:tr w:rsidR="00C6733C" w14:paraId="54C02AA7" w14:textId="77777777">
        <w:trPr>
          <w:trHeight w:val="300"/>
        </w:trPr>
        <w:tc>
          <w:tcPr>
            <w:tcW w:w="1120" w:type="pct"/>
            <w:hideMark/>
          </w:tcPr>
          <w:p w14:paraId="4CB146DB" w14:textId="77777777" w:rsidR="00C6733C" w:rsidRDefault="006D0638">
            <w:pPr>
              <w:rPr>
                <w:rFonts w:eastAsia="Times New Roman" w:cstheme="minorHAnsi"/>
                <w:color w:val="000000"/>
                <w:sz w:val="16"/>
                <w:szCs w:val="16"/>
              </w:rPr>
            </w:pPr>
            <w:r>
              <w:rPr>
                <w:rFonts w:eastAsia="Times New Roman" w:cstheme="minorHAnsi"/>
                <w:color w:val="000000"/>
                <w:sz w:val="16"/>
                <w:szCs w:val="16"/>
              </w:rPr>
              <w:t>Otros Ingresos</w:t>
            </w:r>
          </w:p>
        </w:tc>
        <w:tc>
          <w:tcPr>
            <w:tcW w:w="942" w:type="pct"/>
            <w:gridSpan w:val="2"/>
            <w:noWrap/>
            <w:hideMark/>
          </w:tcPr>
          <w:p w14:paraId="47F80C49"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14:paraId="11FC34B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1380504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14:paraId="3C94021E"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14:paraId="1522025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rsidR="00C6733C" w14:paraId="0E2546EF" w14:textId="77777777">
        <w:trPr>
          <w:trHeight w:val="300"/>
        </w:trPr>
        <w:tc>
          <w:tcPr>
            <w:tcW w:w="1120" w:type="pct"/>
            <w:hideMark/>
          </w:tcPr>
          <w:p w14:paraId="6B313636"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Déficit/superávit actuarial</w:t>
            </w:r>
          </w:p>
        </w:tc>
        <w:tc>
          <w:tcPr>
            <w:tcW w:w="942" w:type="pct"/>
            <w:gridSpan w:val="2"/>
            <w:noWrap/>
            <w:hideMark/>
          </w:tcPr>
          <w:p w14:paraId="59F9A4E2"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5937684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3DA7BD5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71774C4"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09E76BF5"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7D17321B" w14:textId="77777777">
        <w:trPr>
          <w:trHeight w:val="300"/>
        </w:trPr>
        <w:tc>
          <w:tcPr>
            <w:tcW w:w="1120" w:type="pct"/>
            <w:hideMark/>
          </w:tcPr>
          <w:p w14:paraId="471F09C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Generación actual</w:t>
            </w:r>
          </w:p>
        </w:tc>
        <w:tc>
          <w:tcPr>
            <w:tcW w:w="942" w:type="pct"/>
            <w:gridSpan w:val="2"/>
            <w:noWrap/>
            <w:hideMark/>
          </w:tcPr>
          <w:p w14:paraId="0CC5FD2B"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(1,878,058,987.44)</w:t>
            </w:r>
          </w:p>
        </w:tc>
        <w:tc>
          <w:tcPr>
            <w:tcW w:w="590" w:type="pct"/>
            <w:gridSpan w:val="3"/>
            <w:noWrap/>
            <w:hideMark/>
          </w:tcPr>
          <w:p w14:paraId="228E1C1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40D92E92"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(100,277,327.92)</w:t>
            </w:r>
          </w:p>
        </w:tc>
        <w:tc>
          <w:tcPr>
            <w:tcW w:w="783" w:type="pct"/>
            <w:gridSpan w:val="2"/>
            <w:noWrap/>
            <w:hideMark/>
          </w:tcPr>
          <w:p w14:paraId="66DC6D0E"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(73,442,112.05)</w:t>
            </w:r>
          </w:p>
        </w:tc>
        <w:tc>
          <w:tcPr>
            <w:tcW w:w="781" w:type="pct"/>
            <w:noWrap/>
            <w:hideMark/>
          </w:tcPr>
          <w:p w14:paraId="3150A002"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(161,135,920.43)</w:t>
            </w:r>
          </w:p>
        </w:tc>
      </w:tr>
      <w:tr w:rsidR="00C6733C" w14:paraId="106F6892" w14:textId="77777777">
        <w:trPr>
          <w:trHeight w:val="300"/>
        </w:trPr>
        <w:tc>
          <w:tcPr>
            <w:tcW w:w="1120" w:type="pct"/>
            <w:hideMark/>
          </w:tcPr>
          <w:p w14:paraId="7DEA3DA6" w14:textId="77777777" w:rsidR="00C6733C" w:rsidRDefault="006D0638">
            <w:pPr>
              <w:rPr>
                <w:rFonts w:eastAsia="Times New Roman" w:cstheme="minorHAnsi"/>
                <w:color w:val="000000"/>
                <w:sz w:val="16"/>
                <w:szCs w:val="16"/>
              </w:rPr>
            </w:pPr>
            <w:r>
              <w:rPr>
                <w:rFonts w:eastAsia="Times New Roman" w:cstheme="minorHAnsi"/>
                <w:color w:val="000000"/>
                <w:sz w:val="16"/>
                <w:szCs w:val="16"/>
              </w:rPr>
              <w:t>Generaciones futuras</w:t>
            </w:r>
          </w:p>
        </w:tc>
        <w:tc>
          <w:tcPr>
            <w:tcW w:w="942" w:type="pct"/>
            <w:gridSpan w:val="2"/>
            <w:noWrap/>
            <w:hideMark/>
          </w:tcPr>
          <w:p w14:paraId="1E4C15A6"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(1,882,115,693.46)</w:t>
            </w:r>
          </w:p>
        </w:tc>
        <w:tc>
          <w:tcPr>
            <w:tcW w:w="590" w:type="pct"/>
            <w:gridSpan w:val="3"/>
            <w:noWrap/>
            <w:hideMark/>
          </w:tcPr>
          <w:p w14:paraId="67E73D05"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2D1CE01B"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(255,201,485.95)</w:t>
            </w:r>
          </w:p>
        </w:tc>
        <w:tc>
          <w:tcPr>
            <w:tcW w:w="783" w:type="pct"/>
            <w:gridSpan w:val="2"/>
            <w:noWrap/>
            <w:hideMark/>
          </w:tcPr>
          <w:p w14:paraId="47CE25E1"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(99,466,445.89)</w:t>
            </w:r>
          </w:p>
        </w:tc>
        <w:tc>
          <w:tcPr>
            <w:tcW w:w="781" w:type="pct"/>
            <w:noWrap/>
            <w:hideMark/>
          </w:tcPr>
          <w:p w14:paraId="4A8FF9CF" w14:textId="77777777" w:rsidR="00C6733C" w:rsidRDefault="006D0638">
            <w:pPr>
              <w:jc w:val="right"/>
              <w:rPr>
                <w:rFonts w:eastAsia="Times New Roman" w:cstheme="minorHAnsi"/>
                <w:color w:val="000000"/>
                <w:sz w:val="16"/>
                <w:szCs w:val="16"/>
              </w:rPr>
            </w:pPr>
            <w:r>
              <w:rPr>
                <w:rFonts w:eastAsia="Times New Roman" w:cstheme="minorHAnsi"/>
                <w:color w:val="FF0000"/>
                <w:sz w:val="16"/>
                <w:szCs w:val="16"/>
              </w:rPr>
              <w:t>(207,259,604.01)</w:t>
            </w:r>
          </w:p>
        </w:tc>
      </w:tr>
      <w:tr w:rsidR="00C6733C" w14:paraId="03C83D3C" w14:textId="77777777">
        <w:trPr>
          <w:trHeight w:val="300"/>
        </w:trPr>
        <w:tc>
          <w:tcPr>
            <w:tcW w:w="1120" w:type="pct"/>
            <w:hideMark/>
          </w:tcPr>
          <w:p w14:paraId="1D0B71DF"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Periodo de suficiencia</w:t>
            </w:r>
          </w:p>
        </w:tc>
        <w:tc>
          <w:tcPr>
            <w:tcW w:w="942" w:type="pct"/>
            <w:gridSpan w:val="2"/>
            <w:noWrap/>
            <w:hideMark/>
          </w:tcPr>
          <w:p w14:paraId="5B1C40C4"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65ED875A"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46E73F7"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7C63B6A0"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1862078C" w14:textId="77777777" w:rsidR="00C6733C" w:rsidRDefault="006D0638">
            <w:pPr>
              <w:jc w:val="right"/>
              <w:rPr>
                <w:rFonts w:eastAsia="Times New Roman" w:cstheme="minorHAnsi"/>
                <w:color w:val="000000"/>
                <w:sz w:val="16"/>
                <w:szCs w:val="16"/>
              </w:rPr>
            </w:pPr>
            <w:r>
              <w:rPr>
                <w:rFonts w:eastAsia="Times New Roman" w:cstheme="minorHAnsi"/>
                <w:color w:val="000000"/>
                <w:sz w:val="16"/>
                <w:szCs w:val="16"/>
              </w:rPr>
              <w:t> </w:t>
            </w:r>
          </w:p>
        </w:tc>
      </w:tr>
      <w:tr w:rsidR="00C6733C" w14:paraId="233D8B8A" w14:textId="77777777">
        <w:trPr>
          <w:trHeight w:val="300"/>
        </w:trPr>
        <w:tc>
          <w:tcPr>
            <w:tcW w:w="1120" w:type="pct"/>
            <w:hideMark/>
          </w:tcPr>
          <w:p w14:paraId="33E1E33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Año de descapitalización</w:t>
            </w:r>
          </w:p>
        </w:tc>
        <w:tc>
          <w:tcPr>
            <w:tcW w:w="942" w:type="pct"/>
            <w:gridSpan w:val="2"/>
            <w:noWrap/>
            <w:hideMark/>
          </w:tcPr>
          <w:p w14:paraId="7BD591B5"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2028</w:t>
            </w:r>
          </w:p>
        </w:tc>
        <w:tc>
          <w:tcPr>
            <w:tcW w:w="590" w:type="pct"/>
            <w:gridSpan w:val="3"/>
            <w:noWrap/>
            <w:hideMark/>
          </w:tcPr>
          <w:p w14:paraId="4B43D4D3"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0448771A"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2028</w:t>
            </w:r>
          </w:p>
        </w:tc>
        <w:tc>
          <w:tcPr>
            <w:tcW w:w="783" w:type="pct"/>
            <w:gridSpan w:val="2"/>
            <w:noWrap/>
            <w:hideMark/>
          </w:tcPr>
          <w:p w14:paraId="6B0DC8C1"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2028</w:t>
            </w:r>
          </w:p>
        </w:tc>
        <w:tc>
          <w:tcPr>
            <w:tcW w:w="781" w:type="pct"/>
            <w:noWrap/>
            <w:hideMark/>
          </w:tcPr>
          <w:p w14:paraId="0ADB89AE"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2028</w:t>
            </w:r>
          </w:p>
        </w:tc>
      </w:tr>
      <w:tr w:rsidR="00C6733C" w14:paraId="1C3F02E4" w14:textId="77777777">
        <w:trPr>
          <w:trHeight w:val="300"/>
        </w:trPr>
        <w:tc>
          <w:tcPr>
            <w:tcW w:w="1120" w:type="pct"/>
            <w:hideMark/>
          </w:tcPr>
          <w:p w14:paraId="0B1EF0D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Tasa de rendimiento</w:t>
            </w:r>
          </w:p>
        </w:tc>
        <w:tc>
          <w:tcPr>
            <w:tcW w:w="942" w:type="pct"/>
            <w:gridSpan w:val="2"/>
            <w:noWrap/>
            <w:hideMark/>
          </w:tcPr>
          <w:p w14:paraId="3D0B5648"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3.00%</w:t>
            </w:r>
          </w:p>
        </w:tc>
        <w:tc>
          <w:tcPr>
            <w:tcW w:w="590" w:type="pct"/>
            <w:gridSpan w:val="3"/>
            <w:noWrap/>
            <w:hideMark/>
          </w:tcPr>
          <w:p w14:paraId="76F9D5A1"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9857AA5"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3.00%</w:t>
            </w:r>
          </w:p>
        </w:tc>
        <w:tc>
          <w:tcPr>
            <w:tcW w:w="783" w:type="pct"/>
            <w:gridSpan w:val="2"/>
            <w:noWrap/>
            <w:hideMark/>
          </w:tcPr>
          <w:p w14:paraId="40BF0134"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3.00%</w:t>
            </w:r>
          </w:p>
        </w:tc>
        <w:tc>
          <w:tcPr>
            <w:tcW w:w="781" w:type="pct"/>
            <w:noWrap/>
            <w:hideMark/>
          </w:tcPr>
          <w:p w14:paraId="7A9E0BFE"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3.00%</w:t>
            </w:r>
          </w:p>
        </w:tc>
      </w:tr>
      <w:tr w:rsidR="00C6733C" w14:paraId="20AE5D7D" w14:textId="77777777">
        <w:trPr>
          <w:trHeight w:val="300"/>
        </w:trPr>
        <w:tc>
          <w:tcPr>
            <w:tcW w:w="1120" w:type="pct"/>
            <w:hideMark/>
          </w:tcPr>
          <w:p w14:paraId="385EA2CB" w14:textId="77777777" w:rsidR="00C6733C" w:rsidRDefault="006D0638">
            <w:pPr>
              <w:rPr>
                <w:rFonts w:eastAsia="Times New Roman" w:cstheme="minorHAnsi"/>
                <w:b/>
                <w:bCs/>
                <w:color w:val="000000"/>
                <w:sz w:val="16"/>
                <w:szCs w:val="16"/>
              </w:rPr>
            </w:pPr>
            <w:r>
              <w:rPr>
                <w:rFonts w:eastAsia="Times New Roman" w:cstheme="minorHAnsi"/>
                <w:b/>
                <w:bCs/>
                <w:color w:val="000000"/>
                <w:sz w:val="16"/>
                <w:szCs w:val="16"/>
              </w:rPr>
              <w:t xml:space="preserve">Estudio </w:t>
            </w:r>
            <w:r>
              <w:rPr>
                <w:rFonts w:eastAsia="Times New Roman" w:cstheme="minorHAnsi"/>
                <w:b/>
                <w:bCs/>
                <w:color w:val="000000"/>
                <w:sz w:val="16"/>
                <w:szCs w:val="16"/>
              </w:rPr>
              <w:t>actuarial</w:t>
            </w:r>
          </w:p>
        </w:tc>
        <w:tc>
          <w:tcPr>
            <w:tcW w:w="942" w:type="pct"/>
            <w:gridSpan w:val="2"/>
            <w:noWrap/>
            <w:hideMark/>
          </w:tcPr>
          <w:p w14:paraId="219827E8"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14:paraId="653FA0CF"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5090183"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558BD009"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14:paraId="6FB8D41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r>
      <w:tr w:rsidR="00C6733C" w14:paraId="640D9D4B" w14:textId="77777777">
        <w:trPr>
          <w:trHeight w:val="300"/>
        </w:trPr>
        <w:tc>
          <w:tcPr>
            <w:tcW w:w="1120" w:type="pct"/>
            <w:hideMark/>
          </w:tcPr>
          <w:p w14:paraId="5C454F1D" w14:textId="77777777" w:rsidR="00C6733C" w:rsidRDefault="006D0638">
            <w:pPr>
              <w:rPr>
                <w:rFonts w:eastAsia="Times New Roman" w:cstheme="minorHAnsi"/>
                <w:color w:val="000000"/>
                <w:sz w:val="16"/>
                <w:szCs w:val="16"/>
              </w:rPr>
            </w:pPr>
            <w:r>
              <w:rPr>
                <w:rFonts w:eastAsia="Times New Roman" w:cstheme="minorHAnsi"/>
                <w:color w:val="000000"/>
                <w:sz w:val="16"/>
                <w:szCs w:val="16"/>
              </w:rPr>
              <w:t>Año de elaboración del estudio actuarial</w:t>
            </w:r>
          </w:p>
        </w:tc>
        <w:tc>
          <w:tcPr>
            <w:tcW w:w="942" w:type="pct"/>
            <w:gridSpan w:val="2"/>
            <w:noWrap/>
            <w:hideMark/>
          </w:tcPr>
          <w:p w14:paraId="69F8E90B"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2017</w:t>
            </w:r>
          </w:p>
        </w:tc>
        <w:tc>
          <w:tcPr>
            <w:tcW w:w="590" w:type="pct"/>
            <w:gridSpan w:val="3"/>
            <w:noWrap/>
            <w:hideMark/>
          </w:tcPr>
          <w:p w14:paraId="0D113F37" w14:textId="77777777" w:rsidR="00C6733C" w:rsidRDefault="006D0638">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14:paraId="69B2C9E4"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2017</w:t>
            </w:r>
          </w:p>
        </w:tc>
        <w:tc>
          <w:tcPr>
            <w:tcW w:w="783" w:type="pct"/>
            <w:gridSpan w:val="2"/>
            <w:noWrap/>
            <w:hideMark/>
          </w:tcPr>
          <w:p w14:paraId="0AF8106A"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2017</w:t>
            </w:r>
          </w:p>
        </w:tc>
        <w:tc>
          <w:tcPr>
            <w:tcW w:w="781" w:type="pct"/>
            <w:noWrap/>
            <w:hideMark/>
          </w:tcPr>
          <w:p w14:paraId="699A6B27"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2017</w:t>
            </w:r>
          </w:p>
        </w:tc>
      </w:tr>
      <w:tr w:rsidR="00C6733C" w14:paraId="2E784F54" w14:textId="77777777">
        <w:trPr>
          <w:trHeight w:val="900"/>
        </w:trPr>
        <w:tc>
          <w:tcPr>
            <w:tcW w:w="1120" w:type="pct"/>
            <w:hideMark/>
          </w:tcPr>
          <w:p w14:paraId="79583630" w14:textId="77777777" w:rsidR="00C6733C" w:rsidRDefault="006D0638">
            <w:pPr>
              <w:rPr>
                <w:rFonts w:eastAsia="Times New Roman" w:cstheme="minorHAnsi"/>
                <w:color w:val="000000"/>
                <w:sz w:val="16"/>
                <w:szCs w:val="16"/>
              </w:rPr>
            </w:pPr>
            <w:r>
              <w:rPr>
                <w:rFonts w:eastAsia="Times New Roman" w:cstheme="minorHAnsi"/>
                <w:color w:val="000000"/>
                <w:sz w:val="16"/>
                <w:szCs w:val="16"/>
              </w:rPr>
              <w:t>Empresa que elaboró el estudio actuarial</w:t>
            </w:r>
          </w:p>
        </w:tc>
        <w:tc>
          <w:tcPr>
            <w:tcW w:w="942" w:type="pct"/>
            <w:gridSpan w:val="2"/>
            <w:hideMark/>
          </w:tcPr>
          <w:p w14:paraId="4823B783"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590" w:type="pct"/>
            <w:gridSpan w:val="3"/>
            <w:hideMark/>
          </w:tcPr>
          <w:p w14:paraId="1D4401F8"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hideMark/>
          </w:tcPr>
          <w:p w14:paraId="550C57B7"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783" w:type="pct"/>
            <w:gridSpan w:val="2"/>
            <w:hideMark/>
          </w:tcPr>
          <w:p w14:paraId="558DF267"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781" w:type="pct"/>
            <w:hideMark/>
          </w:tcPr>
          <w:p w14:paraId="41993AFA" w14:textId="77777777" w:rsidR="00C6733C" w:rsidRDefault="006D0638">
            <w:pPr>
              <w:jc w:val="center"/>
              <w:rPr>
                <w:rFonts w:eastAsia="Times New Roman" w:cstheme="minorHAnsi"/>
                <w:color w:val="000000"/>
                <w:sz w:val="16"/>
                <w:szCs w:val="16"/>
              </w:rPr>
            </w:pPr>
            <w:r>
              <w:rPr>
                <w:rFonts w:eastAsia="Times New Roman" w:cstheme="minorHAnsi"/>
                <w:color w:val="000000"/>
                <w:sz w:val="16"/>
                <w:szCs w:val="16"/>
              </w:rPr>
              <w:t>Valuaciones Actuariales del Norte, S. C.</w:t>
            </w:r>
          </w:p>
        </w:tc>
      </w:tr>
    </w:tbl>
    <w:p w14:paraId="5888206E" w14:textId="77777777" w:rsidR="00C6733C" w:rsidRDefault="00C6733C">
      <w:pPr>
        <w:pStyle w:val="Prrafodelista"/>
        <w:rPr>
          <w:rFonts w:cstheme="minorHAnsi"/>
        </w:rPr>
      </w:pPr>
    </w:p>
    <w:p w14:paraId="795110C5" w14:textId="77777777" w:rsidR="00C6733C" w:rsidRDefault="006D0638">
      <w:pPr>
        <w:pStyle w:val="Prrafodelista"/>
        <w:widowControl/>
        <w:numPr>
          <w:ilvl w:val="0"/>
          <w:numId w:val="21"/>
        </w:numPr>
        <w:autoSpaceDE/>
        <w:autoSpaceDN/>
        <w:spacing w:before="0" w:after="160"/>
        <w:contextualSpacing/>
        <w:rPr>
          <w:rFonts w:cstheme="minorHAnsi"/>
        </w:rPr>
      </w:pPr>
      <w:r>
        <w:rPr>
          <w:rFonts w:cstheme="minorHAnsi"/>
          <w:lang w:bidi="es-ES"/>
        </w:rPr>
        <w:t>Se asignan recursos para atender a la población afectada y los daños causados a la infraestructura pública estatal ocasionados por la ocurrencia de desastres naturales, por importe de $</w:t>
      </w:r>
      <w:r>
        <w:rPr>
          <w:rFonts w:eastAsia="Times New Roman" w:cstheme="minorHAnsi"/>
          <w:color w:val="000000"/>
        </w:rPr>
        <w:t xml:space="preserve">176,487,328.54 </w:t>
      </w:r>
      <w:r>
        <w:rPr>
          <w:rFonts w:cstheme="minorHAnsi"/>
          <w:lang w:bidi="es-ES"/>
        </w:rPr>
        <w:t>(Ciento seten</w:t>
      </w:r>
      <w:r>
        <w:rPr>
          <w:rFonts w:cstheme="minorHAnsi"/>
          <w:lang w:bidi="es-ES"/>
        </w:rPr>
        <w:t>ta y seis millones cuatrocientos ochenta y siete mil trescientos veintiocho pesos 54/100 M.N.).</w:t>
      </w:r>
    </w:p>
    <w:p w14:paraId="35FD5C97" w14:textId="77777777" w:rsidR="00C6733C" w:rsidRDefault="00C6733C">
      <w:pPr>
        <w:pStyle w:val="Prrafodelista"/>
        <w:rPr>
          <w:rFonts w:cstheme="minorHAnsi"/>
        </w:rPr>
      </w:pPr>
    </w:p>
    <w:p w14:paraId="53D5CC9E" w14:textId="77777777" w:rsidR="00C6733C" w:rsidRDefault="006D0638">
      <w:pPr>
        <w:pStyle w:val="Prrafodelista"/>
        <w:widowControl/>
        <w:numPr>
          <w:ilvl w:val="0"/>
          <w:numId w:val="21"/>
        </w:numPr>
        <w:autoSpaceDE/>
        <w:autoSpaceDN/>
        <w:spacing w:before="0" w:after="160"/>
        <w:contextualSpacing/>
        <w:rPr>
          <w:rFonts w:cstheme="minorHAnsi"/>
        </w:rPr>
      </w:pPr>
      <w:r>
        <w:rPr>
          <w:rFonts w:cstheme="minorHAnsi"/>
        </w:rPr>
        <w:t>Con respecto a los servicios personales el incremento se mantiene dentro del rango de crecimiento que establece la Ley de Disciplina Financiera de las Entidade</w:t>
      </w:r>
      <w:r>
        <w:rPr>
          <w:rFonts w:cstheme="minorHAnsi"/>
        </w:rPr>
        <w:t>s Federativas y los Municipios en su artículo 10</w:t>
      </w:r>
      <w:bookmarkEnd w:id="0"/>
      <w:r>
        <w:rPr>
          <w:rFonts w:cstheme="minorHAnsi"/>
        </w:rPr>
        <w:t xml:space="preserve">, así como las excepciones previstas en dicho ordenamiento legal. </w:t>
      </w:r>
    </w:p>
    <w:p w14:paraId="4C17B957" w14:textId="77777777" w:rsidR="00C6733C" w:rsidRDefault="006D0638">
      <w:pPr>
        <w:jc w:val="both"/>
        <w:rPr>
          <w:rFonts w:ascii="Arial" w:hAnsi="Arial" w:cs="Arial"/>
        </w:rPr>
      </w:pPr>
      <w:r>
        <w:rPr>
          <w:rFonts w:ascii="Arial" w:hAnsi="Arial" w:cs="Arial"/>
        </w:rPr>
        <w:t>Con respecto a los objetivos anuales, estrategias y metas del gasto del Ejecutivo Estatal, los Poderes Legislativo y Judicial, y en los Órgan</w:t>
      </w:r>
      <w:r>
        <w:rPr>
          <w:rFonts w:ascii="Arial" w:hAnsi="Arial" w:cs="Arial"/>
        </w:rPr>
        <w:t>os Autónomos, a los que hace referencia el artículo 36 fracción 1 inciso a) y b) de la Ley Estatal de Presupuesto y Responsabilidad Hacendaria, estos se adicionan en el anexo 7 de la presente iniciativa de Decreto de Presupuesto de Egresos para el Ejercici</w:t>
      </w:r>
      <w:r>
        <w:rPr>
          <w:rFonts w:ascii="Arial" w:hAnsi="Arial" w:cs="Arial"/>
        </w:rPr>
        <w:t>o Fiscal 2020.</w:t>
      </w:r>
    </w:p>
    <w:p w14:paraId="452E26AE" w14:textId="77777777" w:rsidR="00C6733C" w:rsidRDefault="00C6733C">
      <w:pPr>
        <w:jc w:val="both"/>
        <w:rPr>
          <w:rFonts w:ascii="Arial" w:hAnsi="Arial" w:cs="Arial"/>
        </w:rPr>
      </w:pPr>
    </w:p>
    <w:p w14:paraId="168EC684" w14:textId="77777777" w:rsidR="00C6733C" w:rsidRDefault="006D0638">
      <w:pPr>
        <w:jc w:val="both"/>
        <w:rPr>
          <w:rFonts w:ascii="Arial" w:hAnsi="Arial" w:cs="Arial"/>
        </w:rPr>
      </w:pPr>
      <w:r>
        <w:rPr>
          <w:rFonts w:ascii="Arial" w:hAnsi="Arial" w:cs="Arial"/>
        </w:rPr>
        <w:t xml:space="preserve">Por lo anteriormente expuesto y considerando que el presente se determinó en estricto apego a los preceptos de la Constitución Política del Estado Libre y Soberano de Oaxaca, Ley de Disciplina Financiera de las Entidades </w:t>
      </w:r>
      <w:r>
        <w:rPr>
          <w:rFonts w:ascii="Arial" w:hAnsi="Arial" w:cs="Arial"/>
        </w:rPr>
        <w:t>Federativas y los Municipios, Ley General de Contabilidad Gubernamental, Ley Federal de Presupuesto y Responsabilidad Hacendaria, Ley Estatal de Presupuesto y Responsabilidad Hacendaria y su Reglamento, así como, de la Ley de Responsabilidades de los Servi</w:t>
      </w:r>
      <w:r>
        <w:rPr>
          <w:rFonts w:ascii="Arial" w:hAnsi="Arial" w:cs="Arial"/>
        </w:rPr>
        <w:t>dores Públicos del Estado y los Municipios de Oaxaca, me permito someter a consideración de ese Congreso del Estado, la siguiente Iniciativa de:</w:t>
      </w:r>
    </w:p>
    <w:p w14:paraId="7E627F9B" w14:textId="77777777" w:rsidR="00C6733C" w:rsidRDefault="00C6733C">
      <w:pPr>
        <w:pStyle w:val="Textoindependiente"/>
        <w:rPr>
          <w:rFonts w:asciiTheme="minorHAnsi" w:hAnsiTheme="minorHAnsi" w:cstheme="minorHAnsi"/>
          <w:b/>
          <w:sz w:val="22"/>
          <w:szCs w:val="22"/>
        </w:rPr>
      </w:pPr>
    </w:p>
    <w:p w14:paraId="23C64C5B" w14:textId="77777777" w:rsidR="00C6733C" w:rsidRDefault="006D0638">
      <w:pPr>
        <w:pStyle w:val="Ttulo1"/>
        <w:tabs>
          <w:tab w:val="left" w:pos="1843"/>
        </w:tabs>
        <w:ind w:left="0"/>
        <w:rPr>
          <w:sz w:val="22"/>
          <w:szCs w:val="22"/>
        </w:rPr>
      </w:pPr>
      <w:r>
        <w:rPr>
          <w:sz w:val="22"/>
          <w:szCs w:val="22"/>
        </w:rPr>
        <w:t>Decreto de Presupuesto de Egresos del Estado de Oaxaca para el Ejercicio Fiscal 2020</w:t>
      </w:r>
    </w:p>
    <w:p w14:paraId="096BFA08" w14:textId="77777777" w:rsidR="00C6733C" w:rsidRDefault="00C6733C">
      <w:pPr>
        <w:ind w:right="-29"/>
        <w:jc w:val="center"/>
        <w:rPr>
          <w:rFonts w:ascii="Arial" w:hAnsi="Arial" w:cs="Arial"/>
          <w:b/>
        </w:rPr>
      </w:pPr>
    </w:p>
    <w:p w14:paraId="0E63B683" w14:textId="77777777" w:rsidR="00C6733C" w:rsidRDefault="006D0638">
      <w:pPr>
        <w:ind w:right="-29"/>
        <w:jc w:val="center"/>
        <w:rPr>
          <w:rFonts w:ascii="Arial" w:hAnsi="Arial" w:cs="Arial"/>
          <w:b/>
        </w:rPr>
      </w:pPr>
      <w:r>
        <w:rPr>
          <w:rFonts w:ascii="Arial" w:hAnsi="Arial" w:cs="Arial"/>
          <w:b/>
        </w:rPr>
        <w:t>Título Primero</w:t>
      </w:r>
    </w:p>
    <w:p w14:paraId="225D7C82" w14:textId="77777777" w:rsidR="00C6733C" w:rsidRDefault="006D0638">
      <w:pPr>
        <w:ind w:right="-29"/>
        <w:jc w:val="center"/>
        <w:rPr>
          <w:rFonts w:ascii="Arial" w:hAnsi="Arial" w:cs="Arial"/>
          <w:b/>
        </w:rPr>
      </w:pPr>
      <w:r>
        <w:rPr>
          <w:rFonts w:ascii="Arial" w:hAnsi="Arial" w:cs="Arial"/>
          <w:b/>
        </w:rPr>
        <w:t>Disposiciones Generales</w:t>
      </w:r>
    </w:p>
    <w:p w14:paraId="777E548D" w14:textId="77777777" w:rsidR="00C6733C" w:rsidRDefault="00C6733C">
      <w:pPr>
        <w:pStyle w:val="Textoindependiente"/>
        <w:rPr>
          <w:b/>
          <w:sz w:val="22"/>
          <w:szCs w:val="22"/>
        </w:rPr>
      </w:pPr>
    </w:p>
    <w:p w14:paraId="447E9072" w14:textId="77777777" w:rsidR="00C6733C" w:rsidRDefault="006D0638">
      <w:pPr>
        <w:pStyle w:val="Textoindependiente"/>
        <w:jc w:val="both"/>
        <w:rPr>
          <w:sz w:val="22"/>
          <w:szCs w:val="22"/>
        </w:rPr>
      </w:pPr>
      <w:r>
        <w:rPr>
          <w:b/>
          <w:sz w:val="22"/>
          <w:szCs w:val="22"/>
        </w:rPr>
        <w:t>Artículo 1.</w:t>
      </w:r>
      <w:r>
        <w:rPr>
          <w:sz w:val="22"/>
          <w:szCs w:val="22"/>
        </w:rPr>
        <w:t xml:space="preserve"> La asignación, ejercicio, control, seguimiento y evaluación de los resultados del gasto público estatal para el ejercicio fiscal 2020, se realizará conforme a lo establecido en las Leyes de Coordinación Fiscal, de Disci</w:t>
      </w:r>
      <w:r>
        <w:rPr>
          <w:sz w:val="22"/>
          <w:szCs w:val="22"/>
        </w:rPr>
        <w:t>plina Financiera de las Entidades Federativas y los Municipios, Estatal de Presupuesto y Responsabilidad Hacendaria y su Reglamento, de Coordinación Fiscal para el Estado de Oaxaca, de Deuda Pública para el Estado de Oaxaca, de Fiscalización Superior y Ren</w:t>
      </w:r>
      <w:r>
        <w:rPr>
          <w:sz w:val="22"/>
          <w:szCs w:val="22"/>
        </w:rPr>
        <w:t xml:space="preserve">dición de Cuentas para el Estado de Oaxaca, de Adquisiciones, Enajenaciones, Arrendamientos, Prestación de Servicios y Administración de Bienes Muebles e Inmuebles del Estado de Oaxaca, de Obras Públicas y Servicios Relacionados del Estado de Oaxaca, este </w:t>
      </w:r>
      <w:r>
        <w:rPr>
          <w:sz w:val="22"/>
          <w:szCs w:val="22"/>
        </w:rPr>
        <w:t xml:space="preserve">Decreto y las demás disposiciones legales que le sean aplicables. </w:t>
      </w:r>
    </w:p>
    <w:p w14:paraId="46783C8E" w14:textId="77777777" w:rsidR="00C6733C" w:rsidRDefault="00C6733C">
      <w:pPr>
        <w:pStyle w:val="Textoindependiente"/>
        <w:jc w:val="both"/>
        <w:rPr>
          <w:rFonts w:asciiTheme="minorHAnsi" w:hAnsiTheme="minorHAnsi" w:cstheme="minorHAnsi"/>
          <w:sz w:val="22"/>
          <w:szCs w:val="22"/>
        </w:rPr>
      </w:pPr>
    </w:p>
    <w:p w14:paraId="0DB7F6F2" w14:textId="77777777" w:rsidR="00C6733C" w:rsidRDefault="006D0638">
      <w:pPr>
        <w:pStyle w:val="Textoindependiente"/>
        <w:jc w:val="both"/>
        <w:rPr>
          <w:sz w:val="22"/>
          <w:szCs w:val="22"/>
        </w:rPr>
      </w:pPr>
      <w:r>
        <w:rPr>
          <w:sz w:val="22"/>
          <w:szCs w:val="22"/>
        </w:rPr>
        <w:t>La interpretación del presente Decreto, para efectos administrativos y exclusivamente en el ámbito de competencia del Ejecutivo Estatal, corresponde a la Secretaría de Finanzas del Poder E</w:t>
      </w:r>
      <w:r>
        <w:rPr>
          <w:sz w:val="22"/>
          <w:szCs w:val="22"/>
        </w:rPr>
        <w:t>jecutivo del Estado y a la Secretaría de la Contraloría y Transparencia Gubernamental, conforme a las disposiciones y definiciones que establece la Ley Estatal de Presupuesto y Responsabilidad Hacendaria, su Reglamento y la Ley Orgánica del Poder Ejecutivo</w:t>
      </w:r>
      <w:r>
        <w:rPr>
          <w:sz w:val="22"/>
          <w:szCs w:val="22"/>
        </w:rPr>
        <w:t xml:space="preserve"> del Estado de Oaxaca. </w:t>
      </w:r>
    </w:p>
    <w:p w14:paraId="65894FD8" w14:textId="77777777" w:rsidR="00C6733C" w:rsidRDefault="00C6733C">
      <w:pPr>
        <w:pStyle w:val="Textoindependiente"/>
        <w:jc w:val="both"/>
        <w:rPr>
          <w:sz w:val="22"/>
          <w:szCs w:val="22"/>
        </w:rPr>
      </w:pPr>
    </w:p>
    <w:p w14:paraId="5FC8F892" w14:textId="77777777" w:rsidR="00C6733C" w:rsidRDefault="006D0638">
      <w:pPr>
        <w:pStyle w:val="Textoindependiente"/>
        <w:jc w:val="both"/>
        <w:rPr>
          <w:sz w:val="22"/>
          <w:szCs w:val="22"/>
        </w:rPr>
      </w:pPr>
      <w:r>
        <w:rPr>
          <w:sz w:val="22"/>
          <w:szCs w:val="22"/>
        </w:rPr>
        <w:t xml:space="preserve">Lo anterior, sin perjuicio de la interpretación que corresponda a otros Poderes del Estado en el ámbito de sus respectivas atribuciones. </w:t>
      </w:r>
    </w:p>
    <w:p w14:paraId="3BF4D07B" w14:textId="77777777" w:rsidR="00C6733C" w:rsidRDefault="00C6733C">
      <w:pPr>
        <w:pStyle w:val="Textoindependiente"/>
        <w:jc w:val="both"/>
        <w:rPr>
          <w:sz w:val="22"/>
          <w:szCs w:val="22"/>
        </w:rPr>
      </w:pPr>
    </w:p>
    <w:p w14:paraId="39EED78D" w14:textId="77777777" w:rsidR="00C6733C" w:rsidRDefault="006D0638">
      <w:pPr>
        <w:pStyle w:val="Textoindependiente"/>
        <w:jc w:val="both"/>
        <w:rPr>
          <w:sz w:val="22"/>
          <w:szCs w:val="22"/>
        </w:rPr>
      </w:pPr>
      <w:r>
        <w:rPr>
          <w:sz w:val="22"/>
          <w:szCs w:val="22"/>
        </w:rPr>
        <w:t>Corresponde a las Secretarías: de Finanzas del Poder Ejecutivo del Estado, de la Contraloría</w:t>
      </w:r>
      <w:r>
        <w:rPr>
          <w:sz w:val="22"/>
          <w:szCs w:val="22"/>
        </w:rPr>
        <w:t xml:space="preserve"> y Transparencia Gubernamental, así mismo, al Órgano Superior de Fiscalización del Estado de Oaxaca, al Poder Judicial y a los órganos internos de control de los Órganos Autónomos en el ámbito de sus competencias, determinar las normas y procedimientos adm</w:t>
      </w:r>
      <w:r>
        <w:rPr>
          <w:sz w:val="22"/>
          <w:szCs w:val="22"/>
        </w:rPr>
        <w:t>inistrativos tendientes a armonizar, transparentar, racionalizar y llevar a cabo el control del gasto público aprobado para cada Ejecutor de gasto según sea el caso, conforme a las disposiciones normativas vigentes.</w:t>
      </w:r>
    </w:p>
    <w:p w14:paraId="1AD00009" w14:textId="77777777" w:rsidR="00C6733C" w:rsidRDefault="00C6733C">
      <w:pPr>
        <w:pStyle w:val="Textoindependiente"/>
        <w:rPr>
          <w:rFonts w:asciiTheme="minorHAnsi" w:hAnsiTheme="minorHAnsi" w:cstheme="minorHAnsi"/>
          <w:sz w:val="22"/>
          <w:szCs w:val="22"/>
        </w:rPr>
      </w:pPr>
    </w:p>
    <w:p w14:paraId="389E1B82" w14:textId="77777777" w:rsidR="00C6733C" w:rsidRDefault="006D0638">
      <w:pPr>
        <w:pStyle w:val="Textoindependiente"/>
        <w:jc w:val="both"/>
        <w:rPr>
          <w:sz w:val="22"/>
          <w:szCs w:val="22"/>
        </w:rPr>
      </w:pPr>
      <w:r>
        <w:rPr>
          <w:b/>
          <w:sz w:val="22"/>
          <w:szCs w:val="22"/>
        </w:rPr>
        <w:t>Artículo 2</w:t>
      </w:r>
      <w:r>
        <w:rPr>
          <w:sz w:val="22"/>
          <w:szCs w:val="22"/>
        </w:rPr>
        <w:t>. Para efectos del presente D</w:t>
      </w:r>
      <w:r>
        <w:rPr>
          <w:sz w:val="22"/>
          <w:szCs w:val="22"/>
        </w:rPr>
        <w:t>ecreto, se entenderá por:</w:t>
      </w:r>
    </w:p>
    <w:p w14:paraId="24921395" w14:textId="77777777" w:rsidR="00C6733C" w:rsidRDefault="00C6733C">
      <w:pPr>
        <w:pStyle w:val="Textoindependiente"/>
        <w:jc w:val="both"/>
        <w:rPr>
          <w:sz w:val="22"/>
          <w:szCs w:val="22"/>
        </w:rPr>
      </w:pPr>
    </w:p>
    <w:p w14:paraId="13060E4D" w14:textId="77777777" w:rsidR="00C6733C" w:rsidRDefault="006D0638">
      <w:pPr>
        <w:pStyle w:val="Textoindependiente"/>
        <w:numPr>
          <w:ilvl w:val="0"/>
          <w:numId w:val="10"/>
        </w:numPr>
        <w:jc w:val="both"/>
        <w:rPr>
          <w:sz w:val="22"/>
          <w:szCs w:val="22"/>
        </w:rPr>
      </w:pPr>
      <w:r>
        <w:rPr>
          <w:b/>
          <w:sz w:val="22"/>
          <w:szCs w:val="22"/>
        </w:rPr>
        <w:t>Adecuación Presupuestaria:</w:t>
      </w:r>
      <w:r>
        <w:rPr>
          <w:sz w:val="22"/>
          <w:szCs w:val="22"/>
        </w:rPr>
        <w:t xml:space="preserve"> Modificación a las estructuras funcional, programática, administrativa, económica, tipo y objeto del gasto; las recalendarizaciones de presupuesto; las ampliaciones y reducciones del Presupuesto de Egre</w:t>
      </w:r>
      <w:r>
        <w:rPr>
          <w:sz w:val="22"/>
          <w:szCs w:val="22"/>
        </w:rPr>
        <w:t xml:space="preserve">sos aprobado y metas; siempre que permitan un mejor cumplimiento de los objetivos de los programas a cargo de los Ejecutores de gasto; </w:t>
      </w:r>
    </w:p>
    <w:p w14:paraId="6A5F6B46" w14:textId="77777777" w:rsidR="00C6733C" w:rsidRDefault="00C6733C">
      <w:pPr>
        <w:pStyle w:val="Textoindependiente"/>
        <w:ind w:left="1080"/>
        <w:jc w:val="both"/>
        <w:rPr>
          <w:sz w:val="22"/>
          <w:szCs w:val="22"/>
        </w:rPr>
      </w:pPr>
    </w:p>
    <w:p w14:paraId="69A34B52" w14:textId="77777777" w:rsidR="00C6733C" w:rsidRDefault="006D0638">
      <w:pPr>
        <w:pStyle w:val="Textoindependiente"/>
        <w:numPr>
          <w:ilvl w:val="0"/>
          <w:numId w:val="10"/>
        </w:numPr>
        <w:jc w:val="both"/>
        <w:rPr>
          <w:sz w:val="22"/>
          <w:szCs w:val="22"/>
        </w:rPr>
      </w:pPr>
      <w:r>
        <w:rPr>
          <w:b/>
          <w:sz w:val="22"/>
          <w:szCs w:val="22"/>
        </w:rPr>
        <w:t>Administración</w:t>
      </w:r>
      <w:r>
        <w:rPr>
          <w:sz w:val="22"/>
          <w:szCs w:val="22"/>
        </w:rPr>
        <w:t xml:space="preserve">: Secretaría de Administración; </w:t>
      </w:r>
    </w:p>
    <w:p w14:paraId="388D8266" w14:textId="77777777" w:rsidR="00C6733C" w:rsidRDefault="00C6733C">
      <w:pPr>
        <w:pStyle w:val="Textoindependiente"/>
        <w:ind w:left="1080"/>
        <w:jc w:val="both"/>
        <w:rPr>
          <w:sz w:val="22"/>
          <w:szCs w:val="22"/>
        </w:rPr>
      </w:pPr>
    </w:p>
    <w:p w14:paraId="27D05554" w14:textId="77777777" w:rsidR="00C6733C" w:rsidRDefault="006D0638">
      <w:pPr>
        <w:pStyle w:val="Textoindependiente"/>
        <w:numPr>
          <w:ilvl w:val="0"/>
          <w:numId w:val="10"/>
        </w:numPr>
        <w:jc w:val="both"/>
        <w:rPr>
          <w:sz w:val="22"/>
          <w:szCs w:val="22"/>
        </w:rPr>
      </w:pPr>
      <w:r>
        <w:rPr>
          <w:b/>
          <w:sz w:val="22"/>
          <w:szCs w:val="22"/>
        </w:rPr>
        <w:t>Ahorro Presupuestario</w:t>
      </w:r>
      <w:r>
        <w:rPr>
          <w:sz w:val="22"/>
          <w:szCs w:val="22"/>
        </w:rPr>
        <w:t>: Remanente de recursos del presupuesto modificado</w:t>
      </w:r>
      <w:r>
        <w:rPr>
          <w:sz w:val="22"/>
          <w:szCs w:val="22"/>
        </w:rPr>
        <w:t xml:space="preserve"> una vez que se hayan cumplido las metas establecidas; </w:t>
      </w:r>
    </w:p>
    <w:p w14:paraId="7E663BEC" w14:textId="77777777" w:rsidR="00C6733C" w:rsidRDefault="00C6733C">
      <w:pPr>
        <w:pStyle w:val="Prrafodelista"/>
        <w:spacing w:before="0"/>
      </w:pPr>
    </w:p>
    <w:p w14:paraId="3315C6B8" w14:textId="77777777" w:rsidR="00C6733C" w:rsidRDefault="006D0638">
      <w:pPr>
        <w:pStyle w:val="Textoindependiente"/>
        <w:numPr>
          <w:ilvl w:val="0"/>
          <w:numId w:val="10"/>
        </w:numPr>
        <w:jc w:val="both"/>
        <w:rPr>
          <w:sz w:val="22"/>
          <w:szCs w:val="22"/>
        </w:rPr>
      </w:pPr>
      <w:r>
        <w:rPr>
          <w:b/>
          <w:sz w:val="22"/>
          <w:szCs w:val="22"/>
        </w:rPr>
        <w:t>Asignación Presupuestaria:</w:t>
      </w:r>
      <w:r>
        <w:rPr>
          <w:sz w:val="22"/>
          <w:szCs w:val="22"/>
        </w:rPr>
        <w:t xml:space="preserve"> Importe destinado a cubrir las erogaciones previstas para la realización de programas, subprogramas, proyectos y actividades que se requieren para el logro de los objetivos</w:t>
      </w:r>
      <w:r>
        <w:rPr>
          <w:sz w:val="22"/>
          <w:szCs w:val="22"/>
        </w:rPr>
        <w:t xml:space="preserve"> y metas programadas; </w:t>
      </w:r>
    </w:p>
    <w:p w14:paraId="65754F97" w14:textId="77777777" w:rsidR="00C6733C" w:rsidRDefault="00C6733C">
      <w:pPr>
        <w:pStyle w:val="Prrafodelista"/>
        <w:spacing w:before="0"/>
      </w:pPr>
    </w:p>
    <w:p w14:paraId="607B5062" w14:textId="77777777" w:rsidR="00C6733C" w:rsidRDefault="006D0638">
      <w:pPr>
        <w:pStyle w:val="Textoindependiente"/>
        <w:numPr>
          <w:ilvl w:val="0"/>
          <w:numId w:val="10"/>
        </w:numPr>
        <w:jc w:val="both"/>
        <w:rPr>
          <w:sz w:val="22"/>
          <w:szCs w:val="22"/>
        </w:rPr>
      </w:pPr>
      <w:r>
        <w:rPr>
          <w:sz w:val="22"/>
          <w:szCs w:val="22"/>
        </w:rPr>
        <w:t xml:space="preserve"> </w:t>
      </w:r>
      <w:r>
        <w:rPr>
          <w:b/>
          <w:sz w:val="22"/>
          <w:szCs w:val="22"/>
        </w:rPr>
        <w:t>Avance de Gestión:</w:t>
      </w:r>
      <w:r>
        <w:rPr>
          <w:sz w:val="22"/>
          <w:szCs w:val="22"/>
        </w:rPr>
        <w:t xml:space="preserve"> Informe de las actividades de las Entidades fiscalizables señalado en el Artículo 2 fracción XX de la Ley de Fiscalización Superior y Rendición de Cuentas para el Estado de Oaxaca; </w:t>
      </w:r>
    </w:p>
    <w:p w14:paraId="75C7BB74" w14:textId="77777777" w:rsidR="00C6733C" w:rsidRDefault="00C6733C">
      <w:pPr>
        <w:pStyle w:val="Prrafodelista"/>
        <w:spacing w:before="0"/>
      </w:pPr>
    </w:p>
    <w:p w14:paraId="0A6F5B03" w14:textId="77777777" w:rsidR="00C6733C" w:rsidRDefault="006D0638">
      <w:pPr>
        <w:pStyle w:val="Textoindependiente"/>
        <w:numPr>
          <w:ilvl w:val="0"/>
          <w:numId w:val="10"/>
        </w:numPr>
        <w:jc w:val="both"/>
        <w:rPr>
          <w:sz w:val="22"/>
          <w:szCs w:val="22"/>
        </w:rPr>
      </w:pPr>
      <w:r>
        <w:rPr>
          <w:b/>
          <w:sz w:val="22"/>
          <w:szCs w:val="22"/>
        </w:rPr>
        <w:t>Calendario de Presupuesto:</w:t>
      </w:r>
      <w:r>
        <w:rPr>
          <w:sz w:val="22"/>
          <w:szCs w:val="22"/>
        </w:rPr>
        <w:t xml:space="preserve"> Pe</w:t>
      </w:r>
      <w:r>
        <w:rPr>
          <w:sz w:val="22"/>
          <w:szCs w:val="22"/>
        </w:rPr>
        <w:t xml:space="preserve">riodicidad en que se realizarán las actividades de los programas y las erogaciones necesarias para llevarlas a cabo; </w:t>
      </w:r>
    </w:p>
    <w:p w14:paraId="6D033DF5" w14:textId="77777777" w:rsidR="00C6733C" w:rsidRDefault="00C6733C">
      <w:pPr>
        <w:pStyle w:val="Prrafodelista"/>
        <w:spacing w:before="0"/>
      </w:pPr>
    </w:p>
    <w:p w14:paraId="306CBEDD" w14:textId="77777777" w:rsidR="00C6733C" w:rsidRDefault="006D0638">
      <w:pPr>
        <w:pStyle w:val="Textoindependiente"/>
        <w:numPr>
          <w:ilvl w:val="0"/>
          <w:numId w:val="10"/>
        </w:numPr>
        <w:jc w:val="both"/>
        <w:rPr>
          <w:sz w:val="22"/>
          <w:szCs w:val="22"/>
        </w:rPr>
      </w:pPr>
      <w:r>
        <w:rPr>
          <w:b/>
          <w:sz w:val="22"/>
          <w:szCs w:val="22"/>
        </w:rPr>
        <w:t>Capítulo de Gasto:</w:t>
      </w:r>
      <w:r>
        <w:rPr>
          <w:sz w:val="22"/>
          <w:szCs w:val="22"/>
        </w:rPr>
        <w:t xml:space="preserve"> Nivel de agregación en el clasificador por objeto del gasto que identifica el conjunto homogéneo y ordenado de los bienes y servicios requeridos por los Ejecutores de gasto; </w:t>
      </w:r>
    </w:p>
    <w:p w14:paraId="56E2FCA0" w14:textId="77777777" w:rsidR="00C6733C" w:rsidRDefault="00C6733C">
      <w:pPr>
        <w:pStyle w:val="Prrafodelista"/>
        <w:spacing w:before="0"/>
      </w:pPr>
    </w:p>
    <w:p w14:paraId="5D0265E2" w14:textId="77777777" w:rsidR="00C6733C" w:rsidRDefault="006D0638">
      <w:pPr>
        <w:pStyle w:val="Textoindependiente"/>
        <w:numPr>
          <w:ilvl w:val="0"/>
          <w:numId w:val="10"/>
        </w:numPr>
        <w:jc w:val="both"/>
        <w:rPr>
          <w:sz w:val="22"/>
          <w:szCs w:val="22"/>
        </w:rPr>
      </w:pPr>
      <w:r>
        <w:rPr>
          <w:b/>
          <w:sz w:val="22"/>
          <w:szCs w:val="22"/>
        </w:rPr>
        <w:t>Clasificación Administrativa:</w:t>
      </w:r>
      <w:r>
        <w:rPr>
          <w:sz w:val="22"/>
          <w:szCs w:val="22"/>
        </w:rPr>
        <w:t xml:space="preserve"> Identifica a los Ejecutores de gasto a través de </w:t>
      </w:r>
      <w:r>
        <w:rPr>
          <w:sz w:val="22"/>
          <w:szCs w:val="22"/>
        </w:rPr>
        <w:t>los cuales se realiza la asignación, gestión y rendición de los recursos financieros públicos. Establece las bases institucionales y sectoriales para la elaboración y análisis de las estadísticas fiscales, organizadas y agregadas, mediante su integración y</w:t>
      </w:r>
      <w:r>
        <w:rPr>
          <w:sz w:val="22"/>
          <w:szCs w:val="22"/>
        </w:rPr>
        <w:t xml:space="preserve"> consolidación;</w:t>
      </w:r>
    </w:p>
    <w:p w14:paraId="400B6E30" w14:textId="77777777" w:rsidR="00C6733C" w:rsidRDefault="00C6733C">
      <w:pPr>
        <w:pStyle w:val="Prrafodelista"/>
        <w:spacing w:before="0"/>
      </w:pPr>
    </w:p>
    <w:p w14:paraId="118EEE2C" w14:textId="77777777" w:rsidR="00C6733C" w:rsidRDefault="006D0638">
      <w:pPr>
        <w:pStyle w:val="Textoindependiente"/>
        <w:numPr>
          <w:ilvl w:val="0"/>
          <w:numId w:val="10"/>
        </w:numPr>
        <w:jc w:val="both"/>
        <w:rPr>
          <w:sz w:val="22"/>
          <w:szCs w:val="22"/>
        </w:rPr>
      </w:pPr>
      <w:r>
        <w:rPr>
          <w:b/>
          <w:sz w:val="22"/>
          <w:szCs w:val="22"/>
        </w:rPr>
        <w:t>Clasificación Económica:</w:t>
      </w:r>
      <w:r>
        <w:rPr>
          <w:sz w:val="22"/>
          <w:szCs w:val="22"/>
        </w:rPr>
        <w:t xml:space="preserve"> Elemento de programación presupuestaria que permite identificar el gasto según su naturaleza económica: corriente o de capital. El gasto corriente no aumenta los activos del Estado, mientras que el de capital incre</w:t>
      </w:r>
      <w:r>
        <w:rPr>
          <w:sz w:val="22"/>
          <w:szCs w:val="22"/>
        </w:rPr>
        <w:t xml:space="preserve">menta la capacidad de producción, así como las inversiones físicas directas o financieras; </w:t>
      </w:r>
    </w:p>
    <w:p w14:paraId="3353D372" w14:textId="77777777" w:rsidR="00C6733C" w:rsidRDefault="00C6733C">
      <w:pPr>
        <w:pStyle w:val="Prrafodelista"/>
        <w:spacing w:before="0"/>
      </w:pPr>
    </w:p>
    <w:p w14:paraId="31E37E81" w14:textId="77777777" w:rsidR="00C6733C" w:rsidRDefault="006D0638">
      <w:pPr>
        <w:pStyle w:val="Textoindependiente"/>
        <w:numPr>
          <w:ilvl w:val="0"/>
          <w:numId w:val="10"/>
        </w:numPr>
        <w:jc w:val="both"/>
        <w:rPr>
          <w:sz w:val="22"/>
          <w:szCs w:val="22"/>
        </w:rPr>
      </w:pPr>
      <w:r>
        <w:rPr>
          <w:b/>
          <w:sz w:val="22"/>
          <w:szCs w:val="22"/>
        </w:rPr>
        <w:t>Clasificación Funcional:</w:t>
      </w:r>
      <w:r>
        <w:rPr>
          <w:sz w:val="22"/>
          <w:szCs w:val="22"/>
        </w:rPr>
        <w:t xml:space="preserve"> Agrupa los gastos según los propósitos u objetivos socioeconómicos que persiguen los Ejecutores de gasto; </w:t>
      </w:r>
    </w:p>
    <w:p w14:paraId="7F78D647" w14:textId="77777777" w:rsidR="00C6733C" w:rsidRDefault="00C6733C">
      <w:pPr>
        <w:pStyle w:val="Prrafodelista"/>
        <w:spacing w:before="0"/>
      </w:pPr>
    </w:p>
    <w:p w14:paraId="59C16391" w14:textId="77777777" w:rsidR="00C6733C" w:rsidRDefault="006D0638">
      <w:pPr>
        <w:pStyle w:val="Textoindependiente"/>
        <w:numPr>
          <w:ilvl w:val="0"/>
          <w:numId w:val="10"/>
        </w:numPr>
        <w:jc w:val="both"/>
        <w:rPr>
          <w:sz w:val="22"/>
          <w:szCs w:val="22"/>
        </w:rPr>
      </w:pPr>
      <w:r>
        <w:rPr>
          <w:b/>
          <w:sz w:val="22"/>
          <w:szCs w:val="22"/>
        </w:rPr>
        <w:t xml:space="preserve">Clasificación por Objeto del Gasto: </w:t>
      </w:r>
      <w:r>
        <w:rPr>
          <w:sz w:val="22"/>
          <w:szCs w:val="22"/>
        </w:rPr>
        <w:t xml:space="preserve">Listado ordenado, homogéneo y coherente que permite identificar los bienes y servicios que el sector público demanda para desarrollar sus acciones, agrupándolas en capítulos, conceptos y partidas; </w:t>
      </w:r>
    </w:p>
    <w:p w14:paraId="6B15A297" w14:textId="77777777" w:rsidR="00C6733C" w:rsidRDefault="00C6733C">
      <w:pPr>
        <w:pStyle w:val="Prrafodelista"/>
        <w:spacing w:before="0"/>
      </w:pPr>
    </w:p>
    <w:p w14:paraId="380B70CB" w14:textId="77777777" w:rsidR="00C6733C" w:rsidRDefault="006D0638">
      <w:pPr>
        <w:pStyle w:val="Textoindependiente"/>
        <w:numPr>
          <w:ilvl w:val="0"/>
          <w:numId w:val="10"/>
        </w:numPr>
        <w:jc w:val="both"/>
        <w:rPr>
          <w:sz w:val="22"/>
          <w:szCs w:val="22"/>
        </w:rPr>
      </w:pPr>
      <w:r>
        <w:rPr>
          <w:b/>
          <w:sz w:val="22"/>
          <w:szCs w:val="22"/>
        </w:rPr>
        <w:t>Clasificación por Tip</w:t>
      </w:r>
      <w:r>
        <w:rPr>
          <w:b/>
          <w:sz w:val="22"/>
          <w:szCs w:val="22"/>
        </w:rPr>
        <w:t>o de Gasto:</w:t>
      </w:r>
      <w:r>
        <w:rPr>
          <w:sz w:val="22"/>
          <w:szCs w:val="22"/>
        </w:rPr>
        <w:t xml:space="preserve"> Relaciona las transacciones públicas que generan gastos con los grandes agregados de la clasificación económica, presentándolos en: Corriente; de Capital; Amortización de la deuda y disminución de pasivos; Pensiones y Jubilaciones; y, Participa</w:t>
      </w:r>
      <w:r>
        <w:rPr>
          <w:sz w:val="22"/>
          <w:szCs w:val="22"/>
        </w:rPr>
        <w:t xml:space="preserve">ciones; </w:t>
      </w:r>
    </w:p>
    <w:p w14:paraId="29F2F1FD" w14:textId="77777777" w:rsidR="00C6733C" w:rsidRDefault="00C6733C">
      <w:pPr>
        <w:pStyle w:val="Prrafodelista"/>
        <w:spacing w:before="0"/>
      </w:pPr>
    </w:p>
    <w:p w14:paraId="683A535F" w14:textId="77777777" w:rsidR="00C6733C" w:rsidRDefault="006D0638">
      <w:pPr>
        <w:pStyle w:val="Textoindependiente"/>
        <w:numPr>
          <w:ilvl w:val="0"/>
          <w:numId w:val="10"/>
        </w:numPr>
        <w:jc w:val="both"/>
        <w:rPr>
          <w:sz w:val="22"/>
          <w:szCs w:val="22"/>
        </w:rPr>
      </w:pPr>
      <w:r>
        <w:rPr>
          <w:b/>
          <w:sz w:val="22"/>
          <w:szCs w:val="22"/>
        </w:rPr>
        <w:t>Clasificación Programática:</w:t>
      </w:r>
      <w:r>
        <w:rPr>
          <w:sz w:val="22"/>
          <w:szCs w:val="22"/>
        </w:rPr>
        <w:t xml:space="preserve"> Ordena el Presupuesto de Egresos del Estado acorde a la relación que tienen las erogaciones con los programas a cargo de los Ejecutores de gasto; </w:t>
      </w:r>
    </w:p>
    <w:p w14:paraId="209D42E6" w14:textId="77777777" w:rsidR="00C6733C" w:rsidRDefault="00C6733C">
      <w:pPr>
        <w:pStyle w:val="Prrafodelista"/>
        <w:spacing w:before="0"/>
      </w:pPr>
    </w:p>
    <w:p w14:paraId="4C1C2DCC" w14:textId="77777777" w:rsidR="00C6733C" w:rsidRDefault="006D0638">
      <w:pPr>
        <w:pStyle w:val="Textoindependiente"/>
        <w:numPr>
          <w:ilvl w:val="0"/>
          <w:numId w:val="10"/>
        </w:numPr>
        <w:jc w:val="both"/>
        <w:rPr>
          <w:sz w:val="22"/>
          <w:szCs w:val="22"/>
        </w:rPr>
      </w:pPr>
      <w:r>
        <w:rPr>
          <w:b/>
          <w:sz w:val="22"/>
          <w:szCs w:val="22"/>
        </w:rPr>
        <w:t>Congreso:</w:t>
      </w:r>
      <w:r>
        <w:rPr>
          <w:sz w:val="22"/>
          <w:szCs w:val="22"/>
        </w:rPr>
        <w:t xml:space="preserve"> Congreso del Estado; </w:t>
      </w:r>
    </w:p>
    <w:p w14:paraId="7015C672" w14:textId="77777777" w:rsidR="00C6733C" w:rsidRDefault="00C6733C">
      <w:pPr>
        <w:pStyle w:val="Prrafodelista"/>
        <w:spacing w:before="0"/>
      </w:pPr>
    </w:p>
    <w:p w14:paraId="0E6AED5E" w14:textId="77777777" w:rsidR="00C6733C" w:rsidRDefault="006D0638">
      <w:pPr>
        <w:pStyle w:val="Textoindependiente"/>
        <w:numPr>
          <w:ilvl w:val="0"/>
          <w:numId w:val="10"/>
        </w:numPr>
        <w:jc w:val="both"/>
        <w:rPr>
          <w:sz w:val="22"/>
          <w:szCs w:val="22"/>
        </w:rPr>
      </w:pPr>
      <w:r>
        <w:rPr>
          <w:b/>
          <w:sz w:val="22"/>
          <w:szCs w:val="22"/>
        </w:rPr>
        <w:t>Contraloría:</w:t>
      </w:r>
      <w:r>
        <w:rPr>
          <w:sz w:val="22"/>
          <w:szCs w:val="22"/>
        </w:rPr>
        <w:t xml:space="preserve"> Secretaría de la Contral</w:t>
      </w:r>
      <w:r>
        <w:rPr>
          <w:sz w:val="22"/>
          <w:szCs w:val="22"/>
        </w:rPr>
        <w:t xml:space="preserve">oría y Transparencia Gubernamental; </w:t>
      </w:r>
    </w:p>
    <w:p w14:paraId="3720DCA1" w14:textId="77777777" w:rsidR="00C6733C" w:rsidRDefault="00C6733C">
      <w:pPr>
        <w:pStyle w:val="Prrafodelista"/>
        <w:spacing w:before="0"/>
      </w:pPr>
    </w:p>
    <w:p w14:paraId="02BCF026" w14:textId="77777777" w:rsidR="00C6733C" w:rsidRDefault="006D0638">
      <w:pPr>
        <w:pStyle w:val="Textoindependiente"/>
        <w:numPr>
          <w:ilvl w:val="0"/>
          <w:numId w:val="10"/>
        </w:numPr>
        <w:jc w:val="both"/>
        <w:rPr>
          <w:sz w:val="22"/>
          <w:szCs w:val="22"/>
        </w:rPr>
      </w:pPr>
      <w:r>
        <w:rPr>
          <w:b/>
          <w:sz w:val="22"/>
          <w:szCs w:val="22"/>
        </w:rPr>
        <w:t>Coordinador de Sector:</w:t>
      </w:r>
      <w:r>
        <w:rPr>
          <w:sz w:val="22"/>
          <w:szCs w:val="22"/>
        </w:rPr>
        <w:t xml:space="preserve"> Dependencia que designe el Ejecutivo Estatal en los términos de la Ley Orgánica del Poder Ejecutivo del Estado, para orientar y coordinar la planeación, programación, presupuestación, ejercicio, </w:t>
      </w:r>
      <w:r>
        <w:rPr>
          <w:sz w:val="22"/>
          <w:szCs w:val="22"/>
        </w:rPr>
        <w:t xml:space="preserve">seguimiento y evaluación del gasto de las entidades que queden ubicadas en el sector bajo su coordinación; </w:t>
      </w:r>
    </w:p>
    <w:p w14:paraId="2555853F" w14:textId="77777777" w:rsidR="00C6733C" w:rsidRDefault="00C6733C">
      <w:pPr>
        <w:pStyle w:val="Prrafodelista"/>
        <w:spacing w:before="0"/>
      </w:pPr>
    </w:p>
    <w:p w14:paraId="5CE59881" w14:textId="77777777" w:rsidR="00C6733C" w:rsidRDefault="006D0638">
      <w:pPr>
        <w:pStyle w:val="Textoindependiente"/>
        <w:numPr>
          <w:ilvl w:val="0"/>
          <w:numId w:val="10"/>
        </w:numPr>
        <w:jc w:val="both"/>
        <w:rPr>
          <w:sz w:val="22"/>
          <w:szCs w:val="22"/>
        </w:rPr>
      </w:pPr>
      <w:r>
        <w:rPr>
          <w:b/>
          <w:sz w:val="22"/>
          <w:szCs w:val="22"/>
        </w:rPr>
        <w:t>Decreto:</w:t>
      </w:r>
      <w:r>
        <w:rPr>
          <w:sz w:val="22"/>
          <w:szCs w:val="22"/>
        </w:rPr>
        <w:t xml:space="preserve"> Decreto de Presupuesto de Egresos del Estado de Oaxaca para el Ejercicio Fiscal 2020 y sus Anexos; </w:t>
      </w:r>
    </w:p>
    <w:p w14:paraId="6F187CCE" w14:textId="77777777" w:rsidR="00C6733C" w:rsidRDefault="00C6733C">
      <w:pPr>
        <w:pStyle w:val="Prrafodelista"/>
        <w:spacing w:before="0"/>
      </w:pPr>
    </w:p>
    <w:p w14:paraId="1978D2EA" w14:textId="77777777" w:rsidR="00C6733C" w:rsidRDefault="006D0638">
      <w:pPr>
        <w:pStyle w:val="Textoindependiente"/>
        <w:numPr>
          <w:ilvl w:val="0"/>
          <w:numId w:val="10"/>
        </w:numPr>
        <w:jc w:val="both"/>
        <w:rPr>
          <w:sz w:val="22"/>
          <w:szCs w:val="22"/>
        </w:rPr>
      </w:pPr>
      <w:r>
        <w:rPr>
          <w:b/>
          <w:sz w:val="22"/>
          <w:szCs w:val="22"/>
        </w:rPr>
        <w:t>Dependencias:</w:t>
      </w:r>
      <w:r>
        <w:rPr>
          <w:sz w:val="22"/>
          <w:szCs w:val="22"/>
        </w:rPr>
        <w:t xml:space="preserve"> Gubernatura, Secretaría</w:t>
      </w:r>
      <w:r>
        <w:rPr>
          <w:sz w:val="22"/>
          <w:szCs w:val="22"/>
        </w:rPr>
        <w:t>s de Despacho, Consejería Jurídica del Gobierno del Estado y la Coordinación General del Comité Estatal de Planeación para el Desarrollo de Oaxaca, así como los Órganos Auxiliares, las Unidades Administrativas que dependen directamente del Gobernador del E</w:t>
      </w:r>
      <w:r>
        <w:rPr>
          <w:sz w:val="22"/>
          <w:szCs w:val="22"/>
        </w:rPr>
        <w:t xml:space="preserve">stado y los Órganos Desconcentrados; </w:t>
      </w:r>
    </w:p>
    <w:p w14:paraId="4B401A06" w14:textId="77777777" w:rsidR="00C6733C" w:rsidRDefault="00C6733C">
      <w:pPr>
        <w:pStyle w:val="Prrafodelista"/>
        <w:spacing w:before="0"/>
      </w:pPr>
    </w:p>
    <w:p w14:paraId="753328CD" w14:textId="77777777" w:rsidR="00C6733C" w:rsidRDefault="006D0638">
      <w:pPr>
        <w:pStyle w:val="Textoindependiente"/>
        <w:numPr>
          <w:ilvl w:val="0"/>
          <w:numId w:val="10"/>
        </w:numPr>
        <w:jc w:val="both"/>
        <w:rPr>
          <w:sz w:val="22"/>
          <w:szCs w:val="22"/>
        </w:rPr>
      </w:pPr>
      <w:r>
        <w:rPr>
          <w:b/>
          <w:sz w:val="22"/>
          <w:szCs w:val="22"/>
        </w:rPr>
        <w:t>Disciplina Presupuestaria:</w:t>
      </w:r>
      <w:r>
        <w:rPr>
          <w:sz w:val="22"/>
          <w:szCs w:val="22"/>
        </w:rPr>
        <w:t xml:space="preserve"> Cumplimiento de las políticas de gasto que obliga a los Ejecutores de gasto a ejercer los recursos en los montos, estructuras y plazos fijados por la programación del presupuesto que se auto</w:t>
      </w:r>
      <w:r>
        <w:rPr>
          <w:sz w:val="22"/>
          <w:szCs w:val="22"/>
        </w:rPr>
        <w:t xml:space="preserve">riza, con pleno apego a la normatividad emitida a efecto de evitar ampliaciones de gasto no programadas, o conductas ilícitas en el manejo de las erogaciones públicas; </w:t>
      </w:r>
    </w:p>
    <w:p w14:paraId="46B12B65" w14:textId="77777777" w:rsidR="00C6733C" w:rsidRDefault="00C6733C">
      <w:pPr>
        <w:pStyle w:val="Prrafodelista"/>
        <w:spacing w:before="0"/>
      </w:pPr>
    </w:p>
    <w:p w14:paraId="15DAA353" w14:textId="77777777" w:rsidR="00C6733C" w:rsidRDefault="006D0638">
      <w:pPr>
        <w:pStyle w:val="Textoindependiente"/>
        <w:numPr>
          <w:ilvl w:val="0"/>
          <w:numId w:val="10"/>
        </w:numPr>
        <w:jc w:val="both"/>
        <w:rPr>
          <w:sz w:val="22"/>
          <w:szCs w:val="22"/>
        </w:rPr>
      </w:pPr>
      <w:r>
        <w:rPr>
          <w:b/>
          <w:sz w:val="22"/>
          <w:szCs w:val="22"/>
        </w:rPr>
        <w:t xml:space="preserve">Disponibilidad Presupuestaria: </w:t>
      </w:r>
      <w:r>
        <w:rPr>
          <w:sz w:val="22"/>
          <w:szCs w:val="22"/>
        </w:rPr>
        <w:t>Saldos resultantes de restar a una asignación presupues</w:t>
      </w:r>
      <w:r>
        <w:rPr>
          <w:sz w:val="22"/>
          <w:szCs w:val="22"/>
        </w:rPr>
        <w:t xml:space="preserve">taria aprobada, los compromisos legalmente contraídos con cargo a la misma; </w:t>
      </w:r>
    </w:p>
    <w:p w14:paraId="7FB874A0" w14:textId="77777777" w:rsidR="00C6733C" w:rsidRDefault="00C6733C">
      <w:pPr>
        <w:pStyle w:val="Textoindependiente"/>
        <w:ind w:left="1080"/>
        <w:jc w:val="both"/>
        <w:rPr>
          <w:sz w:val="22"/>
          <w:szCs w:val="22"/>
        </w:rPr>
      </w:pPr>
    </w:p>
    <w:p w14:paraId="625F1748" w14:textId="77777777" w:rsidR="00C6733C" w:rsidRDefault="006D0638">
      <w:pPr>
        <w:pStyle w:val="Textoindependiente"/>
        <w:numPr>
          <w:ilvl w:val="0"/>
          <w:numId w:val="10"/>
        </w:numPr>
        <w:jc w:val="both"/>
        <w:rPr>
          <w:sz w:val="22"/>
          <w:szCs w:val="22"/>
        </w:rPr>
      </w:pPr>
      <w:r>
        <w:rPr>
          <w:b/>
          <w:sz w:val="22"/>
          <w:szCs w:val="22"/>
        </w:rPr>
        <w:t>Economía Presupuestaria:</w:t>
      </w:r>
      <w:r>
        <w:rPr>
          <w:sz w:val="22"/>
          <w:szCs w:val="22"/>
        </w:rPr>
        <w:t xml:space="preserve"> Remanentes de recursos no comprometidos, no devengados y no ejercidos del presupuesto modificado; </w:t>
      </w:r>
    </w:p>
    <w:p w14:paraId="750D1A6B" w14:textId="77777777" w:rsidR="00C6733C" w:rsidRDefault="00C6733C">
      <w:pPr>
        <w:pStyle w:val="Textoindependiente"/>
        <w:ind w:left="1080"/>
        <w:jc w:val="both"/>
        <w:rPr>
          <w:sz w:val="22"/>
          <w:szCs w:val="22"/>
        </w:rPr>
      </w:pPr>
    </w:p>
    <w:p w14:paraId="12BB5EFA" w14:textId="77777777" w:rsidR="00C6733C" w:rsidRDefault="006D0638">
      <w:pPr>
        <w:pStyle w:val="Textoindependiente"/>
        <w:numPr>
          <w:ilvl w:val="0"/>
          <w:numId w:val="10"/>
        </w:numPr>
        <w:jc w:val="both"/>
        <w:rPr>
          <w:sz w:val="22"/>
          <w:szCs w:val="22"/>
        </w:rPr>
      </w:pPr>
      <w:r>
        <w:rPr>
          <w:b/>
          <w:sz w:val="22"/>
          <w:szCs w:val="22"/>
        </w:rPr>
        <w:t>Ejecutores de gasto:</w:t>
      </w:r>
      <w:r>
        <w:rPr>
          <w:sz w:val="22"/>
          <w:szCs w:val="22"/>
        </w:rPr>
        <w:t xml:space="preserve"> Los Poderes Legislativo y Judicial; Órganos Autónomos por disposición constitucional y legal; Dependencias y Entidades del Poder Ejecu</w:t>
      </w:r>
      <w:r>
        <w:rPr>
          <w:sz w:val="22"/>
          <w:szCs w:val="22"/>
        </w:rPr>
        <w:t xml:space="preserve">tivo que realizan las erogaciones a que se refiere el Artículo 4 de la Ley con cargo al Presupuesto de Egresos; </w:t>
      </w:r>
    </w:p>
    <w:p w14:paraId="39376A12" w14:textId="77777777" w:rsidR="00C6733C" w:rsidRDefault="00C6733C">
      <w:pPr>
        <w:pStyle w:val="Prrafodelista"/>
        <w:spacing w:before="0"/>
      </w:pPr>
    </w:p>
    <w:p w14:paraId="1DED18CC" w14:textId="77777777" w:rsidR="00C6733C" w:rsidRDefault="006D0638">
      <w:pPr>
        <w:pStyle w:val="Textoindependiente"/>
        <w:numPr>
          <w:ilvl w:val="0"/>
          <w:numId w:val="10"/>
        </w:numPr>
        <w:jc w:val="both"/>
        <w:rPr>
          <w:sz w:val="22"/>
          <w:szCs w:val="22"/>
        </w:rPr>
      </w:pPr>
      <w:r>
        <w:rPr>
          <w:b/>
          <w:sz w:val="22"/>
          <w:szCs w:val="22"/>
        </w:rPr>
        <w:t>Entidades:</w:t>
      </w:r>
      <w:r>
        <w:rPr>
          <w:sz w:val="22"/>
          <w:szCs w:val="22"/>
        </w:rPr>
        <w:t xml:space="preserve"> Los Organismos Descentralizados, Empresas de Participación Estatal, Fideicomisos Públicos y Entidades Auxiliares de colaboración, q</w:t>
      </w:r>
      <w:r>
        <w:rPr>
          <w:sz w:val="22"/>
          <w:szCs w:val="22"/>
        </w:rPr>
        <w:t xml:space="preserve">ue de conformidad con la Ley de Entidades Paraestatales del Estado de Oaxaca sean considerados Entidades Paraestatales; </w:t>
      </w:r>
    </w:p>
    <w:p w14:paraId="2BDCFEEF" w14:textId="77777777" w:rsidR="00C6733C" w:rsidRDefault="00C6733C">
      <w:pPr>
        <w:pStyle w:val="Prrafodelista"/>
        <w:spacing w:before="0"/>
      </w:pPr>
    </w:p>
    <w:p w14:paraId="582CF2D6" w14:textId="77777777" w:rsidR="00C6733C" w:rsidRDefault="006D0638">
      <w:pPr>
        <w:pStyle w:val="Textoindependiente"/>
        <w:numPr>
          <w:ilvl w:val="0"/>
          <w:numId w:val="10"/>
        </w:numPr>
        <w:jc w:val="both"/>
        <w:rPr>
          <w:sz w:val="22"/>
          <w:szCs w:val="22"/>
        </w:rPr>
      </w:pPr>
      <w:r>
        <w:rPr>
          <w:b/>
          <w:sz w:val="22"/>
          <w:szCs w:val="22"/>
        </w:rPr>
        <w:t>Estructura Programática:</w:t>
      </w:r>
      <w:r>
        <w:rPr>
          <w:sz w:val="22"/>
          <w:szCs w:val="22"/>
        </w:rPr>
        <w:t xml:space="preserve"> Conjunto de categorías y elementos ordenados en forma coherente, el cual define las acciones que efectúan los</w:t>
      </w:r>
      <w:r>
        <w:rPr>
          <w:sz w:val="22"/>
          <w:szCs w:val="22"/>
        </w:rPr>
        <w:t xml:space="preserve"> Ejecutores de gasto para alcanzar sus objetivos y metas de acuerdo con las políticas definidas en el Plan Estatal de Desarrollo, programas y presupuestos; ordena y clasifica las acciones de los Ejecutores de gasto para delimitar la aplicación del gasto y </w:t>
      </w:r>
      <w:r>
        <w:rPr>
          <w:sz w:val="22"/>
          <w:szCs w:val="22"/>
        </w:rPr>
        <w:t xml:space="preserve">permite conocer el resultado esperado de la utilización de los recursos públicos; </w:t>
      </w:r>
    </w:p>
    <w:p w14:paraId="4F6CD7AE" w14:textId="77777777" w:rsidR="00C6733C" w:rsidRDefault="00C6733C">
      <w:pPr>
        <w:pStyle w:val="Prrafodelista"/>
        <w:spacing w:before="0"/>
      </w:pPr>
    </w:p>
    <w:p w14:paraId="1D9B032F" w14:textId="77777777" w:rsidR="00C6733C" w:rsidRDefault="006D0638">
      <w:pPr>
        <w:pStyle w:val="Textoindependiente"/>
        <w:numPr>
          <w:ilvl w:val="0"/>
          <w:numId w:val="10"/>
        </w:numPr>
        <w:jc w:val="both"/>
        <w:rPr>
          <w:sz w:val="22"/>
          <w:szCs w:val="22"/>
        </w:rPr>
      </w:pPr>
      <w:r>
        <w:rPr>
          <w:b/>
          <w:sz w:val="22"/>
          <w:szCs w:val="22"/>
        </w:rPr>
        <w:t>Gasto Corriente:</w:t>
      </w:r>
      <w:r>
        <w:rPr>
          <w:sz w:val="22"/>
          <w:szCs w:val="22"/>
        </w:rPr>
        <w:t xml:space="preserve"> Erogación que realiza el sector público y que no tiene como contrapartida la creación de un activo, sino que constituye un acto de consumo; esto es, los ga</w:t>
      </w:r>
      <w:r>
        <w:rPr>
          <w:sz w:val="22"/>
          <w:szCs w:val="22"/>
        </w:rPr>
        <w:t>stos que se destinan a la contratación de los recursos humanos y a la compra de los bienes y servicios necesarios para el desarrollo propio de las funciones administrativas;</w:t>
      </w:r>
    </w:p>
    <w:p w14:paraId="5ED5D4CD" w14:textId="77777777" w:rsidR="00C6733C" w:rsidRDefault="00C6733C">
      <w:pPr>
        <w:pStyle w:val="Prrafodelista"/>
        <w:spacing w:before="0"/>
      </w:pPr>
    </w:p>
    <w:p w14:paraId="4C519530" w14:textId="77777777" w:rsidR="00C6733C" w:rsidRDefault="006D0638">
      <w:pPr>
        <w:pStyle w:val="Textoindependiente"/>
        <w:numPr>
          <w:ilvl w:val="0"/>
          <w:numId w:val="10"/>
        </w:numPr>
        <w:jc w:val="both"/>
        <w:rPr>
          <w:sz w:val="22"/>
          <w:szCs w:val="22"/>
        </w:rPr>
      </w:pPr>
      <w:r>
        <w:rPr>
          <w:b/>
          <w:sz w:val="22"/>
          <w:szCs w:val="22"/>
        </w:rPr>
        <w:t>Gasto Federalizado:</w:t>
      </w:r>
      <w:r>
        <w:rPr>
          <w:sz w:val="22"/>
          <w:szCs w:val="22"/>
        </w:rPr>
        <w:t xml:space="preserve"> El gasto Federalizado Etiquetado se integra por los recursos </w:t>
      </w:r>
      <w:r>
        <w:rPr>
          <w:sz w:val="22"/>
          <w:szCs w:val="22"/>
        </w:rPr>
        <w:t xml:space="preserve">del gobierno federal que transfiere a los Estados y Municipios a través de aportaciones federales, los apoyos para las entidades federativas y los convenios de descentralización. Estos recursos provenientes de la federación son empleados por los Gobiernos </w:t>
      </w:r>
      <w:r>
        <w:rPr>
          <w:sz w:val="22"/>
          <w:szCs w:val="22"/>
        </w:rPr>
        <w:t>Estatales para complementar sus respectivos gastos en educación, salud, infraestructura social, seguridad pública, sistemas de pensiones, deuda pública, entre otros;</w:t>
      </w:r>
    </w:p>
    <w:p w14:paraId="70D52EAC" w14:textId="77777777" w:rsidR="00C6733C" w:rsidRDefault="00C6733C">
      <w:pPr>
        <w:pStyle w:val="Prrafodelista"/>
        <w:spacing w:before="0"/>
      </w:pPr>
    </w:p>
    <w:p w14:paraId="3D6C6D54" w14:textId="77777777" w:rsidR="00C6733C" w:rsidRDefault="006D0638">
      <w:pPr>
        <w:pStyle w:val="Textoindependiente"/>
        <w:numPr>
          <w:ilvl w:val="0"/>
          <w:numId w:val="10"/>
        </w:numPr>
        <w:jc w:val="both"/>
        <w:rPr>
          <w:sz w:val="22"/>
          <w:szCs w:val="22"/>
        </w:rPr>
      </w:pPr>
      <w:r>
        <w:rPr>
          <w:b/>
          <w:sz w:val="22"/>
          <w:szCs w:val="22"/>
        </w:rPr>
        <w:t>Gasto de Inversión o Capital:</w:t>
      </w:r>
      <w:r>
        <w:rPr>
          <w:sz w:val="22"/>
          <w:szCs w:val="22"/>
        </w:rPr>
        <w:t xml:space="preserve"> Las erogaciones tendientes a adquirir, ampliar, conservar y</w:t>
      </w:r>
      <w:r>
        <w:rPr>
          <w:sz w:val="22"/>
          <w:szCs w:val="22"/>
        </w:rPr>
        <w:t xml:space="preserve"> mejorar bienes de capital, incluyendo también la adquisición de acciones y títulos de crédito de terceros, construcción de obras públicas y desarrollo de acciones para promover el incremento de la capacidad productiva de los diversos sectores de la econom</w:t>
      </w:r>
      <w:r>
        <w:rPr>
          <w:sz w:val="22"/>
          <w:szCs w:val="22"/>
        </w:rPr>
        <w:t xml:space="preserve">ía; </w:t>
      </w:r>
    </w:p>
    <w:p w14:paraId="03AAF846" w14:textId="77777777" w:rsidR="00C6733C" w:rsidRDefault="00C6733C">
      <w:pPr>
        <w:pStyle w:val="Prrafodelista"/>
        <w:spacing w:before="0"/>
      </w:pPr>
    </w:p>
    <w:p w14:paraId="51035737" w14:textId="77777777" w:rsidR="00C6733C" w:rsidRDefault="006D0638">
      <w:pPr>
        <w:pStyle w:val="Textoindependiente"/>
        <w:numPr>
          <w:ilvl w:val="0"/>
          <w:numId w:val="10"/>
        </w:numPr>
        <w:jc w:val="both"/>
        <w:rPr>
          <w:sz w:val="22"/>
          <w:szCs w:val="22"/>
        </w:rPr>
      </w:pPr>
      <w:r>
        <w:rPr>
          <w:b/>
          <w:sz w:val="22"/>
          <w:szCs w:val="22"/>
        </w:rPr>
        <w:t>Gasto no Programable:</w:t>
      </w:r>
      <w:r>
        <w:rPr>
          <w:sz w:val="22"/>
          <w:szCs w:val="22"/>
        </w:rPr>
        <w:t xml:space="preserve"> Los recursos que se destinan al cumplimiento de los fines y funciones propias del Estado y que por su naturaleza no están asociados a programas presupuestarios específicos; </w:t>
      </w:r>
    </w:p>
    <w:p w14:paraId="0835C541" w14:textId="77777777" w:rsidR="00C6733C" w:rsidRDefault="00C6733C">
      <w:pPr>
        <w:pStyle w:val="Prrafodelista"/>
        <w:spacing w:before="0"/>
      </w:pPr>
    </w:p>
    <w:p w14:paraId="11DD1426" w14:textId="77777777" w:rsidR="00C6733C" w:rsidRDefault="006D0638">
      <w:pPr>
        <w:pStyle w:val="Textoindependiente"/>
        <w:numPr>
          <w:ilvl w:val="0"/>
          <w:numId w:val="10"/>
        </w:numPr>
        <w:jc w:val="both"/>
        <w:rPr>
          <w:sz w:val="22"/>
          <w:szCs w:val="22"/>
        </w:rPr>
      </w:pPr>
      <w:r>
        <w:rPr>
          <w:b/>
          <w:sz w:val="22"/>
          <w:szCs w:val="22"/>
        </w:rPr>
        <w:t xml:space="preserve">Gasto Programable: </w:t>
      </w:r>
      <w:r>
        <w:rPr>
          <w:sz w:val="22"/>
          <w:szCs w:val="22"/>
        </w:rPr>
        <w:t>Los recursos que se destinan al cu</w:t>
      </w:r>
      <w:r>
        <w:rPr>
          <w:sz w:val="22"/>
          <w:szCs w:val="22"/>
        </w:rPr>
        <w:t>mplimiento de los fines y funciones propias del Estado, por lo cual, están directamente relacionados con los programas presupuestarios a cargo de los Ejecutores de gasto previamente establecidos para alcanzar los objetivos y metas, que tienen un efecto dir</w:t>
      </w:r>
      <w:r>
        <w:rPr>
          <w:sz w:val="22"/>
          <w:szCs w:val="22"/>
        </w:rPr>
        <w:t xml:space="preserve">ecto en la actividad económica y social; </w:t>
      </w:r>
    </w:p>
    <w:p w14:paraId="695ABEDC" w14:textId="77777777" w:rsidR="00C6733C" w:rsidRDefault="00C6733C">
      <w:pPr>
        <w:pStyle w:val="Prrafodelista"/>
        <w:spacing w:before="0"/>
      </w:pPr>
    </w:p>
    <w:p w14:paraId="5958DB95" w14:textId="77777777" w:rsidR="00C6733C" w:rsidRDefault="006D0638">
      <w:pPr>
        <w:pStyle w:val="Textoindependiente"/>
        <w:numPr>
          <w:ilvl w:val="0"/>
          <w:numId w:val="10"/>
        </w:numPr>
        <w:jc w:val="both"/>
        <w:rPr>
          <w:sz w:val="22"/>
          <w:szCs w:val="22"/>
        </w:rPr>
      </w:pPr>
      <w:r>
        <w:rPr>
          <w:b/>
          <w:sz w:val="22"/>
          <w:szCs w:val="22"/>
        </w:rPr>
        <w:t xml:space="preserve">Indicador: </w:t>
      </w:r>
      <w:r>
        <w:rPr>
          <w:sz w:val="22"/>
          <w:szCs w:val="22"/>
        </w:rPr>
        <w:t>Instrumento que permite medir el logro de los objetivos de los programas presupuestarios y es un referente para el seguimiento de los avances y para la evaluación de los resultados alcanzados, pueden se</w:t>
      </w:r>
      <w:r>
        <w:rPr>
          <w:sz w:val="22"/>
          <w:szCs w:val="22"/>
        </w:rPr>
        <w:t xml:space="preserve">r indicadores estratégicos y de gestión; </w:t>
      </w:r>
    </w:p>
    <w:p w14:paraId="40ECBEEB" w14:textId="77777777" w:rsidR="00C6733C" w:rsidRDefault="00C6733C">
      <w:pPr>
        <w:pStyle w:val="Prrafodelista"/>
        <w:spacing w:before="0"/>
      </w:pPr>
    </w:p>
    <w:p w14:paraId="55650467" w14:textId="77777777" w:rsidR="00C6733C" w:rsidRDefault="006D0638">
      <w:pPr>
        <w:pStyle w:val="Textoindependiente"/>
        <w:numPr>
          <w:ilvl w:val="0"/>
          <w:numId w:val="10"/>
        </w:numPr>
        <w:jc w:val="both"/>
        <w:rPr>
          <w:sz w:val="22"/>
          <w:szCs w:val="22"/>
        </w:rPr>
      </w:pPr>
      <w:r>
        <w:rPr>
          <w:b/>
          <w:sz w:val="22"/>
          <w:szCs w:val="22"/>
        </w:rPr>
        <w:t>Instancia Técnica de Evaluación:</w:t>
      </w:r>
      <w:r>
        <w:rPr>
          <w:sz w:val="22"/>
          <w:szCs w:val="22"/>
        </w:rPr>
        <w:t xml:space="preserve"> Área encargada de la evaluación de los programas a partir de las Matrices de Indicadores de Resultados de cada uno de ellos; </w:t>
      </w:r>
    </w:p>
    <w:p w14:paraId="1F66C4C1" w14:textId="77777777" w:rsidR="00C6733C" w:rsidRDefault="00C6733C">
      <w:pPr>
        <w:pStyle w:val="Textoindependiente"/>
        <w:ind w:left="1080"/>
        <w:jc w:val="both"/>
        <w:rPr>
          <w:sz w:val="22"/>
          <w:szCs w:val="22"/>
        </w:rPr>
      </w:pPr>
    </w:p>
    <w:p w14:paraId="4496D1B7" w14:textId="77777777" w:rsidR="00C6733C" w:rsidRDefault="006D0638">
      <w:pPr>
        <w:pStyle w:val="Textoindependiente"/>
        <w:numPr>
          <w:ilvl w:val="0"/>
          <w:numId w:val="10"/>
        </w:numPr>
        <w:jc w:val="both"/>
        <w:rPr>
          <w:sz w:val="22"/>
          <w:szCs w:val="22"/>
        </w:rPr>
      </w:pPr>
      <w:r>
        <w:rPr>
          <w:b/>
          <w:sz w:val="22"/>
          <w:szCs w:val="22"/>
        </w:rPr>
        <w:t>Ley:</w:t>
      </w:r>
      <w:r>
        <w:rPr>
          <w:sz w:val="22"/>
          <w:szCs w:val="22"/>
        </w:rPr>
        <w:t xml:space="preserve"> Ley Estatal de Presupuesto y Responsabilidad Hac</w:t>
      </w:r>
      <w:r>
        <w:rPr>
          <w:sz w:val="22"/>
          <w:szCs w:val="22"/>
        </w:rPr>
        <w:t xml:space="preserve">endaria; </w:t>
      </w:r>
    </w:p>
    <w:p w14:paraId="68F83CC2" w14:textId="77777777" w:rsidR="00C6733C" w:rsidRDefault="00C6733C">
      <w:pPr>
        <w:pStyle w:val="Prrafodelista"/>
        <w:spacing w:before="0"/>
      </w:pPr>
    </w:p>
    <w:p w14:paraId="163FD22B" w14:textId="77777777" w:rsidR="00C6733C" w:rsidRDefault="006D0638">
      <w:pPr>
        <w:pStyle w:val="Textoindependiente"/>
        <w:numPr>
          <w:ilvl w:val="0"/>
          <w:numId w:val="10"/>
        </w:numPr>
        <w:jc w:val="both"/>
        <w:rPr>
          <w:sz w:val="22"/>
          <w:szCs w:val="22"/>
        </w:rPr>
      </w:pPr>
      <w:r>
        <w:rPr>
          <w:b/>
          <w:sz w:val="22"/>
          <w:szCs w:val="22"/>
        </w:rPr>
        <w:t>Ley de Adquisiciones:</w:t>
      </w:r>
      <w:r>
        <w:rPr>
          <w:sz w:val="22"/>
          <w:szCs w:val="22"/>
        </w:rPr>
        <w:t xml:space="preserve"> Ley de Adquisiciones, Enajenaciones, Arrendamientos, Prestación de Servicios y Administración de Bienes Muebles e Inmuebles del Estado de Oaxaca; </w:t>
      </w:r>
    </w:p>
    <w:p w14:paraId="296E807B" w14:textId="77777777" w:rsidR="00C6733C" w:rsidRDefault="00C6733C">
      <w:pPr>
        <w:pStyle w:val="Prrafodelista"/>
        <w:spacing w:before="0"/>
      </w:pPr>
    </w:p>
    <w:p w14:paraId="0F43C5C1" w14:textId="77777777" w:rsidR="00C6733C" w:rsidRDefault="006D0638">
      <w:pPr>
        <w:pStyle w:val="Textoindependiente"/>
        <w:numPr>
          <w:ilvl w:val="0"/>
          <w:numId w:val="10"/>
        </w:numPr>
        <w:jc w:val="both"/>
        <w:rPr>
          <w:sz w:val="22"/>
          <w:szCs w:val="22"/>
        </w:rPr>
      </w:pPr>
      <w:r>
        <w:rPr>
          <w:b/>
          <w:sz w:val="22"/>
          <w:szCs w:val="22"/>
        </w:rPr>
        <w:t>Ley de Disciplina:</w:t>
      </w:r>
      <w:r>
        <w:rPr>
          <w:sz w:val="22"/>
          <w:szCs w:val="22"/>
        </w:rPr>
        <w:t xml:space="preserve"> Ley de Disciplina Financiera de las Entidades Federativas y los Municipios; </w:t>
      </w:r>
    </w:p>
    <w:p w14:paraId="36063323" w14:textId="77777777" w:rsidR="00C6733C" w:rsidRDefault="00C6733C">
      <w:pPr>
        <w:pStyle w:val="Prrafodelista"/>
        <w:spacing w:before="0"/>
      </w:pPr>
    </w:p>
    <w:p w14:paraId="26E49E22" w14:textId="77777777" w:rsidR="00C6733C" w:rsidRDefault="006D0638">
      <w:pPr>
        <w:pStyle w:val="Textoindependiente"/>
        <w:numPr>
          <w:ilvl w:val="0"/>
          <w:numId w:val="10"/>
        </w:numPr>
        <w:jc w:val="both"/>
        <w:rPr>
          <w:sz w:val="22"/>
          <w:szCs w:val="22"/>
        </w:rPr>
      </w:pPr>
      <w:r>
        <w:rPr>
          <w:b/>
          <w:sz w:val="22"/>
          <w:szCs w:val="22"/>
        </w:rPr>
        <w:t>Ley de Responsabilidades:</w:t>
      </w:r>
      <w:r>
        <w:rPr>
          <w:sz w:val="22"/>
          <w:szCs w:val="22"/>
        </w:rPr>
        <w:t xml:space="preserve"> Ley de Responsabilidades de los Servidores Públicos del Estado y Municipios de Oaxaca; </w:t>
      </w:r>
    </w:p>
    <w:p w14:paraId="2B933EB7" w14:textId="77777777" w:rsidR="00C6733C" w:rsidRDefault="00C6733C">
      <w:pPr>
        <w:pStyle w:val="Prrafodelista"/>
        <w:spacing w:before="0"/>
      </w:pPr>
    </w:p>
    <w:p w14:paraId="4AD9CD71" w14:textId="77777777" w:rsidR="00C6733C" w:rsidRDefault="006D0638">
      <w:pPr>
        <w:pStyle w:val="Textoindependiente"/>
        <w:numPr>
          <w:ilvl w:val="0"/>
          <w:numId w:val="10"/>
        </w:numPr>
        <w:jc w:val="both"/>
        <w:rPr>
          <w:sz w:val="22"/>
          <w:szCs w:val="22"/>
        </w:rPr>
      </w:pPr>
      <w:r>
        <w:rPr>
          <w:b/>
          <w:sz w:val="22"/>
          <w:szCs w:val="22"/>
        </w:rPr>
        <w:t>Ley de Responsabilidades Administrativas:</w:t>
      </w:r>
      <w:r>
        <w:rPr>
          <w:sz w:val="22"/>
          <w:szCs w:val="22"/>
        </w:rPr>
        <w:t xml:space="preserve"> Ley de Responsabilid</w:t>
      </w:r>
      <w:r>
        <w:rPr>
          <w:sz w:val="22"/>
          <w:szCs w:val="22"/>
        </w:rPr>
        <w:t>ades Administrativas del Estado y Municipios de Oaxaca;</w:t>
      </w:r>
    </w:p>
    <w:p w14:paraId="20AB5586" w14:textId="77777777" w:rsidR="00C6733C" w:rsidRDefault="00C6733C">
      <w:pPr>
        <w:pStyle w:val="Textoindependiente"/>
        <w:ind w:left="1080"/>
        <w:jc w:val="both"/>
        <w:rPr>
          <w:sz w:val="22"/>
          <w:szCs w:val="22"/>
        </w:rPr>
      </w:pPr>
    </w:p>
    <w:p w14:paraId="67FCB79D" w14:textId="77777777" w:rsidR="00C6733C" w:rsidRDefault="006D0638">
      <w:pPr>
        <w:pStyle w:val="Textoindependiente"/>
        <w:numPr>
          <w:ilvl w:val="0"/>
          <w:numId w:val="10"/>
        </w:numPr>
        <w:jc w:val="both"/>
        <w:rPr>
          <w:sz w:val="22"/>
          <w:szCs w:val="22"/>
        </w:rPr>
      </w:pPr>
      <w:r>
        <w:rPr>
          <w:b/>
          <w:sz w:val="22"/>
          <w:szCs w:val="22"/>
        </w:rPr>
        <w:t xml:space="preserve">Ley General: </w:t>
      </w:r>
      <w:r>
        <w:rPr>
          <w:sz w:val="22"/>
          <w:szCs w:val="22"/>
        </w:rPr>
        <w:t xml:space="preserve">Ley General de Contabilidad Gubernamental; </w:t>
      </w:r>
    </w:p>
    <w:p w14:paraId="651CFC3E" w14:textId="77777777" w:rsidR="00C6733C" w:rsidRDefault="00C6733C">
      <w:pPr>
        <w:pStyle w:val="Prrafodelista"/>
        <w:spacing w:before="0"/>
      </w:pPr>
    </w:p>
    <w:p w14:paraId="2405BA2E" w14:textId="77777777" w:rsidR="00C6733C" w:rsidRDefault="006D0638">
      <w:pPr>
        <w:pStyle w:val="Textoindependiente"/>
        <w:numPr>
          <w:ilvl w:val="0"/>
          <w:numId w:val="10"/>
        </w:numPr>
        <w:jc w:val="both"/>
        <w:rPr>
          <w:sz w:val="22"/>
          <w:szCs w:val="22"/>
        </w:rPr>
      </w:pPr>
      <w:r>
        <w:rPr>
          <w:b/>
          <w:sz w:val="22"/>
          <w:szCs w:val="22"/>
        </w:rPr>
        <w:t>Órganos Autónomos:</w:t>
      </w:r>
      <w:r>
        <w:rPr>
          <w:sz w:val="22"/>
          <w:szCs w:val="22"/>
        </w:rPr>
        <w:t xml:space="preserve"> Entes de derecho público de carácter estatal con patrimonio y personalidad jurídica, con autonomía en el ejercicio de sus </w:t>
      </w:r>
      <w:r>
        <w:rPr>
          <w:sz w:val="22"/>
          <w:szCs w:val="22"/>
        </w:rPr>
        <w:t xml:space="preserve">funciones y en su administración, creados por disposición expresa de la Constitución Política del Estado Libre y Soberano de Oaxaca, a los que se asignen recursos del Presupuesto de Egresos; </w:t>
      </w:r>
    </w:p>
    <w:p w14:paraId="0AC44085" w14:textId="77777777" w:rsidR="00C6733C" w:rsidRDefault="00C6733C">
      <w:pPr>
        <w:pStyle w:val="Prrafodelista"/>
        <w:spacing w:before="0"/>
      </w:pPr>
    </w:p>
    <w:p w14:paraId="25EBDE92" w14:textId="77777777" w:rsidR="00C6733C" w:rsidRDefault="006D0638">
      <w:pPr>
        <w:pStyle w:val="Textoindependiente"/>
        <w:numPr>
          <w:ilvl w:val="0"/>
          <w:numId w:val="10"/>
        </w:numPr>
        <w:jc w:val="both"/>
        <w:rPr>
          <w:sz w:val="22"/>
          <w:szCs w:val="22"/>
        </w:rPr>
      </w:pPr>
      <w:r>
        <w:rPr>
          <w:b/>
          <w:sz w:val="22"/>
          <w:szCs w:val="22"/>
        </w:rPr>
        <w:t>Órgano de Fiscalización:</w:t>
      </w:r>
      <w:r>
        <w:rPr>
          <w:sz w:val="22"/>
          <w:szCs w:val="22"/>
        </w:rPr>
        <w:t xml:space="preserve"> Órgano Superior de Fiscalización del E</w:t>
      </w:r>
      <w:r>
        <w:rPr>
          <w:sz w:val="22"/>
          <w:szCs w:val="22"/>
        </w:rPr>
        <w:t xml:space="preserve">stado de Oaxaca; </w:t>
      </w:r>
    </w:p>
    <w:p w14:paraId="64C65FFA" w14:textId="77777777" w:rsidR="00C6733C" w:rsidRDefault="00C6733C">
      <w:pPr>
        <w:pStyle w:val="Prrafodelista"/>
        <w:spacing w:before="0"/>
      </w:pPr>
    </w:p>
    <w:p w14:paraId="295CEAF7" w14:textId="77777777" w:rsidR="00C6733C" w:rsidRDefault="006D0638">
      <w:pPr>
        <w:pStyle w:val="Textoindependiente"/>
        <w:numPr>
          <w:ilvl w:val="0"/>
          <w:numId w:val="10"/>
        </w:numPr>
        <w:jc w:val="both"/>
        <w:rPr>
          <w:sz w:val="22"/>
          <w:szCs w:val="22"/>
        </w:rPr>
      </w:pPr>
      <w:r>
        <w:rPr>
          <w:b/>
          <w:sz w:val="22"/>
          <w:szCs w:val="22"/>
        </w:rPr>
        <w:t>Presupuesto de Egresos:</w:t>
      </w:r>
      <w:r>
        <w:rPr>
          <w:sz w:val="22"/>
          <w:szCs w:val="22"/>
        </w:rPr>
        <w:t xml:space="preserve"> Montos presupuestarios aprobados en este Decreto; </w:t>
      </w:r>
    </w:p>
    <w:p w14:paraId="6CAEC3D8" w14:textId="77777777" w:rsidR="00C6733C" w:rsidRDefault="00C6733C">
      <w:pPr>
        <w:pStyle w:val="Prrafodelista"/>
        <w:spacing w:before="0"/>
      </w:pPr>
    </w:p>
    <w:p w14:paraId="079C2591" w14:textId="77777777" w:rsidR="00C6733C" w:rsidRDefault="006D0638">
      <w:pPr>
        <w:pStyle w:val="Textoindependiente"/>
        <w:numPr>
          <w:ilvl w:val="0"/>
          <w:numId w:val="10"/>
        </w:numPr>
        <w:jc w:val="both"/>
        <w:rPr>
          <w:sz w:val="22"/>
          <w:szCs w:val="22"/>
        </w:rPr>
      </w:pPr>
      <w:r>
        <w:rPr>
          <w:b/>
          <w:sz w:val="22"/>
          <w:szCs w:val="22"/>
        </w:rPr>
        <w:t>Reglamento:</w:t>
      </w:r>
      <w:r>
        <w:rPr>
          <w:sz w:val="22"/>
          <w:szCs w:val="22"/>
        </w:rPr>
        <w:t xml:space="preserve"> Reglamento de la Ley Estatal de Presupuesto y Responsabilidad Hacendaria; </w:t>
      </w:r>
    </w:p>
    <w:p w14:paraId="0C59D4F7" w14:textId="77777777" w:rsidR="00C6733C" w:rsidRDefault="00C6733C">
      <w:pPr>
        <w:pStyle w:val="Prrafodelista"/>
        <w:spacing w:before="0"/>
      </w:pPr>
    </w:p>
    <w:p w14:paraId="6D4BBE6D" w14:textId="77777777" w:rsidR="00C6733C" w:rsidRDefault="006D0638">
      <w:pPr>
        <w:pStyle w:val="Textoindependiente"/>
        <w:numPr>
          <w:ilvl w:val="0"/>
          <w:numId w:val="10"/>
        </w:numPr>
        <w:jc w:val="both"/>
        <w:rPr>
          <w:sz w:val="22"/>
          <w:szCs w:val="22"/>
        </w:rPr>
      </w:pPr>
      <w:r>
        <w:rPr>
          <w:b/>
          <w:sz w:val="22"/>
          <w:szCs w:val="22"/>
        </w:rPr>
        <w:t>Secretaría:</w:t>
      </w:r>
      <w:r>
        <w:rPr>
          <w:sz w:val="22"/>
          <w:szCs w:val="22"/>
        </w:rPr>
        <w:t xml:space="preserve"> Secretaría de Finanzas del Poder Ejecutivo del Estado; </w:t>
      </w:r>
    </w:p>
    <w:p w14:paraId="0DD54C5E" w14:textId="77777777" w:rsidR="00C6733C" w:rsidRDefault="00C6733C">
      <w:pPr>
        <w:pStyle w:val="Textoindependiente"/>
        <w:ind w:left="1080"/>
        <w:jc w:val="both"/>
        <w:rPr>
          <w:sz w:val="22"/>
          <w:szCs w:val="22"/>
        </w:rPr>
      </w:pPr>
    </w:p>
    <w:p w14:paraId="4ADF73DC" w14:textId="77777777" w:rsidR="00C6733C" w:rsidRDefault="006D0638">
      <w:pPr>
        <w:pStyle w:val="Textoindependiente"/>
        <w:numPr>
          <w:ilvl w:val="0"/>
          <w:numId w:val="10"/>
        </w:numPr>
        <w:jc w:val="both"/>
        <w:rPr>
          <w:sz w:val="22"/>
          <w:szCs w:val="22"/>
        </w:rPr>
      </w:pPr>
      <w:r>
        <w:rPr>
          <w:b/>
          <w:sz w:val="22"/>
          <w:szCs w:val="22"/>
        </w:rPr>
        <w:t>Sist</w:t>
      </w:r>
      <w:r>
        <w:rPr>
          <w:b/>
          <w:sz w:val="22"/>
          <w:szCs w:val="22"/>
        </w:rPr>
        <w:t>ema Electrónico:</w:t>
      </w:r>
      <w:r>
        <w:rPr>
          <w:sz w:val="22"/>
          <w:szCs w:val="22"/>
        </w:rPr>
        <w:t xml:space="preserve"> Sistema informático determinado por la Secretaría para que las Dependencias y Entidades realicen los registros financieros, presupuestarios, contables y de avance de metas e indicadores de la Matriz de Indicadores para Resultados (MIR);</w:t>
      </w:r>
    </w:p>
    <w:p w14:paraId="796CA439" w14:textId="77777777" w:rsidR="00C6733C" w:rsidRDefault="00C6733C">
      <w:pPr>
        <w:pStyle w:val="Prrafodelista"/>
        <w:spacing w:before="0"/>
      </w:pPr>
    </w:p>
    <w:p w14:paraId="57E50EB9" w14:textId="77777777" w:rsidR="00C6733C" w:rsidRDefault="006D0638">
      <w:pPr>
        <w:pStyle w:val="Textoindependiente"/>
        <w:numPr>
          <w:ilvl w:val="0"/>
          <w:numId w:val="10"/>
        </w:numPr>
        <w:jc w:val="both"/>
        <w:rPr>
          <w:sz w:val="22"/>
          <w:szCs w:val="22"/>
        </w:rPr>
      </w:pPr>
      <w:r>
        <w:rPr>
          <w:b/>
          <w:sz w:val="22"/>
          <w:szCs w:val="22"/>
        </w:rPr>
        <w:t>S</w:t>
      </w:r>
      <w:r>
        <w:rPr>
          <w:b/>
          <w:sz w:val="22"/>
          <w:szCs w:val="22"/>
        </w:rPr>
        <w:t xml:space="preserve">ubsidios: </w:t>
      </w:r>
      <w:r>
        <w:rPr>
          <w:sz w:val="22"/>
          <w:szCs w:val="22"/>
        </w:rPr>
        <w:t>Las asignaciones de Recursos Públicos que se destinan al desarrollo de actividades productivas prioritarias consideradas de interés general, así como proporcionar a usuarios y consumidores, bienes y servicios básicos a precios y tarifas por debaj</w:t>
      </w:r>
      <w:r>
        <w:rPr>
          <w:sz w:val="22"/>
          <w:szCs w:val="22"/>
        </w:rPr>
        <w:t xml:space="preserve">o de los del mercado o de forma gratuita y su otorgamiento no implica contraprestación alguna; </w:t>
      </w:r>
    </w:p>
    <w:p w14:paraId="0972BE54" w14:textId="77777777" w:rsidR="00C6733C" w:rsidRDefault="00C6733C">
      <w:pPr>
        <w:pStyle w:val="Textoindependiente"/>
        <w:ind w:left="1080"/>
        <w:jc w:val="both"/>
        <w:rPr>
          <w:sz w:val="22"/>
          <w:szCs w:val="22"/>
        </w:rPr>
      </w:pPr>
    </w:p>
    <w:p w14:paraId="11FC5E4E" w14:textId="77777777" w:rsidR="00C6733C" w:rsidRDefault="006D0638">
      <w:pPr>
        <w:pStyle w:val="Textoindependiente"/>
        <w:numPr>
          <w:ilvl w:val="0"/>
          <w:numId w:val="10"/>
        </w:numPr>
        <w:jc w:val="both"/>
        <w:rPr>
          <w:sz w:val="22"/>
          <w:szCs w:val="22"/>
        </w:rPr>
      </w:pPr>
      <w:r>
        <w:rPr>
          <w:b/>
          <w:sz w:val="22"/>
          <w:szCs w:val="22"/>
        </w:rPr>
        <w:t xml:space="preserve">Unidades de administración: </w:t>
      </w:r>
      <w:r>
        <w:rPr>
          <w:sz w:val="22"/>
          <w:szCs w:val="22"/>
        </w:rPr>
        <w:t>Órganos o unidades administrativas de los Ejecutores de gasto, establecidos en los términos de sus respectivas leyes orgánicas, y</w:t>
      </w:r>
    </w:p>
    <w:p w14:paraId="19BA9C3F" w14:textId="77777777" w:rsidR="00C6733C" w:rsidRDefault="00C6733C">
      <w:pPr>
        <w:pStyle w:val="Textoindependiente"/>
        <w:ind w:left="1080"/>
        <w:jc w:val="both"/>
        <w:rPr>
          <w:sz w:val="22"/>
          <w:szCs w:val="22"/>
        </w:rPr>
      </w:pPr>
    </w:p>
    <w:p w14:paraId="2708E26C" w14:textId="77777777" w:rsidR="00C6733C" w:rsidRDefault="006D0638">
      <w:pPr>
        <w:pStyle w:val="Textoindependiente"/>
        <w:numPr>
          <w:ilvl w:val="0"/>
          <w:numId w:val="10"/>
        </w:numPr>
        <w:jc w:val="both"/>
        <w:rPr>
          <w:sz w:val="22"/>
          <w:szCs w:val="22"/>
        </w:rPr>
      </w:pPr>
      <w:r>
        <w:rPr>
          <w:b/>
          <w:sz w:val="22"/>
          <w:szCs w:val="22"/>
        </w:rPr>
        <w:t>Unidad Responsable:</w:t>
      </w:r>
      <w:r>
        <w:rPr>
          <w:sz w:val="22"/>
          <w:szCs w:val="22"/>
        </w:rPr>
        <w:t xml:space="preserve"> Para efectos presupuestales, los Poderes Legislativo y Judicial; Órganos Autónomos; Dependencias y Entidades del Poder Ejecutivo, obligadas a rendir cuentas sobre la aplicación, ejercicio, control y evaluación de los programas comprendi</w:t>
      </w:r>
      <w:r>
        <w:rPr>
          <w:sz w:val="22"/>
          <w:szCs w:val="22"/>
        </w:rPr>
        <w:t xml:space="preserve">dos en este Decreto que contribuyen al cumplimiento del Plan Estatal de Desarrollo. </w:t>
      </w:r>
    </w:p>
    <w:p w14:paraId="1AE3124B" w14:textId="77777777" w:rsidR="00C6733C" w:rsidRDefault="00C6733C">
      <w:pPr>
        <w:pStyle w:val="Textoindependiente"/>
        <w:rPr>
          <w:rFonts w:asciiTheme="minorHAnsi" w:hAnsiTheme="minorHAnsi" w:cstheme="minorHAnsi"/>
          <w:sz w:val="22"/>
          <w:szCs w:val="22"/>
        </w:rPr>
      </w:pPr>
    </w:p>
    <w:p w14:paraId="14417E8C" w14:textId="77777777" w:rsidR="00C6733C" w:rsidRDefault="006D0638">
      <w:pPr>
        <w:pStyle w:val="Textoindependiente"/>
        <w:jc w:val="both"/>
        <w:rPr>
          <w:sz w:val="22"/>
          <w:szCs w:val="22"/>
        </w:rPr>
      </w:pPr>
      <w:r>
        <w:rPr>
          <w:b/>
          <w:sz w:val="22"/>
          <w:szCs w:val="22"/>
        </w:rPr>
        <w:t>Artículo 3.</w:t>
      </w:r>
      <w:r>
        <w:rPr>
          <w:sz w:val="22"/>
          <w:szCs w:val="22"/>
        </w:rPr>
        <w:t xml:space="preserve"> El ejercicio del gasto público se sujetará a la Ley, a los clasificadores: administrativo, funcional, programático, de financiamiento, geográfico, por tipo de gasto, por objeto de gasto y a las demás disposiciones que al efecto emita la Secretaría. </w:t>
      </w:r>
    </w:p>
    <w:p w14:paraId="2FA07649" w14:textId="77777777" w:rsidR="00C6733C" w:rsidRDefault="006D0638">
      <w:pPr>
        <w:pStyle w:val="Textoindependiente"/>
        <w:tabs>
          <w:tab w:val="left" w:pos="1214"/>
        </w:tabs>
        <w:jc w:val="both"/>
        <w:rPr>
          <w:sz w:val="22"/>
          <w:szCs w:val="22"/>
        </w:rPr>
      </w:pPr>
      <w:r>
        <w:rPr>
          <w:sz w:val="22"/>
          <w:szCs w:val="22"/>
        </w:rPr>
        <w:tab/>
      </w:r>
    </w:p>
    <w:p w14:paraId="39E6958D" w14:textId="77777777" w:rsidR="00C6733C" w:rsidRDefault="006D0638">
      <w:pPr>
        <w:pStyle w:val="Textoindependiente"/>
        <w:jc w:val="both"/>
        <w:rPr>
          <w:sz w:val="22"/>
          <w:szCs w:val="22"/>
        </w:rPr>
      </w:pPr>
      <w:r>
        <w:rPr>
          <w:sz w:val="22"/>
          <w:szCs w:val="22"/>
        </w:rPr>
        <w:t xml:space="preserve">La </w:t>
      </w:r>
      <w:r>
        <w:rPr>
          <w:sz w:val="22"/>
          <w:szCs w:val="22"/>
        </w:rPr>
        <w:t xml:space="preserve">evaluación de los programas respecto a los resultados, corresponderá a la Instancia Técnica de Evaluación; el seguimiento programático y presupuestario a la Secretaría, el control, inspección y vigilancia a la Contraloría. </w:t>
      </w:r>
    </w:p>
    <w:p w14:paraId="5E04238E" w14:textId="77777777" w:rsidR="00C6733C" w:rsidRDefault="00C6733C">
      <w:pPr>
        <w:pStyle w:val="Textoindependiente"/>
        <w:rPr>
          <w:sz w:val="22"/>
          <w:szCs w:val="22"/>
        </w:rPr>
      </w:pPr>
    </w:p>
    <w:p w14:paraId="5FD4D68D" w14:textId="77777777" w:rsidR="00C6733C" w:rsidRDefault="006D0638">
      <w:pPr>
        <w:pStyle w:val="Textoindependiente"/>
        <w:jc w:val="both"/>
        <w:rPr>
          <w:sz w:val="22"/>
          <w:szCs w:val="22"/>
        </w:rPr>
      </w:pPr>
      <w:r>
        <w:rPr>
          <w:b/>
          <w:sz w:val="22"/>
          <w:szCs w:val="22"/>
        </w:rPr>
        <w:t>Artículo 4.</w:t>
      </w:r>
      <w:r>
        <w:rPr>
          <w:sz w:val="22"/>
          <w:szCs w:val="22"/>
        </w:rPr>
        <w:t xml:space="preserve"> Los titulares de lo</w:t>
      </w:r>
      <w:r>
        <w:rPr>
          <w:sz w:val="22"/>
          <w:szCs w:val="22"/>
        </w:rPr>
        <w:t>s Ejecutores de gasto, de las Unidades de administración y los operativos, serán responsables de que el ejercicio de los recursos públicos se realice con base en criterios de legalidad, eficiencia, eficacia, economía, transparencia, honradez, racionalidad,</w:t>
      </w:r>
      <w:r>
        <w:rPr>
          <w:sz w:val="22"/>
          <w:szCs w:val="22"/>
        </w:rPr>
        <w:t xml:space="preserve"> austeridad, control, rendición de cuentas e igualdad de género, para lograr los objetivos a los que están destinados con base en lo siguiente: </w:t>
      </w:r>
    </w:p>
    <w:p w14:paraId="0337C282" w14:textId="77777777" w:rsidR="00C6733C" w:rsidRDefault="00C6733C">
      <w:pPr>
        <w:pStyle w:val="Textoindependiente"/>
        <w:rPr>
          <w:sz w:val="22"/>
          <w:szCs w:val="22"/>
        </w:rPr>
      </w:pPr>
    </w:p>
    <w:p w14:paraId="0D2D9C31" w14:textId="77777777" w:rsidR="00C6733C" w:rsidRDefault="006D0638">
      <w:pPr>
        <w:pStyle w:val="Prrafodelista"/>
        <w:numPr>
          <w:ilvl w:val="1"/>
          <w:numId w:val="8"/>
        </w:numPr>
        <w:tabs>
          <w:tab w:val="left" w:pos="567"/>
          <w:tab w:val="left" w:pos="6634"/>
        </w:tabs>
        <w:spacing w:before="0"/>
        <w:ind w:left="567" w:right="-29" w:hanging="280"/>
        <w:jc w:val="both"/>
      </w:pPr>
      <w:r>
        <w:t>Priorizar la asignación de los recursos a los programas para resultados, obras y acciones de alto impacto y be</w:t>
      </w:r>
      <w:r>
        <w:t xml:space="preserve">neficio social que incidan en el desarrollo económico y social; </w:t>
      </w:r>
    </w:p>
    <w:p w14:paraId="29CDC8AA" w14:textId="77777777" w:rsidR="00C6733C" w:rsidRDefault="00C6733C">
      <w:pPr>
        <w:tabs>
          <w:tab w:val="left" w:pos="567"/>
          <w:tab w:val="left" w:pos="6634"/>
        </w:tabs>
        <w:ind w:right="-29"/>
        <w:rPr>
          <w:rFonts w:ascii="Arial" w:eastAsia="Arial" w:hAnsi="Arial" w:cs="Arial"/>
        </w:rPr>
      </w:pPr>
    </w:p>
    <w:p w14:paraId="5697E974" w14:textId="77777777" w:rsidR="00C6733C" w:rsidRDefault="006D0638">
      <w:pPr>
        <w:pStyle w:val="Prrafodelista"/>
        <w:numPr>
          <w:ilvl w:val="1"/>
          <w:numId w:val="8"/>
        </w:numPr>
        <w:tabs>
          <w:tab w:val="left" w:pos="567"/>
          <w:tab w:val="left" w:pos="6634"/>
        </w:tabs>
        <w:spacing w:before="0"/>
        <w:ind w:left="567" w:right="-29" w:hanging="280"/>
        <w:jc w:val="both"/>
      </w:pPr>
      <w:r>
        <w:t xml:space="preserve">Garantizar la elevación de los niveles de calidad de vida en la población; </w:t>
      </w:r>
    </w:p>
    <w:p w14:paraId="1CE3F194" w14:textId="77777777" w:rsidR="00C6733C" w:rsidRDefault="00C6733C">
      <w:pPr>
        <w:rPr>
          <w:rFonts w:ascii="Arial" w:eastAsia="Arial" w:hAnsi="Arial" w:cs="Arial"/>
        </w:rPr>
      </w:pPr>
    </w:p>
    <w:p w14:paraId="6FB7823F" w14:textId="77777777" w:rsidR="00C6733C" w:rsidRDefault="006D0638">
      <w:pPr>
        <w:pStyle w:val="Prrafodelista"/>
        <w:numPr>
          <w:ilvl w:val="1"/>
          <w:numId w:val="8"/>
        </w:numPr>
        <w:tabs>
          <w:tab w:val="left" w:pos="567"/>
          <w:tab w:val="left" w:pos="6634"/>
        </w:tabs>
        <w:spacing w:before="0"/>
        <w:ind w:left="567" w:right="-29" w:hanging="280"/>
        <w:jc w:val="both"/>
      </w:pPr>
      <w:r>
        <w:t xml:space="preserve">Identificar la población objetivo, procurando atender a la de menor ingreso; </w:t>
      </w:r>
    </w:p>
    <w:p w14:paraId="6E0C8FAA" w14:textId="77777777" w:rsidR="00C6733C" w:rsidRDefault="00C6733C">
      <w:pPr>
        <w:rPr>
          <w:rFonts w:ascii="Arial" w:eastAsia="Arial" w:hAnsi="Arial" w:cs="Arial"/>
        </w:rPr>
      </w:pPr>
    </w:p>
    <w:p w14:paraId="72F0526F" w14:textId="77777777" w:rsidR="00C6733C" w:rsidRDefault="006D0638">
      <w:pPr>
        <w:pStyle w:val="Prrafodelista"/>
        <w:numPr>
          <w:ilvl w:val="1"/>
          <w:numId w:val="8"/>
        </w:numPr>
        <w:tabs>
          <w:tab w:val="left" w:pos="567"/>
          <w:tab w:val="left" w:pos="6634"/>
        </w:tabs>
        <w:spacing w:before="0"/>
        <w:ind w:left="567" w:right="-29" w:hanging="280"/>
        <w:jc w:val="both"/>
      </w:pPr>
      <w:r>
        <w:t>Consolidar la estructura presupues</w:t>
      </w:r>
      <w:r>
        <w:t xml:space="preserve">taria que facilite la ejecución de los programas y fortalecer el Presupuesto basado en Resultados, e </w:t>
      </w:r>
    </w:p>
    <w:p w14:paraId="089758E6" w14:textId="77777777" w:rsidR="00C6733C" w:rsidRDefault="00C6733C">
      <w:pPr>
        <w:rPr>
          <w:rFonts w:ascii="Arial" w:hAnsi="Arial" w:cs="Arial"/>
        </w:rPr>
      </w:pPr>
    </w:p>
    <w:p w14:paraId="313A2AAD" w14:textId="77777777" w:rsidR="00C6733C" w:rsidRDefault="006D0638">
      <w:pPr>
        <w:pStyle w:val="Prrafodelista"/>
        <w:numPr>
          <w:ilvl w:val="1"/>
          <w:numId w:val="8"/>
        </w:numPr>
        <w:tabs>
          <w:tab w:val="left" w:pos="567"/>
          <w:tab w:val="left" w:pos="6634"/>
        </w:tabs>
        <w:spacing w:before="0"/>
        <w:ind w:left="567" w:right="-29" w:hanging="280"/>
        <w:jc w:val="both"/>
      </w:pPr>
      <w:r>
        <w:t xml:space="preserve">Informar y concentrar a la Secretaría las economías y los ahorros presupuestarios. </w:t>
      </w:r>
    </w:p>
    <w:p w14:paraId="1F83EE64" w14:textId="77777777" w:rsidR="00C6733C" w:rsidRDefault="00C6733C">
      <w:pPr>
        <w:rPr>
          <w:rFonts w:ascii="Arial" w:hAnsi="Arial" w:cs="Arial"/>
        </w:rPr>
      </w:pPr>
    </w:p>
    <w:p w14:paraId="235D2701" w14:textId="77777777" w:rsidR="00C6733C" w:rsidRDefault="006D0638">
      <w:pPr>
        <w:tabs>
          <w:tab w:val="left" w:pos="567"/>
          <w:tab w:val="left" w:pos="6634"/>
        </w:tabs>
        <w:ind w:right="-29"/>
        <w:jc w:val="both"/>
        <w:rPr>
          <w:rFonts w:ascii="Arial" w:eastAsia="Arial" w:hAnsi="Arial" w:cs="Arial"/>
        </w:rPr>
      </w:pPr>
      <w:r>
        <w:rPr>
          <w:rFonts w:ascii="Arial" w:eastAsia="Arial" w:hAnsi="Arial" w:cs="Arial"/>
        </w:rPr>
        <w:t xml:space="preserve">El ejercicio del gasto tendrá como finalidad dar cumplimiento a las </w:t>
      </w:r>
      <w:r>
        <w:rPr>
          <w:rFonts w:ascii="Arial" w:eastAsia="Arial" w:hAnsi="Arial" w:cs="Arial"/>
        </w:rPr>
        <w:t xml:space="preserve">metas y objetivos planteados en el Plan Estatal de Desarrollo y los instrumentos legales que de éste se deriven. </w:t>
      </w:r>
    </w:p>
    <w:p w14:paraId="47AE1F70" w14:textId="77777777" w:rsidR="00C6733C" w:rsidRDefault="00C6733C">
      <w:pPr>
        <w:tabs>
          <w:tab w:val="left" w:pos="567"/>
          <w:tab w:val="left" w:pos="6634"/>
        </w:tabs>
        <w:ind w:right="-29"/>
        <w:jc w:val="both"/>
        <w:rPr>
          <w:rFonts w:ascii="Arial" w:eastAsia="Arial" w:hAnsi="Arial" w:cs="Arial"/>
        </w:rPr>
      </w:pPr>
    </w:p>
    <w:p w14:paraId="7DF8EFDD" w14:textId="77777777" w:rsidR="00C6733C" w:rsidRDefault="006D0638">
      <w:pPr>
        <w:tabs>
          <w:tab w:val="left" w:pos="567"/>
          <w:tab w:val="left" w:pos="6634"/>
        </w:tabs>
        <w:ind w:right="-29"/>
        <w:jc w:val="both"/>
        <w:rPr>
          <w:rFonts w:ascii="Arial" w:eastAsia="Arial" w:hAnsi="Arial" w:cs="Arial"/>
        </w:rPr>
      </w:pPr>
      <w:r>
        <w:rPr>
          <w:rFonts w:ascii="Arial" w:eastAsia="Arial" w:hAnsi="Arial" w:cs="Arial"/>
        </w:rPr>
        <w:t>Así mismo, en términos de lo establecido en el Artículo 4 de la Ley, serán responsables del contenido, veracidad y autenticidad de la documentación justificativa y comprobatoria e información financiera que proporcionen a la Secretaría y a los Órganos de C</w:t>
      </w:r>
      <w:r>
        <w:rPr>
          <w:rFonts w:ascii="Arial" w:eastAsia="Arial" w:hAnsi="Arial" w:cs="Arial"/>
        </w:rPr>
        <w:t xml:space="preserve">ontrol y Fiscalización Estatales o Federales. </w:t>
      </w:r>
    </w:p>
    <w:p w14:paraId="5216EBDE" w14:textId="77777777" w:rsidR="00C6733C" w:rsidRDefault="00C6733C">
      <w:pPr>
        <w:tabs>
          <w:tab w:val="left" w:pos="567"/>
          <w:tab w:val="left" w:pos="6634"/>
        </w:tabs>
        <w:ind w:right="-29"/>
        <w:jc w:val="both"/>
        <w:rPr>
          <w:rFonts w:ascii="Arial" w:eastAsia="Arial" w:hAnsi="Arial" w:cs="Arial"/>
        </w:rPr>
      </w:pPr>
    </w:p>
    <w:p w14:paraId="546383C8" w14:textId="77777777" w:rsidR="00C6733C" w:rsidRDefault="006D0638">
      <w:pPr>
        <w:tabs>
          <w:tab w:val="left" w:pos="567"/>
          <w:tab w:val="left" w:pos="6634"/>
        </w:tabs>
        <w:ind w:right="-29"/>
        <w:jc w:val="both"/>
        <w:rPr>
          <w:rFonts w:ascii="Arial" w:eastAsia="Arial" w:hAnsi="Arial" w:cs="Arial"/>
        </w:rPr>
      </w:pPr>
      <w:r>
        <w:rPr>
          <w:rFonts w:ascii="Arial" w:eastAsia="Arial" w:hAnsi="Arial" w:cs="Arial"/>
        </w:rPr>
        <w:t>La guarda y custodia de la documentación a que se refiere el párrafo anterior es responsabilidad del Ejecutor de gasto.</w:t>
      </w:r>
    </w:p>
    <w:p w14:paraId="08C36B39" w14:textId="77777777" w:rsidR="00C6733C" w:rsidRDefault="00C6733C">
      <w:pPr>
        <w:tabs>
          <w:tab w:val="left" w:pos="567"/>
          <w:tab w:val="left" w:pos="6634"/>
        </w:tabs>
        <w:ind w:right="-29"/>
        <w:rPr>
          <w:rFonts w:ascii="Arial" w:eastAsia="Arial" w:hAnsi="Arial" w:cs="Arial"/>
        </w:rPr>
      </w:pPr>
    </w:p>
    <w:p w14:paraId="4BF51BD5" w14:textId="77777777" w:rsidR="00C6733C" w:rsidRDefault="006D0638">
      <w:pPr>
        <w:tabs>
          <w:tab w:val="left" w:pos="567"/>
          <w:tab w:val="left" w:pos="6634"/>
        </w:tabs>
        <w:ind w:right="-29"/>
        <w:jc w:val="both"/>
        <w:rPr>
          <w:rFonts w:ascii="Arial" w:hAnsi="Arial" w:cs="Arial"/>
        </w:rPr>
      </w:pPr>
      <w:r>
        <w:rPr>
          <w:rFonts w:ascii="Arial" w:hAnsi="Arial" w:cs="Arial"/>
          <w:b/>
        </w:rPr>
        <w:t>Artículo 5.</w:t>
      </w:r>
      <w:r>
        <w:rPr>
          <w:rFonts w:ascii="Arial" w:hAnsi="Arial" w:cs="Arial"/>
        </w:rPr>
        <w:t xml:space="preserve"> Los Ejecutores de gasto serán responsables del seguimiento y cumplimiento de los indicadores estratégicos y de gestión, comprendidos en las matrices de indicadores de los programas orientados a resultados. </w:t>
      </w:r>
    </w:p>
    <w:p w14:paraId="1539A814" w14:textId="77777777" w:rsidR="00C6733C" w:rsidRDefault="00C6733C">
      <w:pPr>
        <w:tabs>
          <w:tab w:val="left" w:pos="567"/>
          <w:tab w:val="left" w:pos="6634"/>
        </w:tabs>
        <w:ind w:right="-29"/>
        <w:jc w:val="both"/>
        <w:rPr>
          <w:rFonts w:ascii="Arial" w:hAnsi="Arial" w:cs="Arial"/>
        </w:rPr>
      </w:pPr>
    </w:p>
    <w:p w14:paraId="5FF1B7BE" w14:textId="77777777" w:rsidR="00C6733C" w:rsidRDefault="006D0638">
      <w:pPr>
        <w:tabs>
          <w:tab w:val="left" w:pos="567"/>
          <w:tab w:val="left" w:pos="6634"/>
        </w:tabs>
        <w:ind w:right="-29"/>
        <w:jc w:val="both"/>
        <w:rPr>
          <w:rFonts w:ascii="Arial" w:hAnsi="Arial" w:cs="Arial"/>
        </w:rPr>
      </w:pPr>
      <w:r>
        <w:rPr>
          <w:rFonts w:ascii="Arial" w:hAnsi="Arial" w:cs="Arial"/>
        </w:rPr>
        <w:t>Los indicadores estratégicos y de gestión deber</w:t>
      </w:r>
      <w:r>
        <w:rPr>
          <w:rFonts w:ascii="Arial" w:hAnsi="Arial" w:cs="Arial"/>
        </w:rPr>
        <w:t xml:space="preserve">án ser publicados en las páginas electrónicas de los Ejecutores de gasto y de la Secretaría dentro de los 15 días naturales después de la publicación del presente Decreto. </w:t>
      </w:r>
    </w:p>
    <w:p w14:paraId="5722E1DE" w14:textId="77777777" w:rsidR="00C6733C" w:rsidRDefault="00C6733C">
      <w:pPr>
        <w:tabs>
          <w:tab w:val="left" w:pos="567"/>
          <w:tab w:val="left" w:pos="6634"/>
        </w:tabs>
        <w:ind w:right="-29"/>
        <w:jc w:val="both"/>
        <w:rPr>
          <w:rFonts w:ascii="Arial" w:hAnsi="Arial" w:cs="Arial"/>
        </w:rPr>
      </w:pPr>
    </w:p>
    <w:p w14:paraId="703FE66D" w14:textId="77777777" w:rsidR="00C6733C" w:rsidRDefault="006D0638">
      <w:pPr>
        <w:tabs>
          <w:tab w:val="left" w:pos="567"/>
          <w:tab w:val="left" w:pos="6634"/>
        </w:tabs>
        <w:ind w:right="-29"/>
        <w:jc w:val="both"/>
        <w:rPr>
          <w:rFonts w:ascii="Arial" w:hAnsi="Arial" w:cs="Arial"/>
        </w:rPr>
      </w:pPr>
      <w:r>
        <w:rPr>
          <w:rFonts w:ascii="Arial" w:hAnsi="Arial" w:cs="Arial"/>
          <w:b/>
        </w:rPr>
        <w:t>Artículo 6.</w:t>
      </w:r>
      <w:r>
        <w:rPr>
          <w:rFonts w:ascii="Arial" w:hAnsi="Arial" w:cs="Arial"/>
        </w:rPr>
        <w:t xml:space="preserve"> La MIR de los Programas basados en Resultados (PbR) que cada Ejecutor </w:t>
      </w:r>
      <w:r>
        <w:rPr>
          <w:rFonts w:ascii="Arial" w:hAnsi="Arial" w:cs="Arial"/>
        </w:rPr>
        <w:t xml:space="preserve">de gasto empleará para el cumplimiento de sus objetivos, estrategias y metas para el ejercicio fiscal 2020, se detalla en el Anexo 1. </w:t>
      </w:r>
    </w:p>
    <w:p w14:paraId="5E77C933" w14:textId="77777777" w:rsidR="00C6733C" w:rsidRDefault="00C6733C">
      <w:pPr>
        <w:tabs>
          <w:tab w:val="left" w:pos="567"/>
          <w:tab w:val="left" w:pos="6634"/>
        </w:tabs>
        <w:ind w:right="-29"/>
        <w:jc w:val="both"/>
        <w:rPr>
          <w:rFonts w:ascii="Arial" w:hAnsi="Arial" w:cs="Arial"/>
        </w:rPr>
      </w:pPr>
    </w:p>
    <w:p w14:paraId="346E8F0E" w14:textId="77777777" w:rsidR="00C6733C" w:rsidRDefault="006D0638">
      <w:pPr>
        <w:tabs>
          <w:tab w:val="left" w:pos="567"/>
          <w:tab w:val="left" w:pos="6634"/>
        </w:tabs>
        <w:ind w:right="-29"/>
        <w:jc w:val="both"/>
        <w:rPr>
          <w:rFonts w:ascii="Arial" w:hAnsi="Arial" w:cs="Arial"/>
        </w:rPr>
      </w:pPr>
      <w:r>
        <w:rPr>
          <w:rFonts w:ascii="Arial" w:hAnsi="Arial" w:cs="Arial"/>
          <w:b/>
        </w:rPr>
        <w:t>Artículo 7.</w:t>
      </w:r>
      <w:r>
        <w:rPr>
          <w:rFonts w:ascii="Arial" w:hAnsi="Arial" w:cs="Arial"/>
        </w:rPr>
        <w:t xml:space="preserve"> El Órgano de Fiscalización, el Poder Judicial, los órganos internos de control de los Órganos Autónomos y la</w:t>
      </w:r>
      <w:r>
        <w:rPr>
          <w:rFonts w:ascii="Arial" w:hAnsi="Arial" w:cs="Arial"/>
        </w:rPr>
        <w:t xml:space="preserve"> Contraloría, en el ámbito de sus respectivas competencias, vigilarán y realizarán acciones preventivas para que los Ejecutores de gasto no adquieran compromisos que rebasen el periodo de vigencia del presente Decreto, ni el monto del gasto autorizado y no</w:t>
      </w:r>
      <w:r>
        <w:rPr>
          <w:rFonts w:ascii="Arial" w:hAnsi="Arial" w:cs="Arial"/>
        </w:rPr>
        <w:t xml:space="preserve"> reconocerán adeudos, ni pagos por cantidades reclamadas o erogaciones efectuadas en contravención a lo dispuesto en el mismo, por lo que tratándose de recursos estatales, vigilarán que cualquier saldo presupuestal y/o financiero no devengado al 31 de dici</w:t>
      </w:r>
      <w:r>
        <w:rPr>
          <w:rFonts w:ascii="Arial" w:hAnsi="Arial" w:cs="Arial"/>
        </w:rPr>
        <w:t xml:space="preserve">embre se reintegre a la Secretaría en los 5 días hábiles posteriores al cierre del ejercicio. </w:t>
      </w:r>
    </w:p>
    <w:p w14:paraId="1072EAA6" w14:textId="77777777" w:rsidR="00C6733C" w:rsidRDefault="00C6733C">
      <w:pPr>
        <w:tabs>
          <w:tab w:val="left" w:pos="567"/>
          <w:tab w:val="left" w:pos="6634"/>
        </w:tabs>
        <w:ind w:right="-29"/>
        <w:jc w:val="both"/>
        <w:rPr>
          <w:rFonts w:ascii="Arial" w:hAnsi="Arial" w:cs="Arial"/>
        </w:rPr>
      </w:pPr>
    </w:p>
    <w:p w14:paraId="23A09EA0" w14:textId="77777777" w:rsidR="00C6733C" w:rsidRDefault="006D0638">
      <w:pPr>
        <w:tabs>
          <w:tab w:val="left" w:pos="567"/>
          <w:tab w:val="left" w:pos="6634"/>
        </w:tabs>
        <w:ind w:right="-29"/>
        <w:jc w:val="both"/>
        <w:rPr>
          <w:rFonts w:ascii="Arial" w:hAnsi="Arial" w:cs="Arial"/>
        </w:rPr>
      </w:pPr>
      <w:r>
        <w:rPr>
          <w:rFonts w:ascii="Arial" w:hAnsi="Arial" w:cs="Arial"/>
        </w:rPr>
        <w:t>Se exceptúan de lo anterior, las obras públicas, adquisiciones, arrendamientos y la prestación de servicios plurianuales autorizados en los términos previstos p</w:t>
      </w:r>
      <w:r>
        <w:rPr>
          <w:rFonts w:ascii="Arial" w:hAnsi="Arial" w:cs="Arial"/>
        </w:rPr>
        <w:t>or el Artículo 45 de la Ley; así como los recursos calendarizados para su ejecución abarcando dos o más ejercicios fiscales o hasta la conclusión de su objeto, vigilando que se observen los criterios señalados en el Artículo 4 de este Decreto y las accione</w:t>
      </w:r>
      <w:r>
        <w:rPr>
          <w:rFonts w:ascii="Arial" w:hAnsi="Arial" w:cs="Arial"/>
        </w:rPr>
        <w:t xml:space="preserve">s y metas contenidas en los programas operativos anuales. </w:t>
      </w:r>
    </w:p>
    <w:p w14:paraId="63F21C11" w14:textId="77777777" w:rsidR="00C6733C" w:rsidRDefault="00C6733C">
      <w:pPr>
        <w:tabs>
          <w:tab w:val="left" w:pos="567"/>
          <w:tab w:val="left" w:pos="6634"/>
        </w:tabs>
        <w:ind w:right="-29"/>
        <w:jc w:val="both"/>
        <w:rPr>
          <w:rFonts w:ascii="Arial" w:hAnsi="Arial" w:cs="Arial"/>
        </w:rPr>
      </w:pPr>
    </w:p>
    <w:p w14:paraId="5A2B9E01" w14:textId="77777777" w:rsidR="00C6733C" w:rsidRDefault="006D0638">
      <w:pPr>
        <w:tabs>
          <w:tab w:val="left" w:pos="567"/>
          <w:tab w:val="left" w:pos="6634"/>
        </w:tabs>
        <w:ind w:right="-29"/>
        <w:jc w:val="both"/>
        <w:rPr>
          <w:rFonts w:ascii="Arial" w:hAnsi="Arial" w:cs="Arial"/>
        </w:rPr>
      </w:pPr>
      <w:r>
        <w:rPr>
          <w:rFonts w:ascii="Arial" w:hAnsi="Arial" w:cs="Arial"/>
        </w:rPr>
        <w:t>Tratándose de recursos federales, los Ejecutores de gasto vigilarán y realizarán acciones preventivas para evitar el subejercicio de recursos, ya que cualquier remanente presupuestario que no haya</w:t>
      </w:r>
      <w:r>
        <w:rPr>
          <w:rFonts w:ascii="Arial" w:hAnsi="Arial" w:cs="Arial"/>
        </w:rPr>
        <w:t xml:space="preserve"> sido devengado al 31 de diciembre se reintegrará a la Tesorería de la Federación, de acuerdo a lo establecido en el Artículo 17 de la Ley de Disciplina. </w:t>
      </w:r>
    </w:p>
    <w:p w14:paraId="5659606F" w14:textId="77777777" w:rsidR="00C6733C" w:rsidRDefault="00C6733C">
      <w:pPr>
        <w:tabs>
          <w:tab w:val="left" w:pos="567"/>
          <w:tab w:val="left" w:pos="6634"/>
        </w:tabs>
        <w:ind w:right="-29"/>
        <w:jc w:val="both"/>
        <w:rPr>
          <w:rFonts w:ascii="Arial" w:hAnsi="Arial" w:cs="Arial"/>
        </w:rPr>
      </w:pPr>
    </w:p>
    <w:p w14:paraId="3DD55485" w14:textId="77777777" w:rsidR="00C6733C" w:rsidRDefault="006D0638">
      <w:pPr>
        <w:tabs>
          <w:tab w:val="left" w:pos="567"/>
          <w:tab w:val="left" w:pos="6634"/>
        </w:tabs>
        <w:ind w:right="-29"/>
        <w:jc w:val="both"/>
        <w:rPr>
          <w:rFonts w:ascii="Arial" w:hAnsi="Arial" w:cs="Arial"/>
        </w:rPr>
      </w:pPr>
      <w:r>
        <w:rPr>
          <w:rFonts w:ascii="Arial" w:hAnsi="Arial" w:cs="Arial"/>
        </w:rPr>
        <w:t>Sin perjuicio de lo anterior, las Transferencias Federales Etiquetadas que al 31 de diciembre del ej</w:t>
      </w:r>
      <w:r>
        <w:rPr>
          <w:rFonts w:ascii="Arial" w:hAnsi="Arial" w:cs="Arial"/>
        </w:rPr>
        <w:t>ercicio fiscal 2020, se hayan comprometido y/o devengado pero que no hayan sido pagadas, deberán cubrir los pagos respectivos a más tardar durante el primer trimestre del ejercicio fiscal 2021, o bien, de conformidad con el calendario de ejecución establec</w:t>
      </w:r>
      <w:r>
        <w:rPr>
          <w:rFonts w:ascii="Arial" w:hAnsi="Arial" w:cs="Arial"/>
        </w:rPr>
        <w:t xml:space="preserve">ido en el convenio correspondiente. Una vez concluido el plazo referido, los recursos remanentes deberán reintegrarse a la Tesorería de la Federación a más tardar dentro de los 15 días naturales siguientes. </w:t>
      </w:r>
    </w:p>
    <w:p w14:paraId="3C18561F" w14:textId="77777777" w:rsidR="00C6733C" w:rsidRDefault="00C6733C">
      <w:pPr>
        <w:tabs>
          <w:tab w:val="left" w:pos="567"/>
          <w:tab w:val="left" w:pos="6634"/>
        </w:tabs>
        <w:ind w:right="-29"/>
        <w:jc w:val="both"/>
        <w:rPr>
          <w:rFonts w:ascii="Arial" w:hAnsi="Arial" w:cs="Arial"/>
        </w:rPr>
      </w:pPr>
    </w:p>
    <w:p w14:paraId="0CACBB02" w14:textId="77777777" w:rsidR="00C6733C" w:rsidRDefault="006D0638">
      <w:pPr>
        <w:tabs>
          <w:tab w:val="left" w:pos="567"/>
          <w:tab w:val="left" w:pos="6634"/>
        </w:tabs>
        <w:ind w:right="-29"/>
        <w:jc w:val="both"/>
        <w:rPr>
          <w:rFonts w:ascii="Arial" w:hAnsi="Arial" w:cs="Arial"/>
        </w:rPr>
      </w:pPr>
      <w:r>
        <w:rPr>
          <w:rFonts w:ascii="Arial" w:hAnsi="Arial" w:cs="Arial"/>
          <w:b/>
        </w:rPr>
        <w:t>Artículo 8.</w:t>
      </w:r>
      <w:r>
        <w:rPr>
          <w:rFonts w:ascii="Arial" w:hAnsi="Arial" w:cs="Arial"/>
        </w:rPr>
        <w:t xml:space="preserve"> Los Ejecutores de gasto, deberán ll</w:t>
      </w:r>
      <w:r>
        <w:rPr>
          <w:rFonts w:ascii="Arial" w:hAnsi="Arial" w:cs="Arial"/>
        </w:rPr>
        <w:t>evar el registro de su Presupuesto de Egresos aprobado, modificado, comprometido, devengado, ejercido y pagado en el sistema electrónico que para tal efecto determine la Secretaría.</w:t>
      </w:r>
    </w:p>
    <w:p w14:paraId="598EE3BD" w14:textId="77777777" w:rsidR="00C6733C" w:rsidRDefault="00C6733C">
      <w:pPr>
        <w:tabs>
          <w:tab w:val="left" w:pos="567"/>
          <w:tab w:val="left" w:pos="6634"/>
        </w:tabs>
        <w:ind w:right="-29"/>
        <w:jc w:val="both"/>
        <w:rPr>
          <w:rFonts w:ascii="Arial" w:hAnsi="Arial" w:cs="Arial"/>
        </w:rPr>
      </w:pPr>
    </w:p>
    <w:p w14:paraId="59C3A359" w14:textId="77777777" w:rsidR="00C6733C" w:rsidRDefault="006D0638">
      <w:pPr>
        <w:tabs>
          <w:tab w:val="left" w:pos="567"/>
          <w:tab w:val="left" w:pos="6634"/>
        </w:tabs>
        <w:ind w:right="-29"/>
        <w:jc w:val="both"/>
        <w:rPr>
          <w:rFonts w:ascii="Arial" w:hAnsi="Arial" w:cs="Arial"/>
        </w:rPr>
      </w:pPr>
      <w:r>
        <w:rPr>
          <w:rFonts w:ascii="Arial" w:hAnsi="Arial" w:cs="Arial"/>
        </w:rPr>
        <w:t>El Comité de Adquisiciones, deberá notificar a las dependencias y entidad</w:t>
      </w:r>
      <w:r>
        <w:rPr>
          <w:rFonts w:ascii="Arial" w:hAnsi="Arial" w:cs="Arial"/>
        </w:rPr>
        <w:t xml:space="preserve">es el fallo de las licitaciones para que éstos registren el monto comprometido o devengado en el sistema electrónico mencionado. </w:t>
      </w:r>
    </w:p>
    <w:p w14:paraId="415E776E" w14:textId="77777777" w:rsidR="00C6733C" w:rsidRDefault="00C6733C">
      <w:pPr>
        <w:tabs>
          <w:tab w:val="left" w:pos="567"/>
          <w:tab w:val="left" w:pos="6634"/>
        </w:tabs>
        <w:ind w:right="-29"/>
        <w:jc w:val="both"/>
        <w:rPr>
          <w:rFonts w:ascii="Arial" w:hAnsi="Arial" w:cs="Arial"/>
        </w:rPr>
      </w:pPr>
    </w:p>
    <w:p w14:paraId="60189897" w14:textId="77777777" w:rsidR="00C6733C" w:rsidRDefault="006D0638">
      <w:pPr>
        <w:tabs>
          <w:tab w:val="left" w:pos="567"/>
          <w:tab w:val="left" w:pos="6634"/>
        </w:tabs>
        <w:ind w:right="-29"/>
        <w:jc w:val="both"/>
        <w:rPr>
          <w:rFonts w:ascii="Arial" w:hAnsi="Arial" w:cs="Arial"/>
        </w:rPr>
      </w:pPr>
      <w:r>
        <w:rPr>
          <w:rFonts w:ascii="Arial" w:hAnsi="Arial" w:cs="Arial"/>
          <w:b/>
        </w:rPr>
        <w:t>Artículo 9.</w:t>
      </w:r>
      <w:r>
        <w:rPr>
          <w:rFonts w:ascii="Arial" w:hAnsi="Arial" w:cs="Arial"/>
        </w:rPr>
        <w:t xml:space="preserve"> La recalendarización y ejercicio de los recursos estatales autorizados para gastos de inversión, se realizará con</w:t>
      </w:r>
      <w:r>
        <w:rPr>
          <w:rFonts w:ascii="Arial" w:hAnsi="Arial" w:cs="Arial"/>
        </w:rPr>
        <w:t xml:space="preserve">forme a las disposiciones que para tal efecto emita la Secretaría. </w:t>
      </w:r>
    </w:p>
    <w:p w14:paraId="2AA2CCB2" w14:textId="77777777" w:rsidR="00C6733C" w:rsidRDefault="00C6733C">
      <w:pPr>
        <w:tabs>
          <w:tab w:val="left" w:pos="567"/>
          <w:tab w:val="left" w:pos="6634"/>
        </w:tabs>
        <w:ind w:right="-29"/>
        <w:jc w:val="both"/>
        <w:rPr>
          <w:rFonts w:ascii="Arial" w:hAnsi="Arial" w:cs="Arial"/>
        </w:rPr>
      </w:pPr>
    </w:p>
    <w:p w14:paraId="42939B76" w14:textId="77777777" w:rsidR="00C6733C" w:rsidRDefault="006D0638">
      <w:pPr>
        <w:tabs>
          <w:tab w:val="left" w:pos="567"/>
          <w:tab w:val="left" w:pos="6634"/>
        </w:tabs>
        <w:ind w:right="-29"/>
        <w:jc w:val="both"/>
        <w:rPr>
          <w:rFonts w:ascii="Arial" w:hAnsi="Arial" w:cs="Arial"/>
        </w:rPr>
      </w:pPr>
      <w:r>
        <w:rPr>
          <w:rFonts w:ascii="Arial" w:hAnsi="Arial" w:cs="Arial"/>
          <w:b/>
        </w:rPr>
        <w:t>Artículo 10.</w:t>
      </w:r>
      <w:r>
        <w:rPr>
          <w:rFonts w:ascii="Arial" w:hAnsi="Arial" w:cs="Arial"/>
        </w:rPr>
        <w:t xml:space="preserve"> No se autorizarán asignaciones presupuestarias adicionales, para el cumplimiento de las metas aprobadas en el presente ejercicio fiscal. </w:t>
      </w:r>
    </w:p>
    <w:p w14:paraId="33BFCCB1" w14:textId="77777777" w:rsidR="00C6733C" w:rsidRDefault="00C6733C">
      <w:pPr>
        <w:tabs>
          <w:tab w:val="left" w:pos="567"/>
          <w:tab w:val="left" w:pos="6634"/>
        </w:tabs>
        <w:ind w:right="-29"/>
        <w:jc w:val="both"/>
        <w:rPr>
          <w:rFonts w:ascii="Arial" w:hAnsi="Arial" w:cs="Arial"/>
        </w:rPr>
      </w:pPr>
    </w:p>
    <w:p w14:paraId="601C7F6F" w14:textId="77777777" w:rsidR="00C6733C" w:rsidRDefault="006D0638">
      <w:pPr>
        <w:tabs>
          <w:tab w:val="left" w:pos="567"/>
          <w:tab w:val="left" w:pos="6634"/>
        </w:tabs>
        <w:ind w:right="-29"/>
        <w:jc w:val="both"/>
        <w:rPr>
          <w:rFonts w:ascii="Arial" w:hAnsi="Arial" w:cs="Arial"/>
        </w:rPr>
      </w:pPr>
      <w:r>
        <w:rPr>
          <w:rFonts w:ascii="Arial" w:hAnsi="Arial" w:cs="Arial"/>
          <w:b/>
          <w:bCs/>
        </w:rPr>
        <w:t xml:space="preserve">Artículo 11. </w:t>
      </w:r>
      <w:r>
        <w:rPr>
          <w:rFonts w:ascii="Arial" w:hAnsi="Arial" w:cs="Arial"/>
        </w:rPr>
        <w:t>Las unidades responsab</w:t>
      </w:r>
      <w:r>
        <w:rPr>
          <w:rFonts w:ascii="Arial" w:hAnsi="Arial" w:cs="Arial"/>
        </w:rPr>
        <w:t>les en el momento de generar una adecuación presupuestaria en el sistema electrónico, deberán realizar la actualización de metas correspondiente, misma que deberá tener congruencia con el importe solicitado, dicha actualización deberá enterarla a la Secret</w:t>
      </w:r>
      <w:r>
        <w:rPr>
          <w:rFonts w:ascii="Arial" w:hAnsi="Arial" w:cs="Arial"/>
        </w:rPr>
        <w:t>aría en el momento de presentar su solicitud de adecuación presupuestaria.</w:t>
      </w:r>
    </w:p>
    <w:p w14:paraId="4051BD0F" w14:textId="77777777" w:rsidR="00C6733C" w:rsidRDefault="00C6733C">
      <w:pPr>
        <w:tabs>
          <w:tab w:val="left" w:pos="567"/>
          <w:tab w:val="left" w:pos="6634"/>
        </w:tabs>
        <w:ind w:right="-29"/>
        <w:jc w:val="both"/>
        <w:rPr>
          <w:rFonts w:ascii="Arial" w:hAnsi="Arial" w:cs="Arial"/>
        </w:rPr>
      </w:pPr>
    </w:p>
    <w:p w14:paraId="1ACECC55" w14:textId="77777777" w:rsidR="00C6733C" w:rsidRDefault="006D0638">
      <w:pPr>
        <w:tabs>
          <w:tab w:val="left" w:pos="567"/>
          <w:tab w:val="left" w:pos="6634"/>
        </w:tabs>
        <w:ind w:right="-29"/>
        <w:jc w:val="both"/>
        <w:rPr>
          <w:rFonts w:ascii="Arial" w:hAnsi="Arial" w:cs="Arial"/>
        </w:rPr>
      </w:pPr>
      <w:r>
        <w:rPr>
          <w:rFonts w:ascii="Arial" w:hAnsi="Arial" w:cs="Arial"/>
          <w:b/>
        </w:rPr>
        <w:t>Artículo 12.</w:t>
      </w:r>
      <w:r>
        <w:rPr>
          <w:rFonts w:ascii="Arial" w:hAnsi="Arial" w:cs="Arial"/>
        </w:rPr>
        <w:t xml:space="preserve"> La Secretaría podrá reasignar los recursos aprobados en el presente Decreto, en los casos debidamente justificados, los cuales se considerarán gastos no regularizables</w:t>
      </w:r>
      <w:r>
        <w:rPr>
          <w:rFonts w:ascii="Arial" w:hAnsi="Arial" w:cs="Arial"/>
        </w:rPr>
        <w:t xml:space="preserve">. </w:t>
      </w:r>
    </w:p>
    <w:p w14:paraId="0A81913B" w14:textId="77777777" w:rsidR="00C6733C" w:rsidRDefault="00C6733C">
      <w:pPr>
        <w:tabs>
          <w:tab w:val="left" w:pos="567"/>
          <w:tab w:val="left" w:pos="6634"/>
        </w:tabs>
        <w:ind w:right="-29"/>
        <w:jc w:val="both"/>
        <w:rPr>
          <w:rFonts w:ascii="Arial" w:hAnsi="Arial" w:cs="Arial"/>
        </w:rPr>
      </w:pPr>
    </w:p>
    <w:p w14:paraId="27AD2853" w14:textId="77777777" w:rsidR="00C6733C" w:rsidRDefault="006D0638">
      <w:pPr>
        <w:tabs>
          <w:tab w:val="left" w:pos="567"/>
          <w:tab w:val="left" w:pos="6634"/>
        </w:tabs>
        <w:ind w:right="-29"/>
        <w:jc w:val="both"/>
        <w:rPr>
          <w:rFonts w:ascii="Arial" w:hAnsi="Arial" w:cs="Arial"/>
        </w:rPr>
      </w:pPr>
      <w:r>
        <w:rPr>
          <w:rFonts w:ascii="Arial" w:hAnsi="Arial" w:cs="Arial"/>
          <w:b/>
        </w:rPr>
        <w:t>Artículo 13.</w:t>
      </w:r>
      <w:r>
        <w:rPr>
          <w:rFonts w:ascii="Arial" w:hAnsi="Arial" w:cs="Arial"/>
        </w:rPr>
        <w:t xml:space="preserve"> Ningún Ejecutor de gasto podrá comprometer recursos estatales con la Federación u Organismos a través de convenios u otro instrumento jurídico, sin previa autorización expresa de la Secretaría. </w:t>
      </w:r>
    </w:p>
    <w:p w14:paraId="38F0D238" w14:textId="77777777" w:rsidR="00C6733C" w:rsidRDefault="00C6733C">
      <w:pPr>
        <w:tabs>
          <w:tab w:val="left" w:pos="567"/>
          <w:tab w:val="left" w:pos="6634"/>
        </w:tabs>
        <w:ind w:right="-29"/>
        <w:jc w:val="both"/>
        <w:rPr>
          <w:rFonts w:ascii="Arial" w:hAnsi="Arial" w:cs="Arial"/>
        </w:rPr>
      </w:pPr>
    </w:p>
    <w:p w14:paraId="09BD6E90" w14:textId="77777777" w:rsidR="00C6733C" w:rsidRDefault="006D0638">
      <w:pPr>
        <w:tabs>
          <w:tab w:val="left" w:pos="567"/>
          <w:tab w:val="left" w:pos="6634"/>
        </w:tabs>
        <w:ind w:right="-29"/>
        <w:jc w:val="both"/>
        <w:rPr>
          <w:rFonts w:ascii="Arial" w:hAnsi="Arial" w:cs="Arial"/>
        </w:rPr>
      </w:pPr>
      <w:r>
        <w:rPr>
          <w:rFonts w:ascii="Arial" w:hAnsi="Arial" w:cs="Arial"/>
          <w:b/>
        </w:rPr>
        <w:t>Artículo 14.</w:t>
      </w:r>
      <w:r>
        <w:rPr>
          <w:rFonts w:ascii="Arial" w:hAnsi="Arial" w:cs="Arial"/>
        </w:rPr>
        <w:t xml:space="preserve"> No se autorizarán traspasos de recursos estata</w:t>
      </w:r>
      <w:r>
        <w:rPr>
          <w:rFonts w:ascii="Arial" w:hAnsi="Arial" w:cs="Arial"/>
        </w:rPr>
        <w:t xml:space="preserve">les de otros capítulos de gasto al capítulo de servicios personales y viceversa. </w:t>
      </w:r>
    </w:p>
    <w:p w14:paraId="434730FA" w14:textId="77777777" w:rsidR="00C6733C" w:rsidRDefault="00C6733C">
      <w:pPr>
        <w:tabs>
          <w:tab w:val="left" w:pos="567"/>
          <w:tab w:val="left" w:pos="6634"/>
        </w:tabs>
        <w:ind w:right="-29"/>
        <w:jc w:val="both"/>
        <w:rPr>
          <w:rFonts w:ascii="Arial" w:hAnsi="Arial" w:cs="Arial"/>
        </w:rPr>
      </w:pPr>
    </w:p>
    <w:p w14:paraId="1D2EB62C" w14:textId="77777777" w:rsidR="00C6733C" w:rsidRDefault="006D0638">
      <w:pPr>
        <w:tabs>
          <w:tab w:val="left" w:pos="567"/>
          <w:tab w:val="left" w:pos="6634"/>
        </w:tabs>
        <w:ind w:right="-29"/>
        <w:jc w:val="both"/>
        <w:rPr>
          <w:rFonts w:ascii="Arial" w:hAnsi="Arial" w:cs="Arial"/>
        </w:rPr>
      </w:pPr>
      <w:r>
        <w:rPr>
          <w:rFonts w:ascii="Arial" w:hAnsi="Arial" w:cs="Arial"/>
        </w:rPr>
        <w:t>La Secretaría podrá autorizar traspasos para ampliar los capítulos de bienes muebles, inmuebles e intangibles, proyectos productivos y de fomento; e inversiones financieras,</w:t>
      </w:r>
      <w:r>
        <w:rPr>
          <w:rFonts w:ascii="Arial" w:hAnsi="Arial" w:cs="Arial"/>
        </w:rPr>
        <w:t xml:space="preserve"> reduciendo a otros capítulos de gasto, exceptuando servicios personales. </w:t>
      </w:r>
    </w:p>
    <w:p w14:paraId="240F772D" w14:textId="77777777" w:rsidR="00C6733C" w:rsidRDefault="00C6733C">
      <w:pPr>
        <w:tabs>
          <w:tab w:val="left" w:pos="567"/>
          <w:tab w:val="left" w:pos="6634"/>
        </w:tabs>
        <w:ind w:right="-29"/>
        <w:jc w:val="both"/>
        <w:rPr>
          <w:rFonts w:ascii="Arial" w:hAnsi="Arial" w:cs="Arial"/>
        </w:rPr>
      </w:pPr>
    </w:p>
    <w:p w14:paraId="005BADE0" w14:textId="77777777" w:rsidR="00C6733C" w:rsidRDefault="006D0638">
      <w:pPr>
        <w:tabs>
          <w:tab w:val="left" w:pos="567"/>
          <w:tab w:val="left" w:pos="6634"/>
        </w:tabs>
        <w:ind w:right="-29"/>
        <w:jc w:val="both"/>
        <w:rPr>
          <w:rFonts w:ascii="Arial" w:hAnsi="Arial" w:cs="Arial"/>
        </w:rPr>
      </w:pPr>
      <w:r>
        <w:rPr>
          <w:rFonts w:ascii="Arial" w:hAnsi="Arial" w:cs="Arial"/>
        </w:rPr>
        <w:t xml:space="preserve">Tratándose de recursos federales, se sujetarán a las disposiciones legales aplicables. </w:t>
      </w:r>
    </w:p>
    <w:p w14:paraId="582A2A83" w14:textId="77777777" w:rsidR="00C6733C" w:rsidRDefault="00C6733C">
      <w:pPr>
        <w:tabs>
          <w:tab w:val="left" w:pos="567"/>
          <w:tab w:val="left" w:pos="6634"/>
        </w:tabs>
        <w:ind w:right="-29"/>
        <w:jc w:val="both"/>
        <w:rPr>
          <w:rFonts w:ascii="Arial" w:hAnsi="Arial" w:cs="Arial"/>
        </w:rPr>
      </w:pPr>
    </w:p>
    <w:p w14:paraId="64ADD003" w14:textId="77777777" w:rsidR="00C6733C" w:rsidRDefault="006D0638">
      <w:pPr>
        <w:tabs>
          <w:tab w:val="left" w:pos="567"/>
          <w:tab w:val="left" w:pos="6634"/>
        </w:tabs>
        <w:ind w:right="-29"/>
        <w:jc w:val="both"/>
        <w:rPr>
          <w:rFonts w:ascii="Arial" w:hAnsi="Arial" w:cs="Arial"/>
        </w:rPr>
      </w:pPr>
      <w:r>
        <w:rPr>
          <w:rFonts w:ascii="Arial" w:hAnsi="Arial" w:cs="Arial"/>
          <w:b/>
        </w:rPr>
        <w:t>Artículo 15.</w:t>
      </w:r>
      <w:r>
        <w:rPr>
          <w:rFonts w:ascii="Arial" w:hAnsi="Arial" w:cs="Arial"/>
        </w:rPr>
        <w:t xml:space="preserve"> El Ejecutivo Estatal, por conducto de la Secretaría, en el ámbito de su compet</w:t>
      </w:r>
      <w:r>
        <w:rPr>
          <w:rFonts w:ascii="Arial" w:hAnsi="Arial" w:cs="Arial"/>
        </w:rPr>
        <w:t xml:space="preserve">encia y de conformidad con el Artículo 19 de la Ley, podrá efectuar adecuaciones al Presupuesto de Egresos aprobado a los Ejecutores de gasto. </w:t>
      </w:r>
    </w:p>
    <w:p w14:paraId="7B11E4F1" w14:textId="77777777" w:rsidR="00C6733C" w:rsidRDefault="00C6733C">
      <w:pPr>
        <w:tabs>
          <w:tab w:val="left" w:pos="567"/>
          <w:tab w:val="left" w:pos="6634"/>
        </w:tabs>
        <w:ind w:right="-29"/>
        <w:jc w:val="both"/>
        <w:rPr>
          <w:rFonts w:ascii="Arial" w:hAnsi="Arial" w:cs="Arial"/>
        </w:rPr>
      </w:pPr>
    </w:p>
    <w:p w14:paraId="7888FA4B" w14:textId="77777777" w:rsidR="00C6733C" w:rsidRDefault="006D0638">
      <w:pPr>
        <w:tabs>
          <w:tab w:val="left" w:pos="567"/>
          <w:tab w:val="left" w:pos="6634"/>
        </w:tabs>
        <w:ind w:right="-29"/>
        <w:jc w:val="both"/>
        <w:rPr>
          <w:rFonts w:ascii="Arial" w:hAnsi="Arial" w:cs="Arial"/>
        </w:rPr>
      </w:pPr>
      <w:r>
        <w:rPr>
          <w:rFonts w:ascii="Arial" w:hAnsi="Arial" w:cs="Arial"/>
        </w:rPr>
        <w:t>Los ajustes y reducciones deberán realizarse en forma selectiva, sin afectar a los programas de desarrollo soci</w:t>
      </w:r>
      <w:r>
        <w:rPr>
          <w:rFonts w:ascii="Arial" w:hAnsi="Arial" w:cs="Arial"/>
        </w:rPr>
        <w:t xml:space="preserve">al y de género. Tratándose de programas estratégicos o de proyectos de inversión se deberá optar por aquellos de menor productividad e impacto social y económico. </w:t>
      </w:r>
    </w:p>
    <w:p w14:paraId="39F6FC1E" w14:textId="77777777" w:rsidR="00C6733C" w:rsidRDefault="00C6733C">
      <w:pPr>
        <w:tabs>
          <w:tab w:val="left" w:pos="567"/>
          <w:tab w:val="left" w:pos="6634"/>
        </w:tabs>
        <w:ind w:right="-29"/>
        <w:jc w:val="both"/>
        <w:rPr>
          <w:rFonts w:ascii="Arial" w:hAnsi="Arial" w:cs="Arial"/>
        </w:rPr>
      </w:pPr>
    </w:p>
    <w:p w14:paraId="5332E1E4" w14:textId="77777777" w:rsidR="00C6733C" w:rsidRDefault="006D0638">
      <w:pPr>
        <w:tabs>
          <w:tab w:val="left" w:pos="567"/>
          <w:tab w:val="left" w:pos="6634"/>
        </w:tabs>
        <w:ind w:right="-29"/>
        <w:jc w:val="both"/>
        <w:rPr>
          <w:rFonts w:ascii="Arial" w:hAnsi="Arial" w:cs="Arial"/>
        </w:rPr>
      </w:pPr>
      <w:r>
        <w:rPr>
          <w:rFonts w:ascii="Arial" w:hAnsi="Arial" w:cs="Arial"/>
          <w:b/>
        </w:rPr>
        <w:t>Artículo 16.</w:t>
      </w:r>
      <w:r>
        <w:rPr>
          <w:rFonts w:ascii="Arial" w:hAnsi="Arial" w:cs="Arial"/>
        </w:rPr>
        <w:t xml:space="preserve"> Las Dependencias y Entidades deberán registrar en el sistema electrónico autor</w:t>
      </w:r>
      <w:r>
        <w:rPr>
          <w:rFonts w:ascii="Arial" w:hAnsi="Arial" w:cs="Arial"/>
        </w:rPr>
        <w:t xml:space="preserve">izado por la Secretaría, todas las operaciones que involucren compromisos financieros con recursos públicos, los cuales sólo se podrán erogar si se cuenta con disponibilidad presupuestaria reflejada del presupuesto modificado. </w:t>
      </w:r>
    </w:p>
    <w:p w14:paraId="6210BD3F" w14:textId="77777777" w:rsidR="00C6733C" w:rsidRDefault="00C6733C">
      <w:pPr>
        <w:tabs>
          <w:tab w:val="left" w:pos="567"/>
          <w:tab w:val="left" w:pos="6634"/>
        </w:tabs>
        <w:ind w:right="-29"/>
        <w:jc w:val="both"/>
        <w:rPr>
          <w:rFonts w:ascii="Arial" w:hAnsi="Arial" w:cs="Arial"/>
        </w:rPr>
      </w:pPr>
    </w:p>
    <w:p w14:paraId="3738F66D" w14:textId="77777777" w:rsidR="00C6733C" w:rsidRDefault="006D0638">
      <w:pPr>
        <w:tabs>
          <w:tab w:val="left" w:pos="567"/>
          <w:tab w:val="left" w:pos="6634"/>
        </w:tabs>
        <w:ind w:right="-29"/>
        <w:jc w:val="both"/>
        <w:rPr>
          <w:rFonts w:ascii="Arial" w:hAnsi="Arial" w:cs="Arial"/>
        </w:rPr>
      </w:pPr>
      <w:r>
        <w:rPr>
          <w:rFonts w:ascii="Arial" w:hAnsi="Arial" w:cs="Arial"/>
          <w:b/>
        </w:rPr>
        <w:t>Artículo 17.</w:t>
      </w:r>
      <w:r>
        <w:rPr>
          <w:rFonts w:ascii="Arial" w:hAnsi="Arial" w:cs="Arial"/>
        </w:rPr>
        <w:t xml:space="preserve"> Las economías </w:t>
      </w:r>
      <w:r>
        <w:rPr>
          <w:rFonts w:ascii="Arial" w:hAnsi="Arial" w:cs="Arial"/>
        </w:rPr>
        <w:t xml:space="preserve">y ahorros presupuestarios, podrán ser reducidos por la Secretaría, sin que para ello se requiera la aprobación de los Ejecutores de gasto. </w:t>
      </w:r>
    </w:p>
    <w:p w14:paraId="1F527397" w14:textId="77777777" w:rsidR="00C6733C" w:rsidRDefault="00C6733C">
      <w:pPr>
        <w:tabs>
          <w:tab w:val="left" w:pos="567"/>
          <w:tab w:val="left" w:pos="6634"/>
        </w:tabs>
        <w:ind w:right="-29"/>
        <w:jc w:val="both"/>
        <w:rPr>
          <w:rFonts w:ascii="Arial" w:hAnsi="Arial" w:cs="Arial"/>
        </w:rPr>
      </w:pPr>
    </w:p>
    <w:p w14:paraId="39291FFA" w14:textId="77777777" w:rsidR="00C6733C" w:rsidRDefault="006D0638">
      <w:pPr>
        <w:tabs>
          <w:tab w:val="left" w:pos="567"/>
          <w:tab w:val="left" w:pos="6634"/>
        </w:tabs>
        <w:ind w:right="-29"/>
        <w:jc w:val="both"/>
        <w:rPr>
          <w:rFonts w:ascii="Arial" w:hAnsi="Arial" w:cs="Arial"/>
        </w:rPr>
      </w:pPr>
      <w:r>
        <w:rPr>
          <w:rFonts w:ascii="Arial" w:hAnsi="Arial" w:cs="Arial"/>
        </w:rPr>
        <w:t>Con la aprobación de la Secretaría, los ahorros presupuestarios que se obtengan durante el ejercicio, se podrán rea</w:t>
      </w:r>
      <w:r>
        <w:rPr>
          <w:rFonts w:ascii="Arial" w:hAnsi="Arial" w:cs="Arial"/>
        </w:rPr>
        <w:t xml:space="preserve">signar a obras o actividades de las Dependencias o Entidades siempre y cuando correspondan a prioridades establecidas en sus programas de acuerdo a su naturaleza. Dichas reasignaciones serán no regularizables para el siguiente ejercicio fiscal. </w:t>
      </w:r>
    </w:p>
    <w:p w14:paraId="79BC9588" w14:textId="77777777" w:rsidR="00C6733C" w:rsidRDefault="00C6733C">
      <w:pPr>
        <w:tabs>
          <w:tab w:val="left" w:pos="567"/>
          <w:tab w:val="left" w:pos="6634"/>
        </w:tabs>
        <w:ind w:right="-29"/>
        <w:jc w:val="both"/>
        <w:rPr>
          <w:rFonts w:ascii="Arial" w:hAnsi="Arial" w:cs="Arial"/>
        </w:rPr>
      </w:pPr>
    </w:p>
    <w:p w14:paraId="52C168D5" w14:textId="77777777" w:rsidR="00C6733C" w:rsidRDefault="006D0638">
      <w:pPr>
        <w:tabs>
          <w:tab w:val="left" w:pos="567"/>
          <w:tab w:val="left" w:pos="6634"/>
        </w:tabs>
        <w:ind w:right="-29"/>
        <w:jc w:val="both"/>
        <w:rPr>
          <w:rFonts w:ascii="Arial" w:hAnsi="Arial" w:cs="Arial"/>
        </w:rPr>
      </w:pPr>
      <w:r>
        <w:rPr>
          <w:rFonts w:ascii="Arial" w:hAnsi="Arial" w:cs="Arial"/>
          <w:b/>
        </w:rPr>
        <w:t xml:space="preserve">Artículo </w:t>
      </w:r>
      <w:r>
        <w:rPr>
          <w:rFonts w:ascii="Arial" w:hAnsi="Arial" w:cs="Arial"/>
          <w:b/>
        </w:rPr>
        <w:t>18.</w:t>
      </w:r>
      <w:r>
        <w:rPr>
          <w:rFonts w:ascii="Arial" w:hAnsi="Arial" w:cs="Arial"/>
        </w:rPr>
        <w:t xml:space="preserve"> En el ejercicio del Presupuesto de egresos, los Ejecutores de gasto se sujetarán a los montos y calendarios autorizados, así como a la disponibilidad financiera durante el ejercicio fiscal. La Secretaría determinará la calendarización congruente con lo</w:t>
      </w:r>
      <w:r>
        <w:rPr>
          <w:rFonts w:ascii="Arial" w:hAnsi="Arial" w:cs="Arial"/>
        </w:rPr>
        <w:t xml:space="preserve">s flujos de ingresos. </w:t>
      </w:r>
    </w:p>
    <w:p w14:paraId="60DF98E8" w14:textId="77777777" w:rsidR="00C6733C" w:rsidRDefault="00C6733C">
      <w:pPr>
        <w:tabs>
          <w:tab w:val="left" w:pos="567"/>
          <w:tab w:val="left" w:pos="6634"/>
        </w:tabs>
        <w:ind w:right="-29"/>
        <w:jc w:val="both"/>
        <w:rPr>
          <w:rFonts w:ascii="Arial" w:hAnsi="Arial" w:cs="Arial"/>
        </w:rPr>
      </w:pPr>
    </w:p>
    <w:p w14:paraId="7CF9DAD6" w14:textId="77777777" w:rsidR="00C6733C" w:rsidRDefault="006D0638">
      <w:pPr>
        <w:tabs>
          <w:tab w:val="left" w:pos="567"/>
          <w:tab w:val="left" w:pos="6634"/>
        </w:tabs>
        <w:ind w:right="-29"/>
        <w:jc w:val="both"/>
        <w:rPr>
          <w:rFonts w:ascii="Arial" w:hAnsi="Arial" w:cs="Arial"/>
        </w:rPr>
      </w:pPr>
      <w:r>
        <w:rPr>
          <w:rFonts w:ascii="Arial" w:hAnsi="Arial" w:cs="Arial"/>
          <w:b/>
        </w:rPr>
        <w:t>Artículo 19.</w:t>
      </w:r>
      <w:r>
        <w:rPr>
          <w:rFonts w:ascii="Arial" w:hAnsi="Arial" w:cs="Arial"/>
        </w:rPr>
        <w:t xml:space="preserve"> Los Ejecutores de gasto proporcionarán a la Secretaría, la información presupuestaria y financiera que se les requiera, de conformidad con las disposiciones vigentes. </w:t>
      </w:r>
    </w:p>
    <w:p w14:paraId="184D4CCA" w14:textId="77777777" w:rsidR="00C6733C" w:rsidRDefault="00C6733C">
      <w:pPr>
        <w:tabs>
          <w:tab w:val="left" w:pos="567"/>
          <w:tab w:val="left" w:pos="6634"/>
        </w:tabs>
        <w:ind w:right="-29"/>
        <w:jc w:val="both"/>
        <w:rPr>
          <w:rFonts w:ascii="Arial" w:hAnsi="Arial" w:cs="Arial"/>
        </w:rPr>
      </w:pPr>
    </w:p>
    <w:p w14:paraId="68879D66" w14:textId="77777777" w:rsidR="00C6733C" w:rsidRDefault="006D0638">
      <w:pPr>
        <w:tabs>
          <w:tab w:val="left" w:pos="567"/>
          <w:tab w:val="left" w:pos="6634"/>
        </w:tabs>
        <w:ind w:right="-29"/>
        <w:jc w:val="both"/>
        <w:rPr>
          <w:rFonts w:ascii="Arial" w:hAnsi="Arial" w:cs="Arial"/>
        </w:rPr>
      </w:pPr>
      <w:r>
        <w:rPr>
          <w:rFonts w:ascii="Arial" w:hAnsi="Arial" w:cs="Arial"/>
          <w:b/>
        </w:rPr>
        <w:t>Artículo 20.</w:t>
      </w:r>
      <w:r>
        <w:rPr>
          <w:rFonts w:ascii="Arial" w:hAnsi="Arial" w:cs="Arial"/>
        </w:rPr>
        <w:t xml:space="preserve"> Los recursos que los Ejecutores de ga</w:t>
      </w:r>
      <w:r>
        <w:rPr>
          <w:rFonts w:ascii="Arial" w:hAnsi="Arial" w:cs="Arial"/>
        </w:rPr>
        <w:t>sto generen o recauden por los servicios que presten y por el otorgamiento del uso, goce o aprovechamiento de bienes de dominio público a los que hace referencia la Ley de Ingresos del Estado de Oaxaca para el Ejercicio Fiscal 2020, la Ley Estatal de Derec</w:t>
      </w:r>
      <w:r>
        <w:rPr>
          <w:rFonts w:ascii="Arial" w:hAnsi="Arial" w:cs="Arial"/>
        </w:rPr>
        <w:t xml:space="preserve">hos de Oaxaca y en las reglas de carácter general vigentes que al efecto emite la Secretaría, están incluidos en las asignaciones estatales ordinarias aprobadas a los Ejecutores de gasto al inicio del ejercicio fiscal por lo que es requisito indispensable </w:t>
      </w:r>
      <w:r>
        <w:rPr>
          <w:rFonts w:ascii="Arial" w:hAnsi="Arial" w:cs="Arial"/>
        </w:rPr>
        <w:t xml:space="preserve">el estricto cumplimiento a lo dispuesto por el Artículo 4 de la citada Ley de Ingresos. </w:t>
      </w:r>
    </w:p>
    <w:p w14:paraId="35AE3EDA" w14:textId="77777777" w:rsidR="00C6733C" w:rsidRDefault="00C6733C">
      <w:pPr>
        <w:tabs>
          <w:tab w:val="left" w:pos="567"/>
          <w:tab w:val="left" w:pos="6634"/>
        </w:tabs>
        <w:ind w:right="-29"/>
        <w:jc w:val="both"/>
        <w:rPr>
          <w:rFonts w:ascii="Arial" w:hAnsi="Arial" w:cs="Arial"/>
        </w:rPr>
      </w:pPr>
    </w:p>
    <w:p w14:paraId="78AE0124" w14:textId="77777777" w:rsidR="00C6733C" w:rsidRDefault="006D0638">
      <w:pPr>
        <w:tabs>
          <w:tab w:val="left" w:pos="567"/>
          <w:tab w:val="left" w:pos="6634"/>
        </w:tabs>
        <w:ind w:right="-29"/>
        <w:jc w:val="both"/>
        <w:rPr>
          <w:rFonts w:ascii="Arial" w:hAnsi="Arial" w:cs="Arial"/>
        </w:rPr>
      </w:pPr>
      <w:r>
        <w:rPr>
          <w:rFonts w:ascii="Arial" w:hAnsi="Arial" w:cs="Arial"/>
        </w:rPr>
        <w:t>Los servidores públicos que no den cumplimiento a lo establecido en el párrafo anterior, incurrirán en responsabilidad, que se sancionará conforme a la Ley de Respons</w:t>
      </w:r>
      <w:r>
        <w:rPr>
          <w:rFonts w:ascii="Arial" w:hAnsi="Arial" w:cs="Arial"/>
        </w:rPr>
        <w:t xml:space="preserve">abilidades, la Ley y los demás ordenamientos legales aplicables. </w:t>
      </w:r>
    </w:p>
    <w:p w14:paraId="466EBB03" w14:textId="77777777" w:rsidR="00C6733C" w:rsidRDefault="00C6733C">
      <w:pPr>
        <w:tabs>
          <w:tab w:val="left" w:pos="567"/>
          <w:tab w:val="left" w:pos="6634"/>
        </w:tabs>
        <w:ind w:right="-29"/>
        <w:jc w:val="both"/>
        <w:rPr>
          <w:rFonts w:ascii="Arial" w:hAnsi="Arial" w:cs="Arial"/>
        </w:rPr>
      </w:pPr>
    </w:p>
    <w:p w14:paraId="21094286" w14:textId="77777777" w:rsidR="00C6733C" w:rsidRDefault="006D0638">
      <w:pPr>
        <w:tabs>
          <w:tab w:val="left" w:pos="567"/>
          <w:tab w:val="left" w:pos="6634"/>
        </w:tabs>
        <w:ind w:right="-29"/>
        <w:jc w:val="both"/>
        <w:rPr>
          <w:rFonts w:ascii="Arial" w:hAnsi="Arial" w:cs="Arial"/>
        </w:rPr>
      </w:pPr>
      <w:r>
        <w:rPr>
          <w:rFonts w:ascii="Arial" w:hAnsi="Arial" w:cs="Arial"/>
          <w:b/>
        </w:rPr>
        <w:t>Artículo 21.</w:t>
      </w:r>
      <w:r>
        <w:rPr>
          <w:rFonts w:ascii="Arial" w:hAnsi="Arial" w:cs="Arial"/>
        </w:rPr>
        <w:t xml:space="preserve"> Los titulares de los Ejecutores de gasto, los titulares de las Unidades de administración y de las áreas operativas, son responsables de las cantidades que indebidamente se pag</w:t>
      </w:r>
      <w:r>
        <w:rPr>
          <w:rFonts w:ascii="Arial" w:hAnsi="Arial" w:cs="Arial"/>
        </w:rPr>
        <w:t xml:space="preserve">uen cuando la documentación comprobatoria del gasto no cumpla con los requisitos fiscales y administrativos vigentes o cuando rebasen el importe del Presupuesto de egresos disponible. </w:t>
      </w:r>
    </w:p>
    <w:p w14:paraId="7B49DFC0" w14:textId="77777777" w:rsidR="00C6733C" w:rsidRDefault="00C6733C">
      <w:pPr>
        <w:tabs>
          <w:tab w:val="left" w:pos="567"/>
          <w:tab w:val="left" w:pos="6634"/>
        </w:tabs>
        <w:ind w:right="-29"/>
        <w:jc w:val="both"/>
        <w:rPr>
          <w:rFonts w:ascii="Arial" w:hAnsi="Arial" w:cs="Arial"/>
        </w:rPr>
      </w:pPr>
    </w:p>
    <w:p w14:paraId="5C19B71E" w14:textId="77777777" w:rsidR="00C6733C" w:rsidRDefault="006D0638">
      <w:pPr>
        <w:tabs>
          <w:tab w:val="left" w:pos="567"/>
          <w:tab w:val="left" w:pos="6634"/>
        </w:tabs>
        <w:ind w:right="-29"/>
        <w:jc w:val="both"/>
        <w:rPr>
          <w:rFonts w:ascii="Arial" w:hAnsi="Arial" w:cs="Arial"/>
        </w:rPr>
      </w:pPr>
      <w:r>
        <w:rPr>
          <w:rFonts w:ascii="Arial" w:hAnsi="Arial" w:cs="Arial"/>
        </w:rPr>
        <w:t xml:space="preserve">En el ejercicio del gasto se deberán sujetar a las disposiciones legales que le sean aplicables. </w:t>
      </w:r>
    </w:p>
    <w:p w14:paraId="6192E92A" w14:textId="77777777" w:rsidR="00C6733C" w:rsidRDefault="00C6733C">
      <w:pPr>
        <w:tabs>
          <w:tab w:val="left" w:pos="567"/>
          <w:tab w:val="left" w:pos="6634"/>
        </w:tabs>
        <w:ind w:right="-29"/>
        <w:jc w:val="both"/>
        <w:rPr>
          <w:rFonts w:ascii="Arial" w:hAnsi="Arial" w:cs="Arial"/>
        </w:rPr>
      </w:pPr>
    </w:p>
    <w:p w14:paraId="5C07E658" w14:textId="77777777" w:rsidR="00C6733C" w:rsidRDefault="006D0638">
      <w:pPr>
        <w:tabs>
          <w:tab w:val="left" w:pos="567"/>
          <w:tab w:val="left" w:pos="6634"/>
        </w:tabs>
        <w:ind w:right="-29"/>
        <w:jc w:val="both"/>
        <w:rPr>
          <w:rFonts w:ascii="Arial" w:hAnsi="Arial" w:cs="Arial"/>
        </w:rPr>
      </w:pPr>
      <w:r>
        <w:rPr>
          <w:rFonts w:ascii="Arial" w:hAnsi="Arial" w:cs="Arial"/>
          <w:b/>
        </w:rPr>
        <w:t>Artículo 22.</w:t>
      </w:r>
      <w:r>
        <w:rPr>
          <w:rFonts w:ascii="Arial" w:hAnsi="Arial" w:cs="Arial"/>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w:t>
      </w:r>
      <w:r>
        <w:rPr>
          <w:rFonts w:ascii="Arial" w:hAnsi="Arial" w:cs="Arial"/>
        </w:rPr>
        <w:t>osiciones aplicables.</w:t>
      </w:r>
    </w:p>
    <w:p w14:paraId="361CA200" w14:textId="77777777" w:rsidR="00C6733C" w:rsidRDefault="00C6733C">
      <w:pPr>
        <w:tabs>
          <w:tab w:val="left" w:pos="567"/>
          <w:tab w:val="left" w:pos="6634"/>
        </w:tabs>
        <w:ind w:right="-29"/>
        <w:jc w:val="both"/>
        <w:rPr>
          <w:rFonts w:ascii="Arial" w:hAnsi="Arial" w:cs="Arial"/>
        </w:rPr>
      </w:pPr>
    </w:p>
    <w:p w14:paraId="037FA049" w14:textId="77777777" w:rsidR="00C6733C" w:rsidRDefault="006D0638">
      <w:pPr>
        <w:tabs>
          <w:tab w:val="left" w:pos="567"/>
          <w:tab w:val="left" w:pos="6634"/>
        </w:tabs>
        <w:ind w:right="-29"/>
        <w:jc w:val="both"/>
        <w:rPr>
          <w:rFonts w:ascii="Arial" w:hAnsi="Arial" w:cs="Arial"/>
        </w:rPr>
      </w:pPr>
      <w:r>
        <w:rPr>
          <w:rFonts w:ascii="Arial" w:hAnsi="Arial" w:cs="Arial"/>
          <w:b/>
        </w:rPr>
        <w:t>Artículo 23.</w:t>
      </w:r>
      <w:r>
        <w:rPr>
          <w:rFonts w:ascii="Arial" w:hAnsi="Arial" w:cs="Arial"/>
        </w:rPr>
        <w:t xml:space="preserve"> Los ingresos excedentes que se obtengan, se registrarán observando lo siguiente: </w:t>
      </w:r>
    </w:p>
    <w:p w14:paraId="5234D288" w14:textId="77777777" w:rsidR="00C6733C" w:rsidRDefault="00C6733C">
      <w:pPr>
        <w:tabs>
          <w:tab w:val="left" w:pos="567"/>
          <w:tab w:val="left" w:pos="6634"/>
        </w:tabs>
        <w:ind w:right="-29"/>
        <w:jc w:val="both"/>
        <w:rPr>
          <w:rFonts w:ascii="Arial" w:hAnsi="Arial" w:cs="Arial"/>
        </w:rPr>
      </w:pPr>
    </w:p>
    <w:p w14:paraId="4F7D8638" w14:textId="77777777" w:rsidR="00C6733C" w:rsidRDefault="006D0638">
      <w:pPr>
        <w:pStyle w:val="Prrafodelista"/>
        <w:numPr>
          <w:ilvl w:val="0"/>
          <w:numId w:val="7"/>
        </w:numPr>
        <w:tabs>
          <w:tab w:val="left" w:pos="567"/>
        </w:tabs>
        <w:spacing w:before="0"/>
        <w:ind w:left="567" w:right="-29" w:hanging="280"/>
        <w:jc w:val="both"/>
      </w:pPr>
      <w:r>
        <w:t>Los ingresos excedentes derivados de ingresos de libre disposición, deberán ser destinados a los conceptos señalados en el Artículo 14 de</w:t>
      </w:r>
      <w:r>
        <w:t xml:space="preserve"> la Ley de Disciplina, y</w:t>
      </w:r>
    </w:p>
    <w:p w14:paraId="1D92F1E1" w14:textId="77777777" w:rsidR="00C6733C" w:rsidRDefault="00C6733C">
      <w:pPr>
        <w:tabs>
          <w:tab w:val="left" w:pos="567"/>
        </w:tabs>
        <w:ind w:right="-29"/>
        <w:rPr>
          <w:rFonts w:ascii="Arial" w:hAnsi="Arial" w:cs="Arial"/>
        </w:rPr>
      </w:pPr>
    </w:p>
    <w:p w14:paraId="29560EEB" w14:textId="77777777" w:rsidR="00C6733C" w:rsidRDefault="006D0638">
      <w:pPr>
        <w:pStyle w:val="Prrafodelista"/>
        <w:numPr>
          <w:ilvl w:val="0"/>
          <w:numId w:val="7"/>
        </w:numPr>
        <w:tabs>
          <w:tab w:val="left" w:pos="567"/>
        </w:tabs>
        <w:spacing w:before="0"/>
        <w:ind w:left="567" w:right="-29" w:hanging="280"/>
        <w:jc w:val="both"/>
      </w:pPr>
      <w:r>
        <w:t>Los ingresos excedentes derivados de transferencias federales etiquetadas, deberán ser destinados conforme a lo previsto en la legislación federal aplicable. Los recursos excedentes señalados en esta fracción se considerarán de am</w:t>
      </w:r>
      <w:r>
        <w:t xml:space="preserve">pliación automática. </w:t>
      </w:r>
    </w:p>
    <w:p w14:paraId="65872077" w14:textId="77777777" w:rsidR="00C6733C" w:rsidRDefault="00C6733C">
      <w:pPr>
        <w:pStyle w:val="Prrafodelista"/>
        <w:spacing w:before="0"/>
      </w:pPr>
    </w:p>
    <w:p w14:paraId="0BF55FEF" w14:textId="77777777" w:rsidR="00C6733C" w:rsidRDefault="006D0638">
      <w:pPr>
        <w:tabs>
          <w:tab w:val="left" w:pos="567"/>
        </w:tabs>
        <w:ind w:right="-29"/>
        <w:jc w:val="both"/>
        <w:rPr>
          <w:rFonts w:ascii="Arial" w:hAnsi="Arial" w:cs="Arial"/>
        </w:rPr>
      </w:pPr>
      <w:r>
        <w:rPr>
          <w:rFonts w:ascii="Arial" w:hAnsi="Arial" w:cs="Arial"/>
          <w:b/>
        </w:rPr>
        <w:t>Artículo 24.</w:t>
      </w:r>
      <w:r>
        <w:rPr>
          <w:rFonts w:ascii="Arial" w:hAnsi="Arial" w:cs="Arial"/>
        </w:rPr>
        <w:t xml:space="preserve"> Formarán parte de este Decreto los montos de recursos adicionales y distintos a los contenidos en el mismo, que se asignen al Estado mediante el Decreto de Presupuesto de Egresos de la Federación para el Ejercicio Fiscal</w:t>
      </w:r>
      <w:r>
        <w:rPr>
          <w:rFonts w:ascii="Arial" w:hAnsi="Arial" w:cs="Arial"/>
        </w:rPr>
        <w:t xml:space="preserve"> 2020 y que por disposición de la legislación federal aplicable deban ser administrados, ejercidos, controlados, informados y evaluados por las Dependencias y Entidades de la Administración Pública Estatal. </w:t>
      </w:r>
    </w:p>
    <w:p w14:paraId="5F6DFA1C" w14:textId="77777777" w:rsidR="00C6733C" w:rsidRDefault="00C6733C">
      <w:pPr>
        <w:tabs>
          <w:tab w:val="left" w:pos="567"/>
        </w:tabs>
        <w:ind w:right="-29"/>
        <w:jc w:val="both"/>
        <w:rPr>
          <w:rFonts w:ascii="Arial" w:hAnsi="Arial" w:cs="Arial"/>
        </w:rPr>
      </w:pPr>
    </w:p>
    <w:p w14:paraId="1920FD69" w14:textId="77777777" w:rsidR="00C6733C" w:rsidRDefault="006D0638">
      <w:pPr>
        <w:tabs>
          <w:tab w:val="left" w:pos="567"/>
        </w:tabs>
        <w:ind w:right="-29"/>
        <w:jc w:val="center"/>
        <w:rPr>
          <w:rFonts w:ascii="Arial" w:hAnsi="Arial" w:cs="Arial"/>
          <w:b/>
        </w:rPr>
      </w:pPr>
      <w:r>
        <w:rPr>
          <w:rFonts w:ascii="Arial" w:hAnsi="Arial" w:cs="Arial"/>
          <w:b/>
        </w:rPr>
        <w:t>Título Segundo</w:t>
      </w:r>
    </w:p>
    <w:p w14:paraId="21A65494" w14:textId="77777777" w:rsidR="00C6733C" w:rsidRDefault="006D0638">
      <w:pPr>
        <w:tabs>
          <w:tab w:val="left" w:pos="567"/>
        </w:tabs>
        <w:ind w:right="-29"/>
        <w:jc w:val="center"/>
        <w:rPr>
          <w:rFonts w:ascii="Arial" w:hAnsi="Arial" w:cs="Arial"/>
          <w:b/>
        </w:rPr>
      </w:pPr>
      <w:r>
        <w:rPr>
          <w:rFonts w:ascii="Arial" w:hAnsi="Arial" w:cs="Arial"/>
          <w:b/>
        </w:rPr>
        <w:t>Asignaciones Generales</w:t>
      </w:r>
    </w:p>
    <w:p w14:paraId="0507646C" w14:textId="77777777" w:rsidR="00C6733C" w:rsidRDefault="00C6733C">
      <w:pPr>
        <w:tabs>
          <w:tab w:val="left" w:pos="567"/>
        </w:tabs>
        <w:ind w:right="-29"/>
        <w:jc w:val="center"/>
        <w:rPr>
          <w:rFonts w:ascii="Arial" w:hAnsi="Arial" w:cs="Arial"/>
          <w:b/>
        </w:rPr>
      </w:pPr>
    </w:p>
    <w:p w14:paraId="07A42E9F" w14:textId="77777777" w:rsidR="00C6733C" w:rsidRDefault="006D0638">
      <w:pPr>
        <w:tabs>
          <w:tab w:val="left" w:pos="567"/>
        </w:tabs>
        <w:ind w:right="-29"/>
        <w:jc w:val="both"/>
        <w:rPr>
          <w:rFonts w:ascii="Arial" w:hAnsi="Arial" w:cs="Arial"/>
          <w:b/>
        </w:rPr>
      </w:pPr>
      <w:r>
        <w:rPr>
          <w:rFonts w:ascii="Arial" w:hAnsi="Arial" w:cs="Arial"/>
          <w:b/>
          <w:bCs/>
        </w:rPr>
        <w:t>Artículo</w:t>
      </w:r>
      <w:r>
        <w:rPr>
          <w:rFonts w:ascii="Arial" w:hAnsi="Arial" w:cs="Arial"/>
          <w:b/>
          <w:bCs/>
        </w:rPr>
        <w:t xml:space="preserve"> 25</w:t>
      </w:r>
      <w:r>
        <w:rPr>
          <w:rFonts w:ascii="Arial" w:hAnsi="Arial" w:cs="Arial"/>
        </w:rPr>
        <w:t>. El gasto total importa la cantidad de: $</w:t>
      </w:r>
      <w:r>
        <w:rPr>
          <w:rFonts w:ascii="Arial" w:eastAsia="Times New Roman" w:hAnsi="Arial" w:cs="Arial"/>
          <w:lang w:bidi="ar-SA"/>
        </w:rPr>
        <w:t>76,008,676,024.00</w:t>
      </w:r>
      <w:r>
        <w:rPr>
          <w:rFonts w:ascii="Arial" w:hAnsi="Arial" w:cs="Arial"/>
        </w:rPr>
        <w:t xml:space="preserve"> (</w:t>
      </w:r>
      <w:r>
        <w:rPr>
          <w:rFonts w:ascii="Arial" w:eastAsia="Times New Roman" w:hAnsi="Arial" w:cs="Arial"/>
          <w:color w:val="000000"/>
          <w:lang w:bidi="ar-SA"/>
        </w:rPr>
        <w:t xml:space="preserve">Setenta y seis mil ocho millones seiscientos setenta y seis mil veinticuatro pesos </w:t>
      </w:r>
      <w:r>
        <w:rPr>
          <w:rFonts w:ascii="Arial" w:hAnsi="Arial" w:cs="Arial"/>
        </w:rPr>
        <w:t>00/100 M.N.).</w:t>
      </w:r>
    </w:p>
    <w:p w14:paraId="409D43C2" w14:textId="77777777" w:rsidR="00C6733C" w:rsidRDefault="00C6733C">
      <w:pPr>
        <w:tabs>
          <w:tab w:val="left" w:pos="567"/>
        </w:tabs>
        <w:ind w:right="-29"/>
        <w:jc w:val="both"/>
        <w:rPr>
          <w:rFonts w:ascii="Arial" w:hAnsi="Arial" w:cs="Arial"/>
        </w:rPr>
      </w:pPr>
    </w:p>
    <w:p w14:paraId="6C3D3394" w14:textId="77777777" w:rsidR="00C6733C" w:rsidRDefault="006D0638">
      <w:pPr>
        <w:tabs>
          <w:tab w:val="left" w:pos="567"/>
        </w:tabs>
        <w:ind w:right="-29"/>
        <w:jc w:val="both"/>
        <w:rPr>
          <w:rFonts w:ascii="Arial" w:hAnsi="Arial" w:cs="Arial"/>
        </w:rPr>
      </w:pPr>
      <w:r>
        <w:rPr>
          <w:rFonts w:ascii="Arial" w:hAnsi="Arial" w:cs="Arial"/>
          <w:b/>
          <w:bCs/>
        </w:rPr>
        <w:t>Artículo 26.</w:t>
      </w:r>
      <w:r>
        <w:rPr>
          <w:rFonts w:ascii="Arial" w:hAnsi="Arial" w:cs="Arial"/>
        </w:rPr>
        <w:t xml:space="preserve"> El Presupuesto de egresos asignado al Poder Legislativo es de: $521,564,292.00</w:t>
      </w:r>
      <w:r>
        <w:rPr>
          <w:rFonts w:ascii="Arial" w:eastAsia="Times New Roman" w:hAnsi="Arial" w:cs="Arial"/>
          <w:sz w:val="20"/>
          <w:szCs w:val="20"/>
          <w:lang w:bidi="ar-SA"/>
        </w:rPr>
        <w:t xml:space="preserve"> </w:t>
      </w:r>
      <w:r>
        <w:rPr>
          <w:rFonts w:ascii="Arial" w:hAnsi="Arial" w:cs="Arial"/>
        </w:rPr>
        <w:t>(</w:t>
      </w:r>
      <w:r>
        <w:rPr>
          <w:rFonts w:ascii="Arial" w:eastAsia="Times New Roman" w:hAnsi="Arial" w:cs="Arial"/>
          <w:color w:val="000000"/>
          <w:lang w:bidi="ar-SA"/>
        </w:rPr>
        <w:t>Q</w:t>
      </w:r>
      <w:r>
        <w:rPr>
          <w:rFonts w:ascii="Arial" w:eastAsia="Times New Roman" w:hAnsi="Arial" w:cs="Arial"/>
          <w:color w:val="000000"/>
          <w:lang w:bidi="ar-SA"/>
        </w:rPr>
        <w:t xml:space="preserve">uinientos veintiún millones quinientos sesenta y cuatro mil doscientos noventa y dos pesos </w:t>
      </w:r>
      <w:r>
        <w:rPr>
          <w:rFonts w:ascii="Arial" w:hAnsi="Arial" w:cs="Arial"/>
        </w:rPr>
        <w:t>00/100 M.N), que se distribuye de la siguiente forma:</w:t>
      </w:r>
    </w:p>
    <w:p w14:paraId="02F0A743" w14:textId="77777777" w:rsidR="00C6733C" w:rsidRDefault="00C6733C">
      <w:pPr>
        <w:tabs>
          <w:tab w:val="left" w:pos="567"/>
        </w:tabs>
        <w:ind w:right="-29"/>
        <w:jc w:val="both"/>
        <w:rPr>
          <w:rFonts w:ascii="Arial" w:hAnsi="Arial" w:cs="Arial"/>
        </w:rPr>
      </w:pPr>
    </w:p>
    <w:p w14:paraId="654D576E" w14:textId="77777777" w:rsidR="00C6733C" w:rsidRDefault="00C6733C">
      <w:pPr>
        <w:tabs>
          <w:tab w:val="left" w:pos="567"/>
        </w:tabs>
        <w:ind w:right="-29"/>
        <w:jc w:val="both"/>
        <w:rPr>
          <w:rFonts w:ascii="Arial" w:hAnsi="Arial" w:cs="Arial"/>
        </w:rPr>
      </w:pPr>
    </w:p>
    <w:tbl>
      <w:tblPr>
        <w:tblW w:w="6919" w:type="dxa"/>
        <w:jc w:val="center"/>
        <w:tblCellMar>
          <w:left w:w="70" w:type="dxa"/>
          <w:right w:w="70" w:type="dxa"/>
        </w:tblCellMar>
        <w:tblLook w:val="04A0" w:firstRow="1" w:lastRow="0" w:firstColumn="1" w:lastColumn="0" w:noHBand="0" w:noVBand="1"/>
      </w:tblPr>
      <w:tblGrid>
        <w:gridCol w:w="5380"/>
        <w:gridCol w:w="1670"/>
      </w:tblGrid>
      <w:tr w:rsidR="00C6733C" w14:paraId="012058F1" w14:textId="77777777">
        <w:trPr>
          <w:trHeight w:val="300"/>
          <w:jc w:val="center"/>
        </w:trPr>
        <w:tc>
          <w:tcPr>
            <w:tcW w:w="5380" w:type="dxa"/>
            <w:tcBorders>
              <w:top w:val="nil"/>
              <w:left w:val="nil"/>
              <w:bottom w:val="nil"/>
              <w:right w:val="nil"/>
            </w:tcBorders>
            <w:shd w:val="clear" w:color="auto" w:fill="auto"/>
            <w:noWrap/>
            <w:vAlign w:val="center"/>
            <w:hideMark/>
          </w:tcPr>
          <w:p w14:paraId="6320099A" w14:textId="77777777" w:rsidR="00C6733C" w:rsidRDefault="00C6733C">
            <w:pPr>
              <w:widowControl/>
              <w:autoSpaceDE/>
              <w:autoSpaceDN/>
              <w:rPr>
                <w:rFonts w:ascii="Arial" w:eastAsia="Times New Roman" w:hAnsi="Arial" w:cs="Arial"/>
                <w:lang w:bidi="ar-SA"/>
              </w:rPr>
            </w:pPr>
          </w:p>
        </w:tc>
        <w:tc>
          <w:tcPr>
            <w:tcW w:w="1539" w:type="dxa"/>
            <w:tcBorders>
              <w:top w:val="nil"/>
              <w:left w:val="nil"/>
              <w:bottom w:val="nil"/>
              <w:right w:val="nil"/>
            </w:tcBorders>
            <w:shd w:val="clear" w:color="auto" w:fill="auto"/>
            <w:noWrap/>
            <w:vAlign w:val="center"/>
            <w:hideMark/>
          </w:tcPr>
          <w:p w14:paraId="5F1D4657"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5E354291" w14:textId="77777777">
        <w:trPr>
          <w:trHeight w:val="300"/>
          <w:jc w:val="center"/>
        </w:trPr>
        <w:tc>
          <w:tcPr>
            <w:tcW w:w="5380" w:type="dxa"/>
            <w:tcBorders>
              <w:top w:val="nil"/>
              <w:left w:val="nil"/>
              <w:bottom w:val="nil"/>
              <w:right w:val="nil"/>
            </w:tcBorders>
            <w:shd w:val="clear" w:color="auto" w:fill="auto"/>
            <w:vAlign w:val="center"/>
            <w:hideMark/>
          </w:tcPr>
          <w:p w14:paraId="5100C72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Congreso del Estado </w:t>
            </w:r>
          </w:p>
        </w:tc>
        <w:tc>
          <w:tcPr>
            <w:tcW w:w="1539" w:type="dxa"/>
            <w:tcBorders>
              <w:top w:val="nil"/>
              <w:left w:val="nil"/>
              <w:bottom w:val="nil"/>
              <w:right w:val="nil"/>
            </w:tcBorders>
            <w:shd w:val="clear" w:color="auto" w:fill="auto"/>
            <w:noWrap/>
            <w:vAlign w:val="center"/>
            <w:hideMark/>
          </w:tcPr>
          <w:p w14:paraId="25E5067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418,696,586.00</w:t>
            </w:r>
          </w:p>
        </w:tc>
      </w:tr>
      <w:tr w:rsidR="00C6733C" w14:paraId="3F189AD9" w14:textId="77777777">
        <w:trPr>
          <w:trHeight w:val="300"/>
          <w:jc w:val="center"/>
        </w:trPr>
        <w:tc>
          <w:tcPr>
            <w:tcW w:w="5380" w:type="dxa"/>
            <w:tcBorders>
              <w:top w:val="nil"/>
              <w:left w:val="nil"/>
              <w:bottom w:val="nil"/>
              <w:right w:val="nil"/>
            </w:tcBorders>
            <w:shd w:val="clear" w:color="auto" w:fill="auto"/>
            <w:vAlign w:val="center"/>
            <w:hideMark/>
          </w:tcPr>
          <w:p w14:paraId="3C4797E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Órgano Superior de Fiscalización del Estado de Oaxaca</w:t>
            </w:r>
          </w:p>
        </w:tc>
        <w:tc>
          <w:tcPr>
            <w:tcW w:w="1539" w:type="dxa"/>
            <w:tcBorders>
              <w:top w:val="nil"/>
              <w:left w:val="nil"/>
              <w:bottom w:val="nil"/>
              <w:right w:val="nil"/>
            </w:tcBorders>
            <w:shd w:val="clear" w:color="auto" w:fill="auto"/>
            <w:noWrap/>
            <w:vAlign w:val="center"/>
            <w:hideMark/>
          </w:tcPr>
          <w:p w14:paraId="219A7F7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102,867,706.00</w:t>
            </w:r>
          </w:p>
        </w:tc>
      </w:tr>
      <w:tr w:rsidR="00C6733C" w14:paraId="73EA8083" w14:textId="77777777">
        <w:trPr>
          <w:trHeight w:val="465"/>
          <w:jc w:val="center"/>
        </w:trPr>
        <w:tc>
          <w:tcPr>
            <w:tcW w:w="5380" w:type="dxa"/>
            <w:tcBorders>
              <w:top w:val="nil"/>
              <w:left w:val="nil"/>
              <w:bottom w:val="nil"/>
              <w:right w:val="nil"/>
            </w:tcBorders>
            <w:shd w:val="clear" w:color="auto" w:fill="auto"/>
            <w:noWrap/>
            <w:vAlign w:val="center"/>
            <w:hideMark/>
          </w:tcPr>
          <w:p w14:paraId="2DF94D8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539" w:type="dxa"/>
            <w:tcBorders>
              <w:top w:val="nil"/>
              <w:left w:val="nil"/>
              <w:bottom w:val="nil"/>
              <w:right w:val="nil"/>
            </w:tcBorders>
            <w:shd w:val="clear" w:color="auto" w:fill="auto"/>
            <w:noWrap/>
            <w:vAlign w:val="center"/>
            <w:hideMark/>
          </w:tcPr>
          <w:p w14:paraId="501FED96"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521,564,292.00</w:t>
            </w:r>
          </w:p>
        </w:tc>
      </w:tr>
    </w:tbl>
    <w:p w14:paraId="06510672" w14:textId="77777777" w:rsidR="00C6733C" w:rsidRDefault="00C6733C">
      <w:pPr>
        <w:pStyle w:val="Textoindependiente"/>
        <w:tabs>
          <w:tab w:val="left" w:pos="6663"/>
        </w:tabs>
        <w:rPr>
          <w:sz w:val="22"/>
          <w:szCs w:val="22"/>
        </w:rPr>
      </w:pPr>
    </w:p>
    <w:p w14:paraId="6D7109C5" w14:textId="77777777" w:rsidR="00C6733C" w:rsidRDefault="006D0638">
      <w:pPr>
        <w:widowControl/>
        <w:autoSpaceDE/>
        <w:autoSpaceDN/>
        <w:jc w:val="both"/>
        <w:rPr>
          <w:rFonts w:ascii="Arial" w:eastAsia="Times New Roman" w:hAnsi="Arial" w:cs="Arial"/>
          <w:color w:val="000000"/>
          <w:lang w:bidi="ar-SA"/>
        </w:rPr>
      </w:pPr>
      <w:r>
        <w:rPr>
          <w:rFonts w:ascii="Arial" w:hAnsi="Arial" w:cs="Arial"/>
          <w:b/>
        </w:rPr>
        <w:t xml:space="preserve">Artículo 27. </w:t>
      </w:r>
      <w:r>
        <w:rPr>
          <w:rFonts w:ascii="Arial" w:hAnsi="Arial" w:cs="Arial"/>
        </w:rPr>
        <w:t>Al Poder Judicial, se asignan $965,052,105.54 (</w:t>
      </w:r>
      <w:r>
        <w:rPr>
          <w:rFonts w:ascii="Arial" w:eastAsia="Times New Roman" w:hAnsi="Arial" w:cs="Arial"/>
          <w:color w:val="000000"/>
          <w:lang w:bidi="ar-SA"/>
        </w:rPr>
        <w:t>Novecientos sesenta y cinco millones cincuenta y dos mil ciento cinco pesos 54</w:t>
      </w:r>
      <w:r>
        <w:rPr>
          <w:rFonts w:ascii="Arial" w:hAnsi="Arial" w:cs="Arial"/>
        </w:rPr>
        <w:t>/100 M.N.), que se distribuyen de la siguiente forma:</w:t>
      </w:r>
    </w:p>
    <w:p w14:paraId="2490B9E9" w14:textId="77777777" w:rsidR="00C6733C" w:rsidRDefault="00C6733C">
      <w:pPr>
        <w:pStyle w:val="Textoindependiente"/>
        <w:rPr>
          <w:sz w:val="22"/>
          <w:szCs w:val="22"/>
        </w:rPr>
      </w:pPr>
    </w:p>
    <w:tbl>
      <w:tblPr>
        <w:tblW w:w="6980" w:type="dxa"/>
        <w:jc w:val="center"/>
        <w:tblCellMar>
          <w:left w:w="70" w:type="dxa"/>
          <w:right w:w="70" w:type="dxa"/>
        </w:tblCellMar>
        <w:tblLook w:val="04A0" w:firstRow="1" w:lastRow="0" w:firstColumn="1" w:lastColumn="0" w:noHBand="0" w:noVBand="1"/>
      </w:tblPr>
      <w:tblGrid>
        <w:gridCol w:w="5380"/>
        <w:gridCol w:w="1670"/>
      </w:tblGrid>
      <w:tr w:rsidR="00C6733C" w14:paraId="7E446F9A" w14:textId="77777777">
        <w:trPr>
          <w:trHeight w:val="375"/>
          <w:jc w:val="center"/>
        </w:trPr>
        <w:tc>
          <w:tcPr>
            <w:tcW w:w="5380" w:type="dxa"/>
            <w:tcBorders>
              <w:top w:val="nil"/>
              <w:left w:val="nil"/>
              <w:bottom w:val="nil"/>
              <w:right w:val="nil"/>
            </w:tcBorders>
            <w:shd w:val="clear" w:color="auto" w:fill="auto"/>
            <w:noWrap/>
            <w:vAlign w:val="bottom"/>
            <w:hideMark/>
          </w:tcPr>
          <w:p w14:paraId="5F38F67C" w14:textId="77777777" w:rsidR="00C6733C" w:rsidRDefault="00C6733C">
            <w:pPr>
              <w:widowControl/>
              <w:autoSpaceDE/>
              <w:autoSpaceDN/>
              <w:rPr>
                <w:rFonts w:ascii="Arial" w:eastAsia="Times New Roman" w:hAnsi="Arial" w:cs="Arial"/>
                <w:lang w:bidi="ar-SA"/>
              </w:rPr>
            </w:pPr>
          </w:p>
        </w:tc>
        <w:tc>
          <w:tcPr>
            <w:tcW w:w="1600" w:type="dxa"/>
            <w:tcBorders>
              <w:top w:val="nil"/>
              <w:left w:val="nil"/>
              <w:bottom w:val="nil"/>
              <w:right w:val="nil"/>
            </w:tcBorders>
            <w:shd w:val="clear" w:color="auto" w:fill="auto"/>
            <w:noWrap/>
            <w:vAlign w:val="center"/>
            <w:hideMark/>
          </w:tcPr>
          <w:p w14:paraId="2754E0E5"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w:t>
            </w:r>
          </w:p>
        </w:tc>
      </w:tr>
      <w:tr w:rsidR="00C6733C" w14:paraId="1A9F888C" w14:textId="77777777">
        <w:trPr>
          <w:trHeight w:val="510"/>
          <w:jc w:val="center"/>
        </w:trPr>
        <w:tc>
          <w:tcPr>
            <w:tcW w:w="5380" w:type="dxa"/>
            <w:tcBorders>
              <w:top w:val="nil"/>
              <w:left w:val="nil"/>
              <w:bottom w:val="nil"/>
              <w:right w:val="nil"/>
            </w:tcBorders>
            <w:shd w:val="clear" w:color="auto" w:fill="auto"/>
            <w:noWrap/>
            <w:vAlign w:val="center"/>
            <w:hideMark/>
          </w:tcPr>
          <w:p w14:paraId="227A72E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Tribunal Superior de Justicia</w:t>
            </w:r>
          </w:p>
        </w:tc>
        <w:tc>
          <w:tcPr>
            <w:tcW w:w="1600" w:type="dxa"/>
            <w:tcBorders>
              <w:top w:val="nil"/>
              <w:left w:val="nil"/>
              <w:bottom w:val="nil"/>
              <w:right w:val="nil"/>
            </w:tcBorders>
            <w:shd w:val="clear" w:color="auto" w:fill="auto"/>
            <w:noWrap/>
            <w:vAlign w:val="center"/>
            <w:hideMark/>
          </w:tcPr>
          <w:p w14:paraId="4E973A2C"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223,730,712.53</w:t>
            </w:r>
          </w:p>
        </w:tc>
      </w:tr>
      <w:tr w:rsidR="00C6733C" w14:paraId="54F8637F" w14:textId="77777777">
        <w:trPr>
          <w:trHeight w:val="510"/>
          <w:jc w:val="center"/>
        </w:trPr>
        <w:tc>
          <w:tcPr>
            <w:tcW w:w="5380" w:type="dxa"/>
            <w:tcBorders>
              <w:top w:val="nil"/>
              <w:left w:val="nil"/>
              <w:bottom w:val="nil"/>
              <w:right w:val="nil"/>
            </w:tcBorders>
            <w:shd w:val="clear" w:color="auto" w:fill="auto"/>
            <w:noWrap/>
            <w:vAlign w:val="center"/>
            <w:hideMark/>
          </w:tcPr>
          <w:p w14:paraId="75461F2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Presidencia del Tribunal Superior de Justicia</w:t>
            </w:r>
          </w:p>
        </w:tc>
        <w:tc>
          <w:tcPr>
            <w:tcW w:w="1600" w:type="dxa"/>
            <w:tcBorders>
              <w:top w:val="nil"/>
              <w:left w:val="nil"/>
              <w:bottom w:val="nil"/>
              <w:right w:val="nil"/>
            </w:tcBorders>
            <w:shd w:val="clear" w:color="auto" w:fill="auto"/>
            <w:noWrap/>
            <w:vAlign w:val="center"/>
            <w:hideMark/>
          </w:tcPr>
          <w:p w14:paraId="1E26E3A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74,163,738.03</w:t>
            </w:r>
          </w:p>
        </w:tc>
      </w:tr>
      <w:tr w:rsidR="00C6733C" w14:paraId="4B3CA195" w14:textId="77777777">
        <w:trPr>
          <w:trHeight w:val="510"/>
          <w:jc w:val="center"/>
        </w:trPr>
        <w:tc>
          <w:tcPr>
            <w:tcW w:w="5380" w:type="dxa"/>
            <w:tcBorders>
              <w:top w:val="nil"/>
              <w:left w:val="nil"/>
              <w:bottom w:val="nil"/>
              <w:right w:val="nil"/>
            </w:tcBorders>
            <w:shd w:val="clear" w:color="auto" w:fill="auto"/>
            <w:noWrap/>
            <w:vAlign w:val="center"/>
            <w:hideMark/>
          </w:tcPr>
          <w:p w14:paraId="580DD33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Salas</w:t>
            </w:r>
          </w:p>
        </w:tc>
        <w:tc>
          <w:tcPr>
            <w:tcW w:w="1600" w:type="dxa"/>
            <w:tcBorders>
              <w:top w:val="nil"/>
              <w:left w:val="nil"/>
              <w:bottom w:val="nil"/>
              <w:right w:val="nil"/>
            </w:tcBorders>
            <w:shd w:val="clear" w:color="auto" w:fill="auto"/>
            <w:noWrap/>
            <w:vAlign w:val="center"/>
            <w:hideMark/>
          </w:tcPr>
          <w:p w14:paraId="256C6A7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149,566,974.50</w:t>
            </w:r>
          </w:p>
        </w:tc>
      </w:tr>
      <w:tr w:rsidR="00C6733C" w14:paraId="3AAF4CCE" w14:textId="77777777">
        <w:trPr>
          <w:trHeight w:val="510"/>
          <w:jc w:val="center"/>
        </w:trPr>
        <w:tc>
          <w:tcPr>
            <w:tcW w:w="5380" w:type="dxa"/>
            <w:tcBorders>
              <w:top w:val="nil"/>
              <w:left w:val="nil"/>
              <w:bottom w:val="nil"/>
              <w:right w:val="nil"/>
            </w:tcBorders>
            <w:shd w:val="clear" w:color="auto" w:fill="auto"/>
            <w:noWrap/>
            <w:vAlign w:val="center"/>
            <w:hideMark/>
          </w:tcPr>
          <w:p w14:paraId="700FA8DE"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Consejo de la Judicatura</w:t>
            </w:r>
          </w:p>
        </w:tc>
        <w:tc>
          <w:tcPr>
            <w:tcW w:w="1600" w:type="dxa"/>
            <w:tcBorders>
              <w:top w:val="nil"/>
              <w:left w:val="nil"/>
              <w:bottom w:val="nil"/>
              <w:right w:val="nil"/>
            </w:tcBorders>
            <w:shd w:val="clear" w:color="auto" w:fill="auto"/>
            <w:noWrap/>
            <w:vAlign w:val="center"/>
            <w:hideMark/>
          </w:tcPr>
          <w:p w14:paraId="23CE4164"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741,321,393.01</w:t>
            </w:r>
          </w:p>
        </w:tc>
      </w:tr>
      <w:tr w:rsidR="00C6733C" w14:paraId="6564ABB2" w14:textId="77777777">
        <w:trPr>
          <w:trHeight w:val="510"/>
          <w:jc w:val="center"/>
        </w:trPr>
        <w:tc>
          <w:tcPr>
            <w:tcW w:w="5380" w:type="dxa"/>
            <w:tcBorders>
              <w:top w:val="nil"/>
              <w:left w:val="nil"/>
              <w:bottom w:val="nil"/>
              <w:right w:val="nil"/>
            </w:tcBorders>
            <w:shd w:val="clear" w:color="auto" w:fill="auto"/>
            <w:noWrap/>
            <w:vAlign w:val="center"/>
            <w:hideMark/>
          </w:tcPr>
          <w:p w14:paraId="72224C8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Órganos de Administración Internos</w:t>
            </w:r>
          </w:p>
        </w:tc>
        <w:tc>
          <w:tcPr>
            <w:tcW w:w="1600" w:type="dxa"/>
            <w:tcBorders>
              <w:top w:val="nil"/>
              <w:left w:val="nil"/>
              <w:bottom w:val="nil"/>
              <w:right w:val="nil"/>
            </w:tcBorders>
            <w:shd w:val="clear" w:color="auto" w:fill="auto"/>
            <w:noWrap/>
            <w:vAlign w:val="center"/>
            <w:hideMark/>
          </w:tcPr>
          <w:p w14:paraId="28DDF09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302,771,940.33</w:t>
            </w:r>
          </w:p>
        </w:tc>
      </w:tr>
      <w:tr w:rsidR="00C6733C" w14:paraId="67AB3890" w14:textId="77777777">
        <w:trPr>
          <w:trHeight w:val="300"/>
          <w:jc w:val="center"/>
        </w:trPr>
        <w:tc>
          <w:tcPr>
            <w:tcW w:w="5380" w:type="dxa"/>
            <w:tcBorders>
              <w:top w:val="nil"/>
              <w:left w:val="nil"/>
              <w:bottom w:val="nil"/>
              <w:right w:val="nil"/>
            </w:tcBorders>
            <w:shd w:val="clear" w:color="auto" w:fill="auto"/>
            <w:vAlign w:val="center"/>
            <w:hideMark/>
          </w:tcPr>
          <w:p w14:paraId="621BC4B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Juzgados del </w:t>
            </w:r>
            <w:r>
              <w:rPr>
                <w:rFonts w:ascii="Arial" w:eastAsia="Times New Roman" w:hAnsi="Arial" w:cs="Arial"/>
                <w:color w:val="000000"/>
                <w:lang w:bidi="ar-SA"/>
              </w:rPr>
              <w:t>Sistema Acusatorio Adversarial</w:t>
            </w:r>
          </w:p>
        </w:tc>
        <w:tc>
          <w:tcPr>
            <w:tcW w:w="1600" w:type="dxa"/>
            <w:tcBorders>
              <w:top w:val="nil"/>
              <w:left w:val="nil"/>
              <w:bottom w:val="nil"/>
              <w:right w:val="nil"/>
            </w:tcBorders>
            <w:shd w:val="clear" w:color="auto" w:fill="auto"/>
            <w:noWrap/>
            <w:vAlign w:val="center"/>
            <w:hideMark/>
          </w:tcPr>
          <w:p w14:paraId="5E57C19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122,216,674.60</w:t>
            </w:r>
          </w:p>
        </w:tc>
      </w:tr>
      <w:tr w:rsidR="00C6733C" w14:paraId="2BBFE56B" w14:textId="77777777">
        <w:trPr>
          <w:trHeight w:val="510"/>
          <w:jc w:val="center"/>
        </w:trPr>
        <w:tc>
          <w:tcPr>
            <w:tcW w:w="5380" w:type="dxa"/>
            <w:tcBorders>
              <w:top w:val="nil"/>
              <w:left w:val="nil"/>
              <w:bottom w:val="nil"/>
              <w:right w:val="nil"/>
            </w:tcBorders>
            <w:shd w:val="clear" w:color="auto" w:fill="auto"/>
            <w:noWrap/>
            <w:vAlign w:val="center"/>
            <w:hideMark/>
          </w:tcPr>
          <w:p w14:paraId="2EA5E3A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Juzgados del Sistema Tradicional</w:t>
            </w:r>
          </w:p>
        </w:tc>
        <w:tc>
          <w:tcPr>
            <w:tcW w:w="1600" w:type="dxa"/>
            <w:tcBorders>
              <w:top w:val="nil"/>
              <w:left w:val="nil"/>
              <w:bottom w:val="nil"/>
              <w:right w:val="nil"/>
            </w:tcBorders>
            <w:shd w:val="clear" w:color="auto" w:fill="auto"/>
            <w:noWrap/>
            <w:vAlign w:val="center"/>
            <w:hideMark/>
          </w:tcPr>
          <w:p w14:paraId="2D1C24E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316,332,778.08</w:t>
            </w:r>
          </w:p>
        </w:tc>
      </w:tr>
      <w:tr w:rsidR="00C6733C" w14:paraId="4D3E0452" w14:textId="77777777">
        <w:trPr>
          <w:trHeight w:val="420"/>
          <w:jc w:val="center"/>
        </w:trPr>
        <w:tc>
          <w:tcPr>
            <w:tcW w:w="5380" w:type="dxa"/>
            <w:tcBorders>
              <w:top w:val="nil"/>
              <w:left w:val="nil"/>
              <w:bottom w:val="nil"/>
              <w:right w:val="nil"/>
            </w:tcBorders>
            <w:shd w:val="clear" w:color="auto" w:fill="auto"/>
            <w:noWrap/>
            <w:vAlign w:val="center"/>
            <w:hideMark/>
          </w:tcPr>
          <w:p w14:paraId="7BD10240"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Total General  </w:t>
            </w:r>
          </w:p>
        </w:tc>
        <w:tc>
          <w:tcPr>
            <w:tcW w:w="1600" w:type="dxa"/>
            <w:tcBorders>
              <w:top w:val="nil"/>
              <w:left w:val="nil"/>
              <w:bottom w:val="nil"/>
              <w:right w:val="nil"/>
            </w:tcBorders>
            <w:shd w:val="clear" w:color="auto" w:fill="auto"/>
            <w:noWrap/>
            <w:vAlign w:val="center"/>
            <w:hideMark/>
          </w:tcPr>
          <w:p w14:paraId="1C503CED"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965,052,105.54</w:t>
            </w:r>
          </w:p>
        </w:tc>
      </w:tr>
    </w:tbl>
    <w:p w14:paraId="5F38AEC8" w14:textId="77777777" w:rsidR="00C6733C" w:rsidRDefault="00C6733C">
      <w:pPr>
        <w:pStyle w:val="Textoindependiente"/>
        <w:ind w:right="-29"/>
        <w:jc w:val="both"/>
        <w:rPr>
          <w:b/>
          <w:sz w:val="22"/>
          <w:szCs w:val="22"/>
        </w:rPr>
      </w:pPr>
    </w:p>
    <w:p w14:paraId="1C960533" w14:textId="77777777" w:rsidR="00C6733C" w:rsidRDefault="006D0638">
      <w:pPr>
        <w:widowControl/>
        <w:autoSpaceDE/>
        <w:autoSpaceDN/>
        <w:jc w:val="both"/>
        <w:rPr>
          <w:rFonts w:ascii="Arial" w:eastAsia="Times New Roman" w:hAnsi="Arial" w:cs="Arial"/>
          <w:color w:val="000000"/>
          <w:lang w:bidi="ar-SA"/>
        </w:rPr>
      </w:pPr>
      <w:r>
        <w:rPr>
          <w:rFonts w:ascii="Arial" w:hAnsi="Arial" w:cs="Arial"/>
          <w:b/>
        </w:rPr>
        <w:t xml:space="preserve">Artículo 28. </w:t>
      </w:r>
      <w:r>
        <w:rPr>
          <w:rFonts w:ascii="Arial" w:hAnsi="Arial" w:cs="Arial"/>
        </w:rPr>
        <w:t xml:space="preserve">Los Órganos Autónomos por disposición constitucional y legal, ejercerán un Presupuesto de egresos cuyo monto </w:t>
      </w:r>
      <w:r>
        <w:rPr>
          <w:rFonts w:ascii="Arial" w:hAnsi="Arial" w:cs="Arial"/>
        </w:rPr>
        <w:t>asciende a $</w:t>
      </w:r>
      <w:r>
        <w:rPr>
          <w:rFonts w:ascii="Arial" w:eastAsia="Times New Roman" w:hAnsi="Arial" w:cs="Arial"/>
          <w:lang w:bidi="ar-SA"/>
        </w:rPr>
        <w:t>2,189,533,855.53</w:t>
      </w:r>
      <w:r>
        <w:rPr>
          <w:rFonts w:ascii="Arial" w:hAnsi="Arial" w:cs="Arial"/>
        </w:rPr>
        <w:t xml:space="preserve"> (</w:t>
      </w:r>
      <w:r>
        <w:rPr>
          <w:rFonts w:ascii="Arial" w:eastAsia="Times New Roman" w:hAnsi="Arial" w:cs="Arial"/>
          <w:color w:val="000000"/>
          <w:lang w:bidi="ar-SA"/>
        </w:rPr>
        <w:t>Dos mil ciento ochenta y nueve millones quinientos treinta y tres mil ochocientos cincuenta y cinco pesos 53</w:t>
      </w:r>
      <w:r>
        <w:rPr>
          <w:rFonts w:ascii="Arial" w:hAnsi="Arial" w:cs="Arial"/>
        </w:rPr>
        <w:t>/100 M.N.), que se distribuyen de la siguiente forma:</w:t>
      </w:r>
    </w:p>
    <w:p w14:paraId="42524780" w14:textId="77777777" w:rsidR="00C6733C" w:rsidRDefault="00C6733C">
      <w:pPr>
        <w:pStyle w:val="Textoindependiente"/>
        <w:rPr>
          <w:sz w:val="22"/>
          <w:szCs w:val="22"/>
        </w:rPr>
      </w:pPr>
    </w:p>
    <w:tbl>
      <w:tblPr>
        <w:tblW w:w="6860" w:type="dxa"/>
        <w:jc w:val="center"/>
        <w:tblCellMar>
          <w:left w:w="70" w:type="dxa"/>
          <w:right w:w="70" w:type="dxa"/>
        </w:tblCellMar>
        <w:tblLook w:val="04A0" w:firstRow="1" w:lastRow="0" w:firstColumn="1" w:lastColumn="0" w:noHBand="0" w:noVBand="1"/>
      </w:tblPr>
      <w:tblGrid>
        <w:gridCol w:w="471"/>
        <w:gridCol w:w="4960"/>
        <w:gridCol w:w="1853"/>
      </w:tblGrid>
      <w:tr w:rsidR="00C6733C" w14:paraId="163D96C6" w14:textId="77777777">
        <w:trPr>
          <w:trHeight w:val="555"/>
          <w:jc w:val="center"/>
        </w:trPr>
        <w:tc>
          <w:tcPr>
            <w:tcW w:w="300" w:type="dxa"/>
            <w:tcBorders>
              <w:top w:val="nil"/>
              <w:left w:val="nil"/>
              <w:bottom w:val="nil"/>
              <w:right w:val="nil"/>
            </w:tcBorders>
            <w:shd w:val="clear" w:color="auto" w:fill="auto"/>
            <w:noWrap/>
            <w:hideMark/>
          </w:tcPr>
          <w:p w14:paraId="698DC866" w14:textId="77777777" w:rsidR="00C6733C" w:rsidRDefault="00C6733C">
            <w:pPr>
              <w:widowControl/>
              <w:autoSpaceDE/>
              <w:autoSpaceDN/>
              <w:rPr>
                <w:rFonts w:ascii="Arial" w:eastAsia="Times New Roman" w:hAnsi="Arial" w:cs="Arial"/>
                <w:lang w:bidi="ar-SA"/>
              </w:rPr>
            </w:pPr>
          </w:p>
        </w:tc>
        <w:tc>
          <w:tcPr>
            <w:tcW w:w="4960" w:type="dxa"/>
            <w:tcBorders>
              <w:top w:val="nil"/>
              <w:left w:val="nil"/>
              <w:bottom w:val="nil"/>
              <w:right w:val="nil"/>
            </w:tcBorders>
            <w:shd w:val="clear" w:color="auto" w:fill="auto"/>
            <w:noWrap/>
            <w:hideMark/>
          </w:tcPr>
          <w:p w14:paraId="7F4DD528" w14:textId="77777777" w:rsidR="00C6733C" w:rsidRDefault="00C6733C">
            <w:pPr>
              <w:widowControl/>
              <w:autoSpaceDE/>
              <w:autoSpaceDN/>
              <w:rPr>
                <w:rFonts w:ascii="Arial" w:eastAsia="Times New Roman" w:hAnsi="Arial" w:cs="Arial"/>
                <w:lang w:bidi="ar-SA"/>
              </w:rPr>
            </w:pPr>
          </w:p>
        </w:tc>
        <w:tc>
          <w:tcPr>
            <w:tcW w:w="1600" w:type="dxa"/>
            <w:tcBorders>
              <w:top w:val="nil"/>
              <w:left w:val="nil"/>
              <w:bottom w:val="nil"/>
              <w:right w:val="nil"/>
            </w:tcBorders>
            <w:shd w:val="clear" w:color="auto" w:fill="auto"/>
            <w:noWrap/>
            <w:vAlign w:val="center"/>
            <w:hideMark/>
          </w:tcPr>
          <w:p w14:paraId="67F75325"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18FA9524" w14:textId="77777777">
        <w:trPr>
          <w:trHeight w:val="555"/>
          <w:jc w:val="center"/>
        </w:trPr>
        <w:tc>
          <w:tcPr>
            <w:tcW w:w="300" w:type="dxa"/>
            <w:tcBorders>
              <w:top w:val="nil"/>
              <w:left w:val="nil"/>
              <w:bottom w:val="nil"/>
              <w:right w:val="nil"/>
            </w:tcBorders>
            <w:shd w:val="clear" w:color="auto" w:fill="auto"/>
            <w:noWrap/>
            <w:vAlign w:val="center"/>
            <w:hideMark/>
          </w:tcPr>
          <w:p w14:paraId="53CDE5B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w:t>
            </w:r>
          </w:p>
        </w:tc>
        <w:tc>
          <w:tcPr>
            <w:tcW w:w="4960" w:type="dxa"/>
            <w:tcBorders>
              <w:top w:val="nil"/>
              <w:left w:val="nil"/>
              <w:bottom w:val="nil"/>
              <w:right w:val="nil"/>
            </w:tcBorders>
            <w:shd w:val="clear" w:color="auto" w:fill="auto"/>
            <w:vAlign w:val="center"/>
            <w:hideMark/>
          </w:tcPr>
          <w:p w14:paraId="1CF2C21A"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 xml:space="preserve">Defensoría de los Derechos Humanos del Pueblo de </w:t>
            </w:r>
            <w:r>
              <w:rPr>
                <w:rFonts w:ascii="Arial" w:eastAsia="Times New Roman" w:hAnsi="Arial" w:cs="Arial"/>
                <w:color w:val="000000"/>
                <w:lang w:bidi="ar-SA"/>
              </w:rPr>
              <w:t>Oaxaca</w:t>
            </w:r>
          </w:p>
        </w:tc>
        <w:tc>
          <w:tcPr>
            <w:tcW w:w="1600" w:type="dxa"/>
            <w:tcBorders>
              <w:top w:val="nil"/>
              <w:left w:val="nil"/>
              <w:bottom w:val="nil"/>
              <w:right w:val="nil"/>
            </w:tcBorders>
            <w:shd w:val="clear" w:color="auto" w:fill="auto"/>
            <w:noWrap/>
            <w:vAlign w:val="center"/>
            <w:hideMark/>
          </w:tcPr>
          <w:p w14:paraId="280D156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40,604,284.00</w:t>
            </w:r>
          </w:p>
        </w:tc>
      </w:tr>
      <w:tr w:rsidR="00C6733C" w14:paraId="28F26967" w14:textId="77777777">
        <w:trPr>
          <w:trHeight w:val="555"/>
          <w:jc w:val="center"/>
        </w:trPr>
        <w:tc>
          <w:tcPr>
            <w:tcW w:w="300" w:type="dxa"/>
            <w:tcBorders>
              <w:top w:val="nil"/>
              <w:left w:val="nil"/>
              <w:bottom w:val="nil"/>
              <w:right w:val="nil"/>
            </w:tcBorders>
            <w:shd w:val="clear" w:color="auto" w:fill="auto"/>
            <w:noWrap/>
            <w:vAlign w:val="center"/>
            <w:hideMark/>
          </w:tcPr>
          <w:p w14:paraId="60384A9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II</w:t>
            </w:r>
          </w:p>
        </w:tc>
        <w:tc>
          <w:tcPr>
            <w:tcW w:w="4960" w:type="dxa"/>
            <w:tcBorders>
              <w:top w:val="nil"/>
              <w:left w:val="nil"/>
              <w:bottom w:val="nil"/>
              <w:right w:val="nil"/>
            </w:tcBorders>
            <w:shd w:val="clear" w:color="auto" w:fill="auto"/>
            <w:vAlign w:val="center"/>
            <w:hideMark/>
          </w:tcPr>
          <w:p w14:paraId="6A9150E6"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Instituto Estatal Electoral y de Participación Ciudadana de Oaxaca</w:t>
            </w:r>
          </w:p>
        </w:tc>
        <w:tc>
          <w:tcPr>
            <w:tcW w:w="1600" w:type="dxa"/>
            <w:tcBorders>
              <w:top w:val="nil"/>
              <w:left w:val="nil"/>
              <w:bottom w:val="nil"/>
              <w:right w:val="nil"/>
            </w:tcBorders>
            <w:shd w:val="clear" w:color="auto" w:fill="auto"/>
            <w:noWrap/>
            <w:vAlign w:val="center"/>
            <w:hideMark/>
          </w:tcPr>
          <w:p w14:paraId="63D9788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219,011,353.42</w:t>
            </w:r>
          </w:p>
        </w:tc>
      </w:tr>
      <w:tr w:rsidR="00C6733C" w14:paraId="2C38ED79" w14:textId="77777777">
        <w:trPr>
          <w:trHeight w:val="555"/>
          <w:jc w:val="center"/>
        </w:trPr>
        <w:tc>
          <w:tcPr>
            <w:tcW w:w="300" w:type="dxa"/>
            <w:tcBorders>
              <w:top w:val="nil"/>
              <w:left w:val="nil"/>
              <w:bottom w:val="nil"/>
              <w:right w:val="nil"/>
            </w:tcBorders>
            <w:shd w:val="clear" w:color="auto" w:fill="auto"/>
            <w:noWrap/>
            <w:hideMark/>
          </w:tcPr>
          <w:p w14:paraId="76C26663" w14:textId="77777777" w:rsidR="00C6733C" w:rsidRDefault="00C6733C">
            <w:pPr>
              <w:widowControl/>
              <w:autoSpaceDE/>
              <w:autoSpaceDN/>
              <w:jc w:val="right"/>
              <w:rPr>
                <w:rFonts w:ascii="Arial" w:eastAsia="Times New Roman" w:hAnsi="Arial" w:cs="Arial"/>
                <w:color w:val="000000"/>
                <w:lang w:bidi="ar-SA"/>
              </w:rPr>
            </w:pPr>
          </w:p>
        </w:tc>
        <w:tc>
          <w:tcPr>
            <w:tcW w:w="4960" w:type="dxa"/>
            <w:tcBorders>
              <w:top w:val="nil"/>
              <w:left w:val="nil"/>
              <w:bottom w:val="nil"/>
              <w:right w:val="nil"/>
            </w:tcBorders>
            <w:shd w:val="clear" w:color="auto" w:fill="auto"/>
            <w:vAlign w:val="center"/>
            <w:hideMark/>
          </w:tcPr>
          <w:p w14:paraId="1ADED93B"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a)   Presupuesto Ordinario</w:t>
            </w:r>
          </w:p>
        </w:tc>
        <w:tc>
          <w:tcPr>
            <w:tcW w:w="1600" w:type="dxa"/>
            <w:tcBorders>
              <w:top w:val="nil"/>
              <w:left w:val="nil"/>
              <w:bottom w:val="nil"/>
              <w:right w:val="nil"/>
            </w:tcBorders>
            <w:shd w:val="clear" w:color="auto" w:fill="auto"/>
            <w:noWrap/>
            <w:vAlign w:val="center"/>
            <w:hideMark/>
          </w:tcPr>
          <w:p w14:paraId="72406A3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54,724,618.28</w:t>
            </w:r>
          </w:p>
        </w:tc>
      </w:tr>
      <w:tr w:rsidR="00C6733C" w14:paraId="49E1ECCD" w14:textId="77777777">
        <w:trPr>
          <w:trHeight w:val="555"/>
          <w:jc w:val="center"/>
        </w:trPr>
        <w:tc>
          <w:tcPr>
            <w:tcW w:w="300" w:type="dxa"/>
            <w:tcBorders>
              <w:top w:val="nil"/>
              <w:left w:val="nil"/>
              <w:bottom w:val="nil"/>
              <w:right w:val="nil"/>
            </w:tcBorders>
            <w:shd w:val="clear" w:color="auto" w:fill="auto"/>
            <w:noWrap/>
            <w:hideMark/>
          </w:tcPr>
          <w:p w14:paraId="1EFAF4BB" w14:textId="77777777" w:rsidR="00C6733C" w:rsidRDefault="00C6733C">
            <w:pPr>
              <w:widowControl/>
              <w:autoSpaceDE/>
              <w:autoSpaceDN/>
              <w:jc w:val="right"/>
              <w:rPr>
                <w:rFonts w:ascii="Arial" w:eastAsia="Times New Roman" w:hAnsi="Arial" w:cs="Arial"/>
                <w:color w:val="000000"/>
                <w:lang w:bidi="ar-SA"/>
              </w:rPr>
            </w:pPr>
          </w:p>
        </w:tc>
        <w:tc>
          <w:tcPr>
            <w:tcW w:w="4960" w:type="dxa"/>
            <w:tcBorders>
              <w:top w:val="nil"/>
              <w:left w:val="nil"/>
              <w:bottom w:val="nil"/>
              <w:right w:val="nil"/>
            </w:tcBorders>
            <w:shd w:val="clear" w:color="auto" w:fill="auto"/>
            <w:vAlign w:val="center"/>
            <w:hideMark/>
          </w:tcPr>
          <w:p w14:paraId="1C8B5F23"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b)   Prerrogativas de Ley</w:t>
            </w:r>
          </w:p>
        </w:tc>
        <w:tc>
          <w:tcPr>
            <w:tcW w:w="1600" w:type="dxa"/>
            <w:tcBorders>
              <w:top w:val="nil"/>
              <w:left w:val="nil"/>
              <w:bottom w:val="nil"/>
              <w:right w:val="nil"/>
            </w:tcBorders>
            <w:shd w:val="clear" w:color="auto" w:fill="auto"/>
            <w:noWrap/>
            <w:vAlign w:val="center"/>
            <w:hideMark/>
          </w:tcPr>
          <w:p w14:paraId="29CD73D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164,286,735.14</w:t>
            </w:r>
          </w:p>
        </w:tc>
      </w:tr>
      <w:tr w:rsidR="00C6733C" w14:paraId="73C47ACA" w14:textId="77777777">
        <w:trPr>
          <w:trHeight w:val="555"/>
          <w:jc w:val="center"/>
        </w:trPr>
        <w:tc>
          <w:tcPr>
            <w:tcW w:w="300" w:type="dxa"/>
            <w:tcBorders>
              <w:top w:val="nil"/>
              <w:left w:val="nil"/>
              <w:bottom w:val="nil"/>
              <w:right w:val="nil"/>
            </w:tcBorders>
            <w:shd w:val="clear" w:color="FFFFFF" w:fill="FFFFFF"/>
            <w:noWrap/>
            <w:vAlign w:val="center"/>
            <w:hideMark/>
          </w:tcPr>
          <w:p w14:paraId="7B464B5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III</w:t>
            </w:r>
          </w:p>
        </w:tc>
        <w:tc>
          <w:tcPr>
            <w:tcW w:w="4960" w:type="dxa"/>
            <w:tcBorders>
              <w:top w:val="nil"/>
              <w:left w:val="nil"/>
              <w:bottom w:val="nil"/>
              <w:right w:val="nil"/>
            </w:tcBorders>
            <w:shd w:val="clear" w:color="FFFFFF" w:fill="FFFFFF"/>
            <w:vAlign w:val="center"/>
            <w:hideMark/>
          </w:tcPr>
          <w:p w14:paraId="52C429E8"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Universidad Autónoma "Benito Juárez" de Oaxaca</w:t>
            </w:r>
          </w:p>
        </w:tc>
        <w:tc>
          <w:tcPr>
            <w:tcW w:w="1600" w:type="dxa"/>
            <w:tcBorders>
              <w:top w:val="nil"/>
              <w:left w:val="nil"/>
              <w:bottom w:val="nil"/>
              <w:right w:val="nil"/>
            </w:tcBorders>
            <w:shd w:val="clear" w:color="FFFFFF" w:fill="FFFFFF"/>
            <w:noWrap/>
            <w:vAlign w:val="center"/>
            <w:hideMark/>
          </w:tcPr>
          <w:p w14:paraId="4A888E3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1,082,938,553.00</w:t>
            </w:r>
          </w:p>
        </w:tc>
      </w:tr>
      <w:tr w:rsidR="00C6733C" w14:paraId="657F34BF" w14:textId="77777777">
        <w:trPr>
          <w:trHeight w:val="555"/>
          <w:jc w:val="center"/>
        </w:trPr>
        <w:tc>
          <w:tcPr>
            <w:tcW w:w="300" w:type="dxa"/>
            <w:tcBorders>
              <w:top w:val="nil"/>
              <w:left w:val="nil"/>
              <w:bottom w:val="nil"/>
              <w:right w:val="nil"/>
            </w:tcBorders>
            <w:shd w:val="clear" w:color="auto" w:fill="auto"/>
            <w:noWrap/>
            <w:vAlign w:val="center"/>
            <w:hideMark/>
          </w:tcPr>
          <w:p w14:paraId="53A79B0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IV</w:t>
            </w:r>
          </w:p>
        </w:tc>
        <w:tc>
          <w:tcPr>
            <w:tcW w:w="4960" w:type="dxa"/>
            <w:tcBorders>
              <w:top w:val="nil"/>
              <w:left w:val="nil"/>
              <w:bottom w:val="nil"/>
              <w:right w:val="nil"/>
            </w:tcBorders>
            <w:shd w:val="clear" w:color="auto" w:fill="auto"/>
            <w:vAlign w:val="center"/>
            <w:hideMark/>
          </w:tcPr>
          <w:p w14:paraId="5FF3614A"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Comisión Estatal de Arbitraje Médico de Oaxaca</w:t>
            </w:r>
          </w:p>
        </w:tc>
        <w:tc>
          <w:tcPr>
            <w:tcW w:w="1600" w:type="dxa"/>
            <w:tcBorders>
              <w:top w:val="nil"/>
              <w:left w:val="nil"/>
              <w:bottom w:val="nil"/>
              <w:right w:val="nil"/>
            </w:tcBorders>
            <w:shd w:val="clear" w:color="FFFFFF" w:fill="FFFFFF"/>
            <w:noWrap/>
            <w:vAlign w:val="center"/>
            <w:hideMark/>
          </w:tcPr>
          <w:p w14:paraId="16E8367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12,073,176.00</w:t>
            </w:r>
          </w:p>
        </w:tc>
      </w:tr>
      <w:tr w:rsidR="00C6733C" w14:paraId="375CB954" w14:textId="77777777">
        <w:trPr>
          <w:trHeight w:val="555"/>
          <w:jc w:val="center"/>
        </w:trPr>
        <w:tc>
          <w:tcPr>
            <w:tcW w:w="300" w:type="dxa"/>
            <w:tcBorders>
              <w:top w:val="nil"/>
              <w:left w:val="nil"/>
              <w:bottom w:val="nil"/>
              <w:right w:val="nil"/>
            </w:tcBorders>
            <w:shd w:val="clear" w:color="auto" w:fill="auto"/>
            <w:noWrap/>
            <w:vAlign w:val="center"/>
            <w:hideMark/>
          </w:tcPr>
          <w:p w14:paraId="5C176D5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w:t>
            </w:r>
          </w:p>
        </w:tc>
        <w:tc>
          <w:tcPr>
            <w:tcW w:w="4960" w:type="dxa"/>
            <w:tcBorders>
              <w:top w:val="nil"/>
              <w:left w:val="nil"/>
              <w:bottom w:val="nil"/>
              <w:right w:val="nil"/>
            </w:tcBorders>
            <w:shd w:val="clear" w:color="auto" w:fill="auto"/>
            <w:vAlign w:val="center"/>
            <w:hideMark/>
          </w:tcPr>
          <w:p w14:paraId="09CA4FF1"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Instituto de Acceso a la Información Pública y Protección de Datos Personales</w:t>
            </w:r>
          </w:p>
        </w:tc>
        <w:tc>
          <w:tcPr>
            <w:tcW w:w="1600" w:type="dxa"/>
            <w:tcBorders>
              <w:top w:val="nil"/>
              <w:left w:val="nil"/>
              <w:bottom w:val="nil"/>
              <w:right w:val="nil"/>
            </w:tcBorders>
            <w:shd w:val="clear" w:color="FFFFFF" w:fill="FFFFFF"/>
            <w:noWrap/>
            <w:vAlign w:val="center"/>
            <w:hideMark/>
          </w:tcPr>
          <w:p w14:paraId="31697FE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28,212,990.00</w:t>
            </w:r>
          </w:p>
        </w:tc>
      </w:tr>
      <w:tr w:rsidR="00C6733C" w14:paraId="0ECCD381" w14:textId="77777777">
        <w:trPr>
          <w:trHeight w:val="555"/>
          <w:jc w:val="center"/>
        </w:trPr>
        <w:tc>
          <w:tcPr>
            <w:tcW w:w="300" w:type="dxa"/>
            <w:tcBorders>
              <w:top w:val="nil"/>
              <w:left w:val="nil"/>
              <w:bottom w:val="nil"/>
              <w:right w:val="nil"/>
            </w:tcBorders>
            <w:shd w:val="clear" w:color="auto" w:fill="auto"/>
            <w:noWrap/>
            <w:vAlign w:val="center"/>
            <w:hideMark/>
          </w:tcPr>
          <w:p w14:paraId="7B3EA16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VI</w:t>
            </w:r>
          </w:p>
        </w:tc>
        <w:tc>
          <w:tcPr>
            <w:tcW w:w="4960" w:type="dxa"/>
            <w:tcBorders>
              <w:top w:val="nil"/>
              <w:left w:val="nil"/>
              <w:bottom w:val="nil"/>
              <w:right w:val="nil"/>
            </w:tcBorders>
            <w:shd w:val="clear" w:color="auto" w:fill="auto"/>
            <w:vAlign w:val="center"/>
            <w:hideMark/>
          </w:tcPr>
          <w:p w14:paraId="2CC20C96"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Fiscalía General del Estado de Oaxaca</w:t>
            </w:r>
          </w:p>
        </w:tc>
        <w:tc>
          <w:tcPr>
            <w:tcW w:w="1600" w:type="dxa"/>
            <w:tcBorders>
              <w:top w:val="nil"/>
              <w:left w:val="nil"/>
              <w:bottom w:val="nil"/>
              <w:right w:val="nil"/>
            </w:tcBorders>
            <w:shd w:val="clear" w:color="FFFFFF" w:fill="FFFFFF"/>
            <w:noWrap/>
            <w:vAlign w:val="center"/>
            <w:hideMark/>
          </w:tcPr>
          <w:p w14:paraId="2B69A43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723,558,887.11</w:t>
            </w:r>
          </w:p>
        </w:tc>
      </w:tr>
      <w:tr w:rsidR="00C6733C" w14:paraId="49C248ED" w14:textId="77777777">
        <w:trPr>
          <w:trHeight w:val="555"/>
          <w:jc w:val="center"/>
        </w:trPr>
        <w:tc>
          <w:tcPr>
            <w:tcW w:w="300" w:type="dxa"/>
            <w:tcBorders>
              <w:top w:val="nil"/>
              <w:left w:val="nil"/>
              <w:bottom w:val="nil"/>
              <w:right w:val="nil"/>
            </w:tcBorders>
            <w:shd w:val="clear" w:color="auto" w:fill="auto"/>
            <w:noWrap/>
            <w:vAlign w:val="center"/>
            <w:hideMark/>
          </w:tcPr>
          <w:p w14:paraId="62DABE5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VII</w:t>
            </w:r>
          </w:p>
        </w:tc>
        <w:tc>
          <w:tcPr>
            <w:tcW w:w="4960" w:type="dxa"/>
            <w:tcBorders>
              <w:top w:val="nil"/>
              <w:left w:val="nil"/>
              <w:bottom w:val="nil"/>
              <w:right w:val="nil"/>
            </w:tcBorders>
            <w:shd w:val="clear" w:color="auto" w:fill="auto"/>
            <w:vAlign w:val="center"/>
            <w:hideMark/>
          </w:tcPr>
          <w:p w14:paraId="7CC45469"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 xml:space="preserve">Tribunal </w:t>
            </w:r>
            <w:r>
              <w:rPr>
                <w:rFonts w:ascii="Arial" w:eastAsia="Times New Roman" w:hAnsi="Arial" w:cs="Arial"/>
                <w:color w:val="000000"/>
                <w:lang w:bidi="ar-SA"/>
              </w:rPr>
              <w:t>Electoral del Estado de Oaxaca</w:t>
            </w:r>
          </w:p>
        </w:tc>
        <w:tc>
          <w:tcPr>
            <w:tcW w:w="1600" w:type="dxa"/>
            <w:tcBorders>
              <w:top w:val="nil"/>
              <w:left w:val="nil"/>
              <w:bottom w:val="nil"/>
              <w:right w:val="nil"/>
            </w:tcBorders>
            <w:shd w:val="clear" w:color="FFFFFF" w:fill="FFFFFF"/>
            <w:noWrap/>
            <w:vAlign w:val="center"/>
            <w:hideMark/>
          </w:tcPr>
          <w:p w14:paraId="12E72D5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38,469,076.00</w:t>
            </w:r>
          </w:p>
        </w:tc>
      </w:tr>
      <w:tr w:rsidR="00C6733C" w14:paraId="375C5888" w14:textId="77777777">
        <w:trPr>
          <w:trHeight w:val="555"/>
          <w:jc w:val="center"/>
        </w:trPr>
        <w:tc>
          <w:tcPr>
            <w:tcW w:w="300" w:type="dxa"/>
            <w:tcBorders>
              <w:top w:val="nil"/>
              <w:left w:val="nil"/>
              <w:bottom w:val="nil"/>
              <w:right w:val="nil"/>
            </w:tcBorders>
            <w:shd w:val="clear" w:color="auto" w:fill="auto"/>
            <w:noWrap/>
            <w:vAlign w:val="center"/>
            <w:hideMark/>
          </w:tcPr>
          <w:p w14:paraId="3D74976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VIII</w:t>
            </w:r>
          </w:p>
        </w:tc>
        <w:tc>
          <w:tcPr>
            <w:tcW w:w="4960" w:type="dxa"/>
            <w:tcBorders>
              <w:top w:val="nil"/>
              <w:left w:val="nil"/>
              <w:bottom w:val="nil"/>
              <w:right w:val="nil"/>
            </w:tcBorders>
            <w:shd w:val="clear" w:color="auto" w:fill="auto"/>
            <w:vAlign w:val="center"/>
            <w:hideMark/>
          </w:tcPr>
          <w:p w14:paraId="3CE0DBBA"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Tribunal de Justicia Administrativa del Estado de Oaxaca</w:t>
            </w:r>
          </w:p>
        </w:tc>
        <w:tc>
          <w:tcPr>
            <w:tcW w:w="1600" w:type="dxa"/>
            <w:tcBorders>
              <w:top w:val="nil"/>
              <w:left w:val="nil"/>
              <w:bottom w:val="nil"/>
              <w:right w:val="nil"/>
            </w:tcBorders>
            <w:shd w:val="clear" w:color="FFFFFF" w:fill="FFFFFF"/>
            <w:noWrap/>
            <w:vAlign w:val="center"/>
            <w:hideMark/>
          </w:tcPr>
          <w:p w14:paraId="195A46D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44,665,536.00</w:t>
            </w:r>
          </w:p>
        </w:tc>
      </w:tr>
      <w:tr w:rsidR="00C6733C" w14:paraId="131B7D0D" w14:textId="77777777">
        <w:trPr>
          <w:trHeight w:val="555"/>
          <w:jc w:val="center"/>
        </w:trPr>
        <w:tc>
          <w:tcPr>
            <w:tcW w:w="300" w:type="dxa"/>
            <w:tcBorders>
              <w:top w:val="nil"/>
              <w:left w:val="nil"/>
              <w:bottom w:val="nil"/>
              <w:right w:val="nil"/>
            </w:tcBorders>
            <w:shd w:val="clear" w:color="auto" w:fill="auto"/>
            <w:noWrap/>
            <w:hideMark/>
          </w:tcPr>
          <w:p w14:paraId="6CBD3C9C" w14:textId="77777777" w:rsidR="00C6733C" w:rsidRDefault="00C6733C">
            <w:pPr>
              <w:widowControl/>
              <w:autoSpaceDE/>
              <w:autoSpaceDN/>
              <w:jc w:val="right"/>
              <w:rPr>
                <w:rFonts w:ascii="Arial" w:eastAsia="Times New Roman" w:hAnsi="Arial" w:cs="Arial"/>
                <w:color w:val="000000"/>
                <w:lang w:bidi="ar-SA"/>
              </w:rPr>
            </w:pPr>
          </w:p>
        </w:tc>
        <w:tc>
          <w:tcPr>
            <w:tcW w:w="4960" w:type="dxa"/>
            <w:tcBorders>
              <w:top w:val="nil"/>
              <w:left w:val="nil"/>
              <w:bottom w:val="nil"/>
              <w:right w:val="nil"/>
            </w:tcBorders>
            <w:shd w:val="clear" w:color="auto" w:fill="auto"/>
            <w:vAlign w:val="center"/>
            <w:hideMark/>
          </w:tcPr>
          <w:p w14:paraId="32CB1965"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600" w:type="dxa"/>
            <w:tcBorders>
              <w:top w:val="nil"/>
              <w:left w:val="nil"/>
              <w:bottom w:val="nil"/>
              <w:right w:val="nil"/>
            </w:tcBorders>
            <w:shd w:val="clear" w:color="auto" w:fill="auto"/>
            <w:noWrap/>
            <w:vAlign w:val="center"/>
            <w:hideMark/>
          </w:tcPr>
          <w:p w14:paraId="349A00BF"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2,189,533,855.53</w:t>
            </w:r>
          </w:p>
        </w:tc>
      </w:tr>
    </w:tbl>
    <w:p w14:paraId="20991126" w14:textId="77777777" w:rsidR="00C6733C" w:rsidRDefault="00C6733C">
      <w:pPr>
        <w:pStyle w:val="Textoindependiente"/>
        <w:rPr>
          <w:sz w:val="22"/>
          <w:szCs w:val="22"/>
        </w:rPr>
      </w:pPr>
    </w:p>
    <w:p w14:paraId="2B33A5D7" w14:textId="77777777" w:rsidR="00C6733C" w:rsidRDefault="006D0638">
      <w:pPr>
        <w:widowControl/>
        <w:autoSpaceDE/>
        <w:autoSpaceDN/>
        <w:jc w:val="both"/>
        <w:rPr>
          <w:rFonts w:ascii="Arial" w:eastAsia="Times New Roman" w:hAnsi="Arial" w:cs="Arial"/>
          <w:lang w:bidi="ar-SA"/>
        </w:rPr>
      </w:pPr>
      <w:r>
        <w:rPr>
          <w:rFonts w:ascii="Arial" w:hAnsi="Arial" w:cs="Arial"/>
          <w:b/>
        </w:rPr>
        <w:t xml:space="preserve">Artículo 29. </w:t>
      </w:r>
      <w:r>
        <w:rPr>
          <w:rFonts w:ascii="Arial" w:hAnsi="Arial" w:cs="Arial"/>
        </w:rPr>
        <w:t xml:space="preserve">El gasto previsto para el concepto de prerrogativas de financiamiento público a los </w:t>
      </w:r>
      <w:r>
        <w:rPr>
          <w:rFonts w:ascii="Arial" w:hAnsi="Arial" w:cs="Arial"/>
        </w:rPr>
        <w:t>Partidos Políticos equivale a la cantidad de: $</w:t>
      </w:r>
      <w:r>
        <w:rPr>
          <w:rFonts w:ascii="Arial" w:eastAsia="Times New Roman" w:hAnsi="Arial" w:cs="Arial"/>
          <w:lang w:bidi="ar-SA"/>
        </w:rPr>
        <w:t>164,286,735.14</w:t>
      </w:r>
      <w:r>
        <w:rPr>
          <w:rFonts w:ascii="Arial" w:eastAsia="Times New Roman" w:hAnsi="Arial" w:cs="Arial"/>
          <w:sz w:val="20"/>
          <w:szCs w:val="20"/>
          <w:lang w:bidi="ar-SA"/>
        </w:rPr>
        <w:t xml:space="preserve"> </w:t>
      </w:r>
      <w:r>
        <w:rPr>
          <w:rFonts w:ascii="Arial" w:hAnsi="Arial" w:cs="Arial"/>
        </w:rPr>
        <w:t>(</w:t>
      </w:r>
      <w:r>
        <w:rPr>
          <w:rFonts w:ascii="Arial" w:eastAsia="Times New Roman" w:hAnsi="Arial" w:cs="Arial"/>
          <w:color w:val="000000"/>
          <w:lang w:bidi="ar-SA"/>
        </w:rPr>
        <w:t>Ciento sesenta y cuatro millones doscientos ochenta y seis mil setecientos treinta y cinco pesos 14/100</w:t>
      </w:r>
      <w:r>
        <w:rPr>
          <w:rFonts w:ascii="Arial" w:hAnsi="Arial" w:cs="Arial"/>
        </w:rPr>
        <w:t xml:space="preserve"> M.N.).</w:t>
      </w:r>
    </w:p>
    <w:p w14:paraId="776DE412" w14:textId="77777777" w:rsidR="00C6733C" w:rsidRDefault="00C6733C">
      <w:pPr>
        <w:widowControl/>
        <w:autoSpaceDE/>
        <w:autoSpaceDN/>
        <w:jc w:val="both"/>
        <w:rPr>
          <w:rFonts w:ascii="Arial" w:eastAsia="Times New Roman" w:hAnsi="Arial" w:cs="Arial"/>
          <w:lang w:bidi="ar-SA"/>
        </w:rPr>
      </w:pPr>
    </w:p>
    <w:p w14:paraId="4DD384DE" w14:textId="77777777" w:rsidR="00C6733C" w:rsidRDefault="006D0638">
      <w:pPr>
        <w:widowControl/>
        <w:autoSpaceDE/>
        <w:autoSpaceDN/>
        <w:jc w:val="both"/>
        <w:rPr>
          <w:rFonts w:ascii="Arial" w:eastAsia="Times New Roman" w:hAnsi="Arial" w:cs="Arial"/>
          <w:lang w:bidi="ar-SA"/>
        </w:rPr>
      </w:pPr>
      <w:r>
        <w:rPr>
          <w:rFonts w:ascii="Arial" w:hAnsi="Arial" w:cs="Arial"/>
          <w:b/>
        </w:rPr>
        <w:t xml:space="preserve">Artículo 30. </w:t>
      </w:r>
      <w:r>
        <w:rPr>
          <w:rFonts w:ascii="Arial" w:hAnsi="Arial" w:cs="Arial"/>
        </w:rPr>
        <w:t>El Poder Ejecutivo ejercerá un Presupuesto de Egresos de $</w:t>
      </w:r>
      <w:r>
        <w:rPr>
          <w:rFonts w:ascii="Arial" w:eastAsia="Times New Roman" w:hAnsi="Arial" w:cs="Arial"/>
          <w:lang w:bidi="ar-SA"/>
        </w:rPr>
        <w:t xml:space="preserve">56,522,777,382.66 </w:t>
      </w:r>
      <w:r>
        <w:rPr>
          <w:rFonts w:ascii="Arial" w:hAnsi="Arial" w:cs="Arial"/>
        </w:rPr>
        <w:t>(</w:t>
      </w:r>
      <w:r>
        <w:rPr>
          <w:rFonts w:ascii="Arial" w:eastAsia="Times New Roman" w:hAnsi="Arial" w:cs="Arial"/>
          <w:color w:val="000000"/>
          <w:lang w:bidi="ar-SA"/>
        </w:rPr>
        <w:t xml:space="preserve">Cincuenta y seis mil quinientos veintidós millones setecientos setenta y siete mil trescientos ochenta y dos pesos 66/100 </w:t>
      </w:r>
      <w:r>
        <w:rPr>
          <w:rFonts w:ascii="Arial" w:hAnsi="Arial" w:cs="Arial"/>
        </w:rPr>
        <w:t>M.N.).</w:t>
      </w:r>
    </w:p>
    <w:p w14:paraId="469D1C14" w14:textId="77777777" w:rsidR="00C6733C" w:rsidRDefault="00C6733C">
      <w:pPr>
        <w:pStyle w:val="Textoindependiente"/>
        <w:rPr>
          <w:sz w:val="22"/>
          <w:szCs w:val="22"/>
        </w:rPr>
      </w:pPr>
    </w:p>
    <w:tbl>
      <w:tblPr>
        <w:tblW w:w="6200" w:type="dxa"/>
        <w:jc w:val="center"/>
        <w:tblCellMar>
          <w:left w:w="70" w:type="dxa"/>
          <w:right w:w="70" w:type="dxa"/>
        </w:tblCellMar>
        <w:tblLook w:val="04A0" w:firstRow="1" w:lastRow="0" w:firstColumn="1" w:lastColumn="0" w:noHBand="0" w:noVBand="1"/>
      </w:tblPr>
      <w:tblGrid>
        <w:gridCol w:w="4180"/>
        <w:gridCol w:w="2020"/>
      </w:tblGrid>
      <w:tr w:rsidR="00C6733C" w14:paraId="2CDF59FF" w14:textId="77777777">
        <w:trPr>
          <w:trHeight w:val="600"/>
          <w:jc w:val="center"/>
        </w:trPr>
        <w:tc>
          <w:tcPr>
            <w:tcW w:w="4180" w:type="dxa"/>
            <w:tcBorders>
              <w:top w:val="nil"/>
              <w:left w:val="nil"/>
              <w:bottom w:val="nil"/>
              <w:right w:val="nil"/>
            </w:tcBorders>
            <w:shd w:val="clear" w:color="auto" w:fill="auto"/>
            <w:noWrap/>
            <w:vAlign w:val="bottom"/>
            <w:hideMark/>
          </w:tcPr>
          <w:p w14:paraId="144B0688" w14:textId="77777777" w:rsidR="00C6733C" w:rsidRDefault="00C6733C">
            <w:pPr>
              <w:widowControl/>
              <w:autoSpaceDE/>
              <w:autoSpaceDN/>
              <w:rPr>
                <w:rFonts w:ascii="Arial" w:eastAsia="Times New Roman" w:hAnsi="Arial" w:cs="Arial"/>
                <w:sz w:val="24"/>
                <w:szCs w:val="24"/>
                <w:lang w:bidi="ar-SA"/>
              </w:rPr>
            </w:pPr>
          </w:p>
        </w:tc>
        <w:tc>
          <w:tcPr>
            <w:tcW w:w="2020" w:type="dxa"/>
            <w:tcBorders>
              <w:top w:val="nil"/>
              <w:left w:val="nil"/>
              <w:bottom w:val="nil"/>
              <w:right w:val="nil"/>
            </w:tcBorders>
            <w:shd w:val="clear" w:color="auto" w:fill="auto"/>
            <w:noWrap/>
            <w:vAlign w:val="center"/>
            <w:hideMark/>
          </w:tcPr>
          <w:p w14:paraId="1D464C07"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71807A38" w14:textId="77777777">
        <w:trPr>
          <w:trHeight w:val="600"/>
          <w:jc w:val="center"/>
        </w:trPr>
        <w:tc>
          <w:tcPr>
            <w:tcW w:w="4180" w:type="dxa"/>
            <w:tcBorders>
              <w:top w:val="nil"/>
              <w:left w:val="nil"/>
              <w:bottom w:val="nil"/>
              <w:right w:val="nil"/>
            </w:tcBorders>
            <w:shd w:val="clear" w:color="auto" w:fill="auto"/>
            <w:vAlign w:val="center"/>
            <w:hideMark/>
          </w:tcPr>
          <w:p w14:paraId="0F8C60F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Administración Pública Centralizada</w:t>
            </w:r>
          </w:p>
        </w:tc>
        <w:tc>
          <w:tcPr>
            <w:tcW w:w="2020" w:type="dxa"/>
            <w:tcBorders>
              <w:top w:val="nil"/>
              <w:left w:val="nil"/>
              <w:bottom w:val="nil"/>
              <w:right w:val="nil"/>
            </w:tcBorders>
            <w:shd w:val="clear" w:color="auto" w:fill="auto"/>
            <w:noWrap/>
            <w:vAlign w:val="center"/>
            <w:hideMark/>
          </w:tcPr>
          <w:p w14:paraId="177152C1"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19,402,139,215.05</w:t>
            </w:r>
          </w:p>
        </w:tc>
      </w:tr>
      <w:tr w:rsidR="00C6733C" w14:paraId="57CFD090" w14:textId="77777777">
        <w:trPr>
          <w:trHeight w:val="600"/>
          <w:jc w:val="center"/>
        </w:trPr>
        <w:tc>
          <w:tcPr>
            <w:tcW w:w="4180" w:type="dxa"/>
            <w:tcBorders>
              <w:top w:val="nil"/>
              <w:left w:val="nil"/>
              <w:bottom w:val="nil"/>
              <w:right w:val="nil"/>
            </w:tcBorders>
            <w:shd w:val="clear" w:color="auto" w:fill="auto"/>
            <w:noWrap/>
            <w:vAlign w:val="center"/>
            <w:hideMark/>
          </w:tcPr>
          <w:p w14:paraId="68DDBAD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Sector Central</w:t>
            </w:r>
          </w:p>
        </w:tc>
        <w:tc>
          <w:tcPr>
            <w:tcW w:w="2020" w:type="dxa"/>
            <w:tcBorders>
              <w:top w:val="nil"/>
              <w:left w:val="nil"/>
              <w:bottom w:val="nil"/>
              <w:right w:val="nil"/>
            </w:tcBorders>
            <w:shd w:val="clear" w:color="auto" w:fill="auto"/>
            <w:noWrap/>
            <w:vAlign w:val="center"/>
            <w:hideMark/>
          </w:tcPr>
          <w:p w14:paraId="1D54C32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19,402,139,215.05</w:t>
            </w:r>
          </w:p>
        </w:tc>
      </w:tr>
      <w:tr w:rsidR="00C6733C" w14:paraId="0299AA49" w14:textId="77777777">
        <w:trPr>
          <w:trHeight w:val="600"/>
          <w:jc w:val="center"/>
        </w:trPr>
        <w:tc>
          <w:tcPr>
            <w:tcW w:w="4180" w:type="dxa"/>
            <w:tcBorders>
              <w:top w:val="nil"/>
              <w:left w:val="nil"/>
              <w:bottom w:val="nil"/>
              <w:right w:val="nil"/>
            </w:tcBorders>
            <w:shd w:val="clear" w:color="auto" w:fill="auto"/>
            <w:vAlign w:val="center"/>
            <w:hideMark/>
          </w:tcPr>
          <w:p w14:paraId="5A8107E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Administración Pública Paraestatal </w:t>
            </w:r>
          </w:p>
        </w:tc>
        <w:tc>
          <w:tcPr>
            <w:tcW w:w="2020" w:type="dxa"/>
            <w:tcBorders>
              <w:top w:val="nil"/>
              <w:left w:val="nil"/>
              <w:bottom w:val="nil"/>
              <w:right w:val="nil"/>
            </w:tcBorders>
            <w:shd w:val="clear" w:color="auto" w:fill="auto"/>
            <w:noWrap/>
            <w:vAlign w:val="center"/>
            <w:hideMark/>
          </w:tcPr>
          <w:p w14:paraId="23189F08"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37,120,638,167.61</w:t>
            </w:r>
          </w:p>
        </w:tc>
      </w:tr>
      <w:tr w:rsidR="00C6733C" w14:paraId="4ADBF3F3" w14:textId="77777777">
        <w:trPr>
          <w:trHeight w:val="600"/>
          <w:jc w:val="center"/>
        </w:trPr>
        <w:tc>
          <w:tcPr>
            <w:tcW w:w="4180" w:type="dxa"/>
            <w:tcBorders>
              <w:top w:val="nil"/>
              <w:left w:val="nil"/>
              <w:bottom w:val="nil"/>
              <w:right w:val="nil"/>
            </w:tcBorders>
            <w:shd w:val="clear" w:color="auto" w:fill="auto"/>
            <w:vAlign w:val="center"/>
            <w:hideMark/>
          </w:tcPr>
          <w:p w14:paraId="5C2664B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Organismos Públicos Descentralizados</w:t>
            </w:r>
          </w:p>
        </w:tc>
        <w:tc>
          <w:tcPr>
            <w:tcW w:w="2020" w:type="dxa"/>
            <w:tcBorders>
              <w:top w:val="nil"/>
              <w:left w:val="nil"/>
              <w:bottom w:val="nil"/>
              <w:right w:val="nil"/>
            </w:tcBorders>
            <w:shd w:val="clear" w:color="auto" w:fill="auto"/>
            <w:noWrap/>
            <w:vAlign w:val="center"/>
            <w:hideMark/>
          </w:tcPr>
          <w:p w14:paraId="47F2DB8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36,938,753,910.86</w:t>
            </w:r>
          </w:p>
        </w:tc>
      </w:tr>
      <w:tr w:rsidR="00C6733C" w14:paraId="17DB62FF" w14:textId="77777777">
        <w:trPr>
          <w:trHeight w:val="600"/>
          <w:jc w:val="center"/>
        </w:trPr>
        <w:tc>
          <w:tcPr>
            <w:tcW w:w="4180" w:type="dxa"/>
            <w:tcBorders>
              <w:top w:val="nil"/>
              <w:left w:val="nil"/>
              <w:bottom w:val="nil"/>
              <w:right w:val="nil"/>
            </w:tcBorders>
            <w:shd w:val="clear" w:color="auto" w:fill="auto"/>
            <w:vAlign w:val="center"/>
            <w:hideMark/>
          </w:tcPr>
          <w:p w14:paraId="732A966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Fideicomisos Públicos</w:t>
            </w:r>
          </w:p>
        </w:tc>
        <w:tc>
          <w:tcPr>
            <w:tcW w:w="2020" w:type="dxa"/>
            <w:tcBorders>
              <w:top w:val="nil"/>
              <w:left w:val="nil"/>
              <w:bottom w:val="nil"/>
              <w:right w:val="nil"/>
            </w:tcBorders>
            <w:shd w:val="clear" w:color="auto" w:fill="auto"/>
            <w:noWrap/>
            <w:vAlign w:val="center"/>
            <w:hideMark/>
          </w:tcPr>
          <w:p w14:paraId="43D9DC0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16,134,894.86</w:t>
            </w:r>
          </w:p>
        </w:tc>
      </w:tr>
      <w:tr w:rsidR="00C6733C" w14:paraId="1DEA8EDB" w14:textId="77777777">
        <w:trPr>
          <w:trHeight w:val="600"/>
          <w:jc w:val="center"/>
        </w:trPr>
        <w:tc>
          <w:tcPr>
            <w:tcW w:w="4180" w:type="dxa"/>
            <w:tcBorders>
              <w:top w:val="nil"/>
              <w:left w:val="nil"/>
              <w:bottom w:val="nil"/>
              <w:right w:val="nil"/>
            </w:tcBorders>
            <w:shd w:val="clear" w:color="auto" w:fill="auto"/>
            <w:vAlign w:val="center"/>
            <w:hideMark/>
          </w:tcPr>
          <w:p w14:paraId="567191A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Instituciones Públicas de Seguridad Social </w:t>
            </w:r>
          </w:p>
        </w:tc>
        <w:tc>
          <w:tcPr>
            <w:tcW w:w="2020" w:type="dxa"/>
            <w:tcBorders>
              <w:top w:val="nil"/>
              <w:left w:val="nil"/>
              <w:bottom w:val="nil"/>
              <w:right w:val="nil"/>
            </w:tcBorders>
            <w:shd w:val="clear" w:color="auto" w:fill="auto"/>
            <w:noWrap/>
            <w:vAlign w:val="center"/>
            <w:hideMark/>
          </w:tcPr>
          <w:p w14:paraId="5DEE66C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165,749,361.89</w:t>
            </w:r>
          </w:p>
        </w:tc>
      </w:tr>
      <w:tr w:rsidR="00C6733C" w14:paraId="1A7BDDEC" w14:textId="77777777">
        <w:trPr>
          <w:trHeight w:val="600"/>
          <w:jc w:val="center"/>
        </w:trPr>
        <w:tc>
          <w:tcPr>
            <w:tcW w:w="4180" w:type="dxa"/>
            <w:tcBorders>
              <w:top w:val="nil"/>
              <w:left w:val="nil"/>
              <w:bottom w:val="nil"/>
              <w:right w:val="nil"/>
            </w:tcBorders>
            <w:shd w:val="clear" w:color="auto" w:fill="auto"/>
            <w:noWrap/>
            <w:vAlign w:val="center"/>
            <w:hideMark/>
          </w:tcPr>
          <w:p w14:paraId="4A772CDE"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020" w:type="dxa"/>
            <w:tcBorders>
              <w:top w:val="nil"/>
              <w:left w:val="nil"/>
              <w:bottom w:val="nil"/>
              <w:right w:val="nil"/>
            </w:tcBorders>
            <w:shd w:val="clear" w:color="auto" w:fill="auto"/>
            <w:noWrap/>
            <w:vAlign w:val="center"/>
            <w:hideMark/>
          </w:tcPr>
          <w:p w14:paraId="59011B29"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rPr>
              <w:t>56,522,777,382.66</w:t>
            </w:r>
          </w:p>
        </w:tc>
      </w:tr>
    </w:tbl>
    <w:p w14:paraId="1CFD5B09" w14:textId="77777777" w:rsidR="00C6733C" w:rsidRDefault="00C6733C">
      <w:pPr>
        <w:pStyle w:val="Textoindependiente"/>
        <w:rPr>
          <w:sz w:val="22"/>
          <w:szCs w:val="22"/>
        </w:rPr>
      </w:pPr>
    </w:p>
    <w:p w14:paraId="3E9A39DE" w14:textId="77777777" w:rsidR="00C6733C" w:rsidRDefault="006D0638">
      <w:pPr>
        <w:widowControl/>
        <w:autoSpaceDE/>
        <w:autoSpaceDN/>
        <w:jc w:val="both"/>
        <w:rPr>
          <w:rFonts w:ascii="Arial" w:eastAsia="Times New Roman" w:hAnsi="Arial" w:cs="Arial"/>
          <w:lang w:bidi="ar-SA"/>
        </w:rPr>
      </w:pPr>
      <w:r>
        <w:rPr>
          <w:rFonts w:ascii="Arial" w:hAnsi="Arial" w:cs="Arial"/>
          <w:b/>
        </w:rPr>
        <w:t xml:space="preserve">Artículo 31. </w:t>
      </w:r>
      <w:r>
        <w:rPr>
          <w:rFonts w:ascii="Arial" w:hAnsi="Arial" w:cs="Arial"/>
        </w:rPr>
        <w:t>Los Municipios ejercerán un Presupuesto de Egresos que asciende a: $</w:t>
      </w:r>
      <w:r>
        <w:rPr>
          <w:rFonts w:ascii="Arial" w:eastAsia="Times New Roman" w:hAnsi="Arial" w:cs="Arial"/>
          <w:lang w:bidi="ar-SA"/>
        </w:rPr>
        <w:t xml:space="preserve">15,809,748,388.27 </w:t>
      </w:r>
      <w:r>
        <w:rPr>
          <w:rFonts w:ascii="Arial" w:hAnsi="Arial" w:cs="Arial"/>
        </w:rPr>
        <w:t>(</w:t>
      </w:r>
      <w:r>
        <w:rPr>
          <w:rFonts w:ascii="Arial" w:eastAsia="Times New Roman" w:hAnsi="Arial" w:cs="Arial"/>
          <w:color w:val="000000"/>
          <w:lang w:bidi="ar-SA"/>
        </w:rPr>
        <w:t>Quince mil ochocientos nueve millones setecientos cuarenta y ocho mil trescientos ochenta y ocho pesos 27/100</w:t>
      </w:r>
      <w:r>
        <w:rPr>
          <w:rFonts w:ascii="Arial" w:hAnsi="Arial" w:cs="Arial"/>
        </w:rPr>
        <w:t xml:space="preserve"> M.N.), distribuidos de la siguiente forma:</w:t>
      </w:r>
    </w:p>
    <w:p w14:paraId="3DAACC12" w14:textId="77777777" w:rsidR="00C6733C" w:rsidRDefault="00C6733C">
      <w:pPr>
        <w:pStyle w:val="Textoindependiente"/>
        <w:rPr>
          <w:sz w:val="22"/>
          <w:szCs w:val="22"/>
        </w:rPr>
      </w:pPr>
    </w:p>
    <w:p w14:paraId="5C63A0E2" w14:textId="77777777" w:rsidR="00C6733C" w:rsidRDefault="00C6733C">
      <w:pPr>
        <w:pStyle w:val="Textoindependiente"/>
        <w:rPr>
          <w:sz w:val="22"/>
          <w:szCs w:val="22"/>
        </w:rPr>
      </w:pPr>
    </w:p>
    <w:tbl>
      <w:tblPr>
        <w:tblW w:w="8160" w:type="dxa"/>
        <w:jc w:val="center"/>
        <w:tblCellMar>
          <w:left w:w="70" w:type="dxa"/>
          <w:right w:w="70" w:type="dxa"/>
        </w:tblCellMar>
        <w:tblLook w:val="04A0" w:firstRow="1" w:lastRow="0" w:firstColumn="1" w:lastColumn="0" w:noHBand="0" w:noVBand="1"/>
      </w:tblPr>
      <w:tblGrid>
        <w:gridCol w:w="5960"/>
        <w:gridCol w:w="2200"/>
      </w:tblGrid>
      <w:tr w:rsidR="00C6733C" w14:paraId="09CEF94C" w14:textId="77777777">
        <w:trPr>
          <w:trHeight w:val="450"/>
          <w:jc w:val="center"/>
        </w:trPr>
        <w:tc>
          <w:tcPr>
            <w:tcW w:w="5960" w:type="dxa"/>
            <w:tcBorders>
              <w:top w:val="nil"/>
              <w:left w:val="nil"/>
              <w:bottom w:val="nil"/>
              <w:right w:val="nil"/>
            </w:tcBorders>
            <w:shd w:val="clear" w:color="auto" w:fill="auto"/>
            <w:hideMark/>
          </w:tcPr>
          <w:p w14:paraId="751FEFD7" w14:textId="77777777" w:rsidR="00C6733C" w:rsidRDefault="00C6733C">
            <w:pPr>
              <w:widowControl/>
              <w:autoSpaceDE/>
              <w:autoSpaceDN/>
              <w:rPr>
                <w:rFonts w:ascii="Arial" w:eastAsia="Times New Roman" w:hAnsi="Arial" w:cs="Arial"/>
                <w:lang w:bidi="ar-SA"/>
              </w:rPr>
            </w:pPr>
          </w:p>
        </w:tc>
        <w:tc>
          <w:tcPr>
            <w:tcW w:w="2200" w:type="dxa"/>
            <w:tcBorders>
              <w:top w:val="nil"/>
              <w:left w:val="nil"/>
              <w:bottom w:val="nil"/>
              <w:right w:val="nil"/>
            </w:tcBorders>
            <w:shd w:val="clear" w:color="auto" w:fill="auto"/>
            <w:noWrap/>
            <w:vAlign w:val="center"/>
            <w:hideMark/>
          </w:tcPr>
          <w:p w14:paraId="654100F7"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5FF38A79" w14:textId="77777777">
        <w:trPr>
          <w:trHeight w:val="450"/>
          <w:jc w:val="center"/>
        </w:trPr>
        <w:tc>
          <w:tcPr>
            <w:tcW w:w="5960" w:type="dxa"/>
            <w:tcBorders>
              <w:top w:val="nil"/>
              <w:left w:val="nil"/>
              <w:bottom w:val="nil"/>
              <w:right w:val="nil"/>
            </w:tcBorders>
            <w:shd w:val="clear" w:color="auto" w:fill="auto"/>
            <w:vAlign w:val="center"/>
            <w:hideMark/>
          </w:tcPr>
          <w:p w14:paraId="643E8BD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General de Participaciones para Municipios</w:t>
            </w:r>
          </w:p>
        </w:tc>
        <w:tc>
          <w:tcPr>
            <w:tcW w:w="2200" w:type="dxa"/>
            <w:tcBorders>
              <w:top w:val="nil"/>
              <w:left w:val="nil"/>
              <w:bottom w:val="nil"/>
              <w:right w:val="nil"/>
            </w:tcBorders>
            <w:shd w:val="clear" w:color="auto" w:fill="auto"/>
            <w:noWrap/>
            <w:vAlign w:val="center"/>
            <w:hideMark/>
          </w:tcPr>
          <w:p w14:paraId="4E885A0D"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3,402,381,529.47</w:t>
            </w:r>
          </w:p>
        </w:tc>
      </w:tr>
      <w:tr w:rsidR="00C6733C" w14:paraId="0DE504A8" w14:textId="77777777">
        <w:trPr>
          <w:trHeight w:val="450"/>
          <w:jc w:val="center"/>
        </w:trPr>
        <w:tc>
          <w:tcPr>
            <w:tcW w:w="5960" w:type="dxa"/>
            <w:tcBorders>
              <w:top w:val="nil"/>
              <w:left w:val="nil"/>
              <w:bottom w:val="nil"/>
              <w:right w:val="nil"/>
            </w:tcBorders>
            <w:shd w:val="clear" w:color="auto" w:fill="auto"/>
            <w:vAlign w:val="center"/>
            <w:hideMark/>
          </w:tcPr>
          <w:p w14:paraId="1D14376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Fomento para Municipios</w:t>
            </w:r>
          </w:p>
        </w:tc>
        <w:tc>
          <w:tcPr>
            <w:tcW w:w="2200" w:type="dxa"/>
            <w:tcBorders>
              <w:top w:val="nil"/>
              <w:left w:val="nil"/>
              <w:bottom w:val="nil"/>
              <w:right w:val="nil"/>
            </w:tcBorders>
            <w:shd w:val="clear" w:color="auto" w:fill="auto"/>
            <w:noWrap/>
            <w:vAlign w:val="center"/>
            <w:hideMark/>
          </w:tcPr>
          <w:p w14:paraId="2B9F008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1,458,899,360.00</w:t>
            </w:r>
          </w:p>
        </w:tc>
      </w:tr>
      <w:tr w:rsidR="00C6733C" w14:paraId="5422BCDE" w14:textId="77777777">
        <w:trPr>
          <w:trHeight w:val="450"/>
          <w:jc w:val="center"/>
        </w:trPr>
        <w:tc>
          <w:tcPr>
            <w:tcW w:w="5960" w:type="dxa"/>
            <w:tcBorders>
              <w:top w:val="nil"/>
              <w:left w:val="nil"/>
              <w:bottom w:val="nil"/>
              <w:right w:val="nil"/>
            </w:tcBorders>
            <w:shd w:val="clear" w:color="auto" w:fill="auto"/>
            <w:vAlign w:val="center"/>
            <w:hideMark/>
          </w:tcPr>
          <w:p w14:paraId="25F055E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en Impuestos Especiales para Municipios</w:t>
            </w:r>
          </w:p>
        </w:tc>
        <w:tc>
          <w:tcPr>
            <w:tcW w:w="2200" w:type="dxa"/>
            <w:tcBorders>
              <w:top w:val="nil"/>
              <w:left w:val="nil"/>
              <w:bottom w:val="nil"/>
              <w:right w:val="nil"/>
            </w:tcBorders>
            <w:shd w:val="clear" w:color="auto" w:fill="auto"/>
            <w:noWrap/>
            <w:vAlign w:val="center"/>
            <w:hideMark/>
          </w:tcPr>
          <w:p w14:paraId="101D6E7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69,165,491.00</w:t>
            </w:r>
          </w:p>
        </w:tc>
      </w:tr>
      <w:tr w:rsidR="00C6733C" w14:paraId="4CDCA094" w14:textId="77777777">
        <w:trPr>
          <w:trHeight w:val="450"/>
          <w:jc w:val="center"/>
        </w:trPr>
        <w:tc>
          <w:tcPr>
            <w:tcW w:w="5960" w:type="dxa"/>
            <w:tcBorders>
              <w:top w:val="nil"/>
              <w:left w:val="nil"/>
              <w:bottom w:val="nil"/>
              <w:right w:val="nil"/>
            </w:tcBorders>
            <w:shd w:val="clear" w:color="auto" w:fill="auto"/>
            <w:vAlign w:val="center"/>
            <w:hideMark/>
          </w:tcPr>
          <w:p w14:paraId="53B465F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Fondo de </w:t>
            </w:r>
            <w:r>
              <w:rPr>
                <w:rFonts w:ascii="Arial" w:eastAsia="Times New Roman" w:hAnsi="Arial" w:cs="Arial"/>
                <w:color w:val="000000"/>
                <w:lang w:bidi="ar-SA"/>
              </w:rPr>
              <w:t>Fiscalización y Recaudación para Municipios</w:t>
            </w:r>
          </w:p>
        </w:tc>
        <w:tc>
          <w:tcPr>
            <w:tcW w:w="2200" w:type="dxa"/>
            <w:tcBorders>
              <w:top w:val="nil"/>
              <w:left w:val="nil"/>
              <w:bottom w:val="nil"/>
              <w:right w:val="nil"/>
            </w:tcBorders>
            <w:shd w:val="clear" w:color="auto" w:fill="auto"/>
            <w:noWrap/>
            <w:vAlign w:val="center"/>
            <w:hideMark/>
          </w:tcPr>
          <w:p w14:paraId="4AB996D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183,496,932.00</w:t>
            </w:r>
          </w:p>
        </w:tc>
      </w:tr>
      <w:tr w:rsidR="00C6733C" w14:paraId="7F94A856" w14:textId="77777777">
        <w:trPr>
          <w:trHeight w:val="450"/>
          <w:jc w:val="center"/>
        </w:trPr>
        <w:tc>
          <w:tcPr>
            <w:tcW w:w="5960" w:type="dxa"/>
            <w:tcBorders>
              <w:top w:val="nil"/>
              <w:left w:val="nil"/>
              <w:bottom w:val="nil"/>
              <w:right w:val="nil"/>
            </w:tcBorders>
            <w:shd w:val="clear" w:color="auto" w:fill="auto"/>
            <w:vAlign w:val="center"/>
            <w:hideMark/>
          </w:tcPr>
          <w:p w14:paraId="47092BE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Compensación para Municipios</w:t>
            </w:r>
          </w:p>
        </w:tc>
        <w:tc>
          <w:tcPr>
            <w:tcW w:w="2200" w:type="dxa"/>
            <w:tcBorders>
              <w:top w:val="nil"/>
              <w:left w:val="nil"/>
              <w:bottom w:val="nil"/>
              <w:right w:val="nil"/>
            </w:tcBorders>
            <w:shd w:val="clear" w:color="auto" w:fill="auto"/>
            <w:noWrap/>
            <w:vAlign w:val="center"/>
            <w:hideMark/>
          </w:tcPr>
          <w:p w14:paraId="45E50F9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127,802,775.80</w:t>
            </w:r>
          </w:p>
        </w:tc>
      </w:tr>
      <w:tr w:rsidR="00C6733C" w14:paraId="3F0D390A" w14:textId="77777777">
        <w:trPr>
          <w:trHeight w:val="450"/>
          <w:jc w:val="center"/>
        </w:trPr>
        <w:tc>
          <w:tcPr>
            <w:tcW w:w="5960" w:type="dxa"/>
            <w:tcBorders>
              <w:top w:val="nil"/>
              <w:left w:val="nil"/>
              <w:bottom w:val="nil"/>
              <w:right w:val="nil"/>
            </w:tcBorders>
            <w:shd w:val="clear" w:color="auto" w:fill="auto"/>
            <w:vAlign w:val="center"/>
            <w:hideMark/>
          </w:tcPr>
          <w:p w14:paraId="050AF53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Impuesto Sobre la Renta para Municipios</w:t>
            </w:r>
          </w:p>
        </w:tc>
        <w:tc>
          <w:tcPr>
            <w:tcW w:w="2200" w:type="dxa"/>
            <w:tcBorders>
              <w:top w:val="nil"/>
              <w:left w:val="nil"/>
              <w:bottom w:val="nil"/>
              <w:right w:val="nil"/>
            </w:tcBorders>
            <w:shd w:val="clear" w:color="auto" w:fill="auto"/>
            <w:noWrap/>
            <w:vAlign w:val="center"/>
            <w:hideMark/>
          </w:tcPr>
          <w:p w14:paraId="106CF55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145,368,908.00</w:t>
            </w:r>
          </w:p>
        </w:tc>
      </w:tr>
      <w:tr w:rsidR="00C6733C" w14:paraId="516A76E6" w14:textId="77777777">
        <w:trPr>
          <w:trHeight w:val="450"/>
          <w:jc w:val="center"/>
        </w:trPr>
        <w:tc>
          <w:tcPr>
            <w:tcW w:w="5960" w:type="dxa"/>
            <w:tcBorders>
              <w:top w:val="nil"/>
              <w:left w:val="nil"/>
              <w:bottom w:val="nil"/>
              <w:right w:val="nil"/>
            </w:tcBorders>
            <w:shd w:val="clear" w:color="auto" w:fill="auto"/>
            <w:vAlign w:val="center"/>
            <w:hideMark/>
          </w:tcPr>
          <w:p w14:paraId="7952091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Impuesto sobre Automóviles Nuevos para los Municipios</w:t>
            </w:r>
          </w:p>
        </w:tc>
        <w:tc>
          <w:tcPr>
            <w:tcW w:w="2200" w:type="dxa"/>
            <w:tcBorders>
              <w:top w:val="nil"/>
              <w:left w:val="nil"/>
              <w:bottom w:val="nil"/>
              <w:right w:val="nil"/>
            </w:tcBorders>
            <w:shd w:val="clear" w:color="auto" w:fill="auto"/>
            <w:noWrap/>
            <w:vAlign w:val="center"/>
            <w:hideMark/>
          </w:tcPr>
          <w:p w14:paraId="5B3312F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22,505,692.80</w:t>
            </w:r>
          </w:p>
        </w:tc>
      </w:tr>
      <w:tr w:rsidR="00C6733C" w14:paraId="2A08063E" w14:textId="77777777">
        <w:trPr>
          <w:trHeight w:val="450"/>
          <w:jc w:val="center"/>
        </w:trPr>
        <w:tc>
          <w:tcPr>
            <w:tcW w:w="5960" w:type="dxa"/>
            <w:tcBorders>
              <w:top w:val="nil"/>
              <w:left w:val="nil"/>
              <w:bottom w:val="nil"/>
              <w:right w:val="nil"/>
            </w:tcBorders>
            <w:shd w:val="clear" w:color="auto" w:fill="auto"/>
            <w:vAlign w:val="center"/>
            <w:hideMark/>
          </w:tcPr>
          <w:p w14:paraId="7C603D1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Impuestos a las Ventas Finales de Gasolinas y Diésel para Municipios</w:t>
            </w:r>
          </w:p>
        </w:tc>
        <w:tc>
          <w:tcPr>
            <w:tcW w:w="2200" w:type="dxa"/>
            <w:tcBorders>
              <w:top w:val="nil"/>
              <w:left w:val="nil"/>
              <w:bottom w:val="nil"/>
              <w:right w:val="nil"/>
            </w:tcBorders>
            <w:shd w:val="clear" w:color="auto" w:fill="auto"/>
            <w:noWrap/>
            <w:vAlign w:val="center"/>
            <w:hideMark/>
          </w:tcPr>
          <w:p w14:paraId="13150FB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94,604,471.80</w:t>
            </w:r>
          </w:p>
        </w:tc>
      </w:tr>
      <w:tr w:rsidR="00C6733C" w14:paraId="45422597" w14:textId="77777777">
        <w:trPr>
          <w:trHeight w:val="450"/>
          <w:jc w:val="center"/>
        </w:trPr>
        <w:tc>
          <w:tcPr>
            <w:tcW w:w="5960" w:type="dxa"/>
            <w:tcBorders>
              <w:top w:val="nil"/>
              <w:left w:val="nil"/>
              <w:bottom w:val="nil"/>
              <w:right w:val="nil"/>
            </w:tcBorders>
            <w:shd w:val="clear" w:color="auto" w:fill="auto"/>
            <w:vAlign w:val="center"/>
            <w:hideMark/>
          </w:tcPr>
          <w:p w14:paraId="10E4458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Resarcitorio del Impuesto Sobre Automóviles Nuevos para Municipios</w:t>
            </w:r>
          </w:p>
        </w:tc>
        <w:tc>
          <w:tcPr>
            <w:tcW w:w="2200" w:type="dxa"/>
            <w:tcBorders>
              <w:top w:val="nil"/>
              <w:left w:val="nil"/>
              <w:bottom w:val="nil"/>
              <w:right w:val="nil"/>
            </w:tcBorders>
            <w:shd w:val="clear" w:color="auto" w:fill="auto"/>
            <w:noWrap/>
            <w:vAlign w:val="center"/>
            <w:hideMark/>
          </w:tcPr>
          <w:p w14:paraId="204D019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6,747,867.40</w:t>
            </w:r>
          </w:p>
        </w:tc>
      </w:tr>
      <w:tr w:rsidR="00C6733C" w14:paraId="691FD019" w14:textId="77777777">
        <w:trPr>
          <w:trHeight w:val="450"/>
          <w:jc w:val="center"/>
        </w:trPr>
        <w:tc>
          <w:tcPr>
            <w:tcW w:w="5960" w:type="dxa"/>
            <w:tcBorders>
              <w:top w:val="nil"/>
              <w:left w:val="nil"/>
              <w:bottom w:val="nil"/>
              <w:right w:val="nil"/>
            </w:tcBorders>
            <w:shd w:val="clear" w:color="auto" w:fill="auto"/>
            <w:vAlign w:val="center"/>
            <w:hideMark/>
          </w:tcPr>
          <w:p w14:paraId="15A8ECB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Aportaciones para la Infraestructura Social Municipal</w:t>
            </w:r>
          </w:p>
        </w:tc>
        <w:tc>
          <w:tcPr>
            <w:tcW w:w="2200" w:type="dxa"/>
            <w:tcBorders>
              <w:top w:val="nil"/>
              <w:left w:val="nil"/>
              <w:bottom w:val="nil"/>
              <w:right w:val="nil"/>
            </w:tcBorders>
            <w:shd w:val="clear" w:color="auto" w:fill="auto"/>
            <w:noWrap/>
            <w:vAlign w:val="center"/>
            <w:hideMark/>
          </w:tcPr>
          <w:p w14:paraId="0C8F1B8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7,508,212,616.00</w:t>
            </w:r>
          </w:p>
        </w:tc>
      </w:tr>
      <w:tr w:rsidR="00C6733C" w14:paraId="5268897C" w14:textId="77777777">
        <w:trPr>
          <w:trHeight w:val="450"/>
          <w:jc w:val="center"/>
        </w:trPr>
        <w:tc>
          <w:tcPr>
            <w:tcW w:w="5960" w:type="dxa"/>
            <w:tcBorders>
              <w:top w:val="nil"/>
              <w:left w:val="nil"/>
              <w:bottom w:val="nil"/>
              <w:right w:val="nil"/>
            </w:tcBorders>
            <w:shd w:val="clear" w:color="auto" w:fill="auto"/>
            <w:vAlign w:val="center"/>
            <w:hideMark/>
          </w:tcPr>
          <w:p w14:paraId="047F48E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w:t>
            </w:r>
            <w:r>
              <w:rPr>
                <w:rFonts w:ascii="Arial" w:eastAsia="Times New Roman" w:hAnsi="Arial" w:cs="Arial"/>
                <w:color w:val="000000"/>
                <w:lang w:bidi="ar-SA"/>
              </w:rPr>
              <w:t>o de Aportaciones para el Fortalecimiento Municipal</w:t>
            </w:r>
          </w:p>
        </w:tc>
        <w:tc>
          <w:tcPr>
            <w:tcW w:w="2200" w:type="dxa"/>
            <w:tcBorders>
              <w:top w:val="nil"/>
              <w:left w:val="nil"/>
              <w:bottom w:val="nil"/>
              <w:right w:val="nil"/>
            </w:tcBorders>
            <w:shd w:val="clear" w:color="auto" w:fill="auto"/>
            <w:noWrap/>
            <w:vAlign w:val="center"/>
            <w:hideMark/>
          </w:tcPr>
          <w:p w14:paraId="221D203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2,790,562,744.00</w:t>
            </w:r>
          </w:p>
        </w:tc>
      </w:tr>
      <w:tr w:rsidR="00C6733C" w14:paraId="681BC089" w14:textId="77777777">
        <w:trPr>
          <w:trHeight w:val="450"/>
          <w:jc w:val="center"/>
        </w:trPr>
        <w:tc>
          <w:tcPr>
            <w:tcW w:w="5960" w:type="dxa"/>
            <w:tcBorders>
              <w:top w:val="nil"/>
              <w:left w:val="nil"/>
              <w:bottom w:val="nil"/>
              <w:right w:val="nil"/>
            </w:tcBorders>
            <w:shd w:val="clear" w:color="auto" w:fill="auto"/>
            <w:vAlign w:val="center"/>
            <w:hideMark/>
          </w:tcPr>
          <w:p w14:paraId="0F6F2ECB"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200" w:type="dxa"/>
            <w:tcBorders>
              <w:top w:val="nil"/>
              <w:left w:val="nil"/>
              <w:bottom w:val="nil"/>
              <w:right w:val="nil"/>
            </w:tcBorders>
            <w:shd w:val="clear" w:color="auto" w:fill="auto"/>
            <w:noWrap/>
            <w:vAlign w:val="bottom"/>
            <w:hideMark/>
          </w:tcPr>
          <w:p w14:paraId="3762E5EF"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15,809,748,388.27</w:t>
            </w:r>
          </w:p>
        </w:tc>
      </w:tr>
    </w:tbl>
    <w:p w14:paraId="0BB64940" w14:textId="77777777" w:rsidR="00C6733C" w:rsidRDefault="00C6733C">
      <w:pPr>
        <w:pStyle w:val="Textoindependiente"/>
        <w:rPr>
          <w:sz w:val="22"/>
          <w:szCs w:val="22"/>
        </w:rPr>
      </w:pPr>
    </w:p>
    <w:p w14:paraId="6B24CAEE" w14:textId="77777777" w:rsidR="00C6733C" w:rsidRDefault="006D0638">
      <w:pPr>
        <w:pStyle w:val="Textoindependiente"/>
        <w:ind w:right="-29"/>
        <w:jc w:val="both"/>
        <w:rPr>
          <w:sz w:val="22"/>
          <w:szCs w:val="22"/>
        </w:rPr>
      </w:pPr>
      <w:r>
        <w:rPr>
          <w:sz w:val="22"/>
          <w:szCs w:val="22"/>
        </w:rPr>
        <w:t xml:space="preserve">Los montos de participaciones se distribuyen a los 570 Municipios de conformidad con el Decreto de Bases, Factores de Distribución, Montos </w:t>
      </w:r>
      <w:r>
        <w:rPr>
          <w:sz w:val="22"/>
          <w:szCs w:val="22"/>
        </w:rPr>
        <w:t>Estimados y Plazos para el Pago de Participaciones Fiscales Federales, aprobados por el Congreso, como se indica en el anexo 2.</w:t>
      </w:r>
    </w:p>
    <w:p w14:paraId="7D89EC84" w14:textId="77777777" w:rsidR="00C6733C" w:rsidRDefault="00C6733C">
      <w:pPr>
        <w:pStyle w:val="Textoindependiente"/>
        <w:ind w:right="-29"/>
        <w:rPr>
          <w:sz w:val="22"/>
          <w:szCs w:val="22"/>
        </w:rPr>
      </w:pPr>
    </w:p>
    <w:p w14:paraId="2F437F10" w14:textId="77777777" w:rsidR="00C6733C" w:rsidRDefault="006D0638">
      <w:pPr>
        <w:pStyle w:val="Textoindependiente"/>
        <w:ind w:right="-29"/>
        <w:jc w:val="both"/>
        <w:rPr>
          <w:sz w:val="22"/>
          <w:szCs w:val="22"/>
        </w:rPr>
      </w:pPr>
      <w:r>
        <w:rPr>
          <w:b/>
          <w:sz w:val="22"/>
          <w:szCs w:val="22"/>
        </w:rPr>
        <w:t xml:space="preserve">Artículo 32. </w:t>
      </w:r>
      <w:r>
        <w:rPr>
          <w:sz w:val="22"/>
          <w:szCs w:val="22"/>
        </w:rPr>
        <w:t>El Presupuesto asignado para el funcionamiento de las Unidades Ejecutoras que atienden conflictos laborales, se de</w:t>
      </w:r>
      <w:r>
        <w:rPr>
          <w:sz w:val="22"/>
          <w:szCs w:val="22"/>
        </w:rPr>
        <w:t>sglosa de la siguiente</w:t>
      </w:r>
      <w:r>
        <w:rPr>
          <w:spacing w:val="-12"/>
          <w:sz w:val="22"/>
          <w:szCs w:val="22"/>
        </w:rPr>
        <w:t xml:space="preserve"> </w:t>
      </w:r>
      <w:r>
        <w:rPr>
          <w:sz w:val="22"/>
          <w:szCs w:val="22"/>
        </w:rPr>
        <w:t>forma:</w:t>
      </w:r>
      <w:r>
        <w:rPr>
          <w:rFonts w:eastAsia="Times New Roman"/>
          <w:color w:val="000000"/>
          <w:lang w:bidi="ar-SA"/>
        </w:rPr>
        <w:t xml:space="preserve"> </w:t>
      </w:r>
    </w:p>
    <w:p w14:paraId="4B6E4D12" w14:textId="77777777" w:rsidR="00C6733C" w:rsidRDefault="00C6733C">
      <w:pPr>
        <w:pStyle w:val="Textoindependiente"/>
        <w:ind w:right="-29"/>
        <w:jc w:val="both"/>
        <w:rPr>
          <w:sz w:val="22"/>
          <w:szCs w:val="22"/>
        </w:rPr>
      </w:pPr>
    </w:p>
    <w:tbl>
      <w:tblPr>
        <w:tblW w:w="5740" w:type="dxa"/>
        <w:jc w:val="center"/>
        <w:tblCellMar>
          <w:left w:w="70" w:type="dxa"/>
          <w:right w:w="70" w:type="dxa"/>
        </w:tblCellMar>
        <w:tblLook w:val="04A0" w:firstRow="1" w:lastRow="0" w:firstColumn="1" w:lastColumn="0" w:noHBand="0" w:noVBand="1"/>
      </w:tblPr>
      <w:tblGrid>
        <w:gridCol w:w="4060"/>
        <w:gridCol w:w="1680"/>
      </w:tblGrid>
      <w:tr w:rsidR="00C6733C" w14:paraId="7A326676" w14:textId="77777777">
        <w:trPr>
          <w:trHeight w:val="300"/>
          <w:jc w:val="center"/>
        </w:trPr>
        <w:tc>
          <w:tcPr>
            <w:tcW w:w="4060" w:type="dxa"/>
            <w:tcBorders>
              <w:top w:val="nil"/>
              <w:left w:val="nil"/>
              <w:bottom w:val="nil"/>
              <w:right w:val="nil"/>
            </w:tcBorders>
            <w:shd w:val="clear" w:color="auto" w:fill="auto"/>
            <w:noWrap/>
            <w:vAlign w:val="bottom"/>
            <w:hideMark/>
          </w:tcPr>
          <w:p w14:paraId="618F9795" w14:textId="77777777" w:rsidR="00C6733C" w:rsidRDefault="00C6733C">
            <w:pPr>
              <w:widowControl/>
              <w:autoSpaceDE/>
              <w:autoSpaceDN/>
              <w:rPr>
                <w:rFonts w:ascii="Arial" w:eastAsia="Times New Roman" w:hAnsi="Arial" w:cs="Arial"/>
                <w:lang w:bidi="ar-SA"/>
              </w:rPr>
            </w:pPr>
          </w:p>
        </w:tc>
        <w:tc>
          <w:tcPr>
            <w:tcW w:w="1680" w:type="dxa"/>
            <w:tcBorders>
              <w:top w:val="nil"/>
              <w:left w:val="nil"/>
              <w:bottom w:val="nil"/>
              <w:right w:val="nil"/>
            </w:tcBorders>
            <w:shd w:val="clear" w:color="auto" w:fill="auto"/>
            <w:noWrap/>
            <w:vAlign w:val="center"/>
            <w:hideMark/>
          </w:tcPr>
          <w:p w14:paraId="5CB72C7C"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17300E05" w14:textId="77777777">
        <w:trPr>
          <w:trHeight w:val="540"/>
          <w:jc w:val="center"/>
        </w:trPr>
        <w:tc>
          <w:tcPr>
            <w:tcW w:w="4060" w:type="dxa"/>
            <w:tcBorders>
              <w:top w:val="nil"/>
              <w:left w:val="nil"/>
              <w:bottom w:val="nil"/>
              <w:right w:val="nil"/>
            </w:tcBorders>
            <w:shd w:val="clear" w:color="auto" w:fill="auto"/>
            <w:vAlign w:val="center"/>
            <w:hideMark/>
          </w:tcPr>
          <w:p w14:paraId="7A91BFC3"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 xml:space="preserve">Junta de Arbitraje para los Empleados al Servicio de los Poderes del Estado </w:t>
            </w:r>
          </w:p>
        </w:tc>
        <w:tc>
          <w:tcPr>
            <w:tcW w:w="1680" w:type="dxa"/>
            <w:tcBorders>
              <w:top w:val="nil"/>
              <w:left w:val="nil"/>
              <w:bottom w:val="nil"/>
              <w:right w:val="nil"/>
            </w:tcBorders>
            <w:shd w:val="clear" w:color="auto" w:fill="auto"/>
            <w:noWrap/>
            <w:vAlign w:val="center"/>
            <w:hideMark/>
          </w:tcPr>
          <w:p w14:paraId="4476A8A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13,554,462.44</w:t>
            </w:r>
          </w:p>
        </w:tc>
      </w:tr>
      <w:tr w:rsidR="00C6733C" w14:paraId="29ABC6E0" w14:textId="77777777">
        <w:trPr>
          <w:trHeight w:val="540"/>
          <w:jc w:val="center"/>
        </w:trPr>
        <w:tc>
          <w:tcPr>
            <w:tcW w:w="4060" w:type="dxa"/>
            <w:tcBorders>
              <w:top w:val="nil"/>
              <w:left w:val="nil"/>
              <w:bottom w:val="nil"/>
              <w:right w:val="nil"/>
            </w:tcBorders>
            <w:shd w:val="clear" w:color="auto" w:fill="auto"/>
            <w:vAlign w:val="center"/>
            <w:hideMark/>
          </w:tcPr>
          <w:p w14:paraId="29968E04"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 xml:space="preserve">Junta Local de Conciliación y Arbitraje </w:t>
            </w:r>
          </w:p>
        </w:tc>
        <w:tc>
          <w:tcPr>
            <w:tcW w:w="1680" w:type="dxa"/>
            <w:tcBorders>
              <w:top w:val="nil"/>
              <w:left w:val="nil"/>
              <w:bottom w:val="nil"/>
              <w:right w:val="nil"/>
            </w:tcBorders>
            <w:shd w:val="clear" w:color="auto" w:fill="auto"/>
            <w:noWrap/>
            <w:vAlign w:val="center"/>
            <w:hideMark/>
          </w:tcPr>
          <w:p w14:paraId="0FD2EBC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49,236,906.10</w:t>
            </w:r>
          </w:p>
        </w:tc>
      </w:tr>
      <w:tr w:rsidR="00C6733C" w14:paraId="17B09A8C" w14:textId="77777777">
        <w:trPr>
          <w:trHeight w:val="540"/>
          <w:jc w:val="center"/>
        </w:trPr>
        <w:tc>
          <w:tcPr>
            <w:tcW w:w="4060" w:type="dxa"/>
            <w:tcBorders>
              <w:top w:val="nil"/>
              <w:left w:val="nil"/>
              <w:bottom w:val="nil"/>
              <w:right w:val="nil"/>
            </w:tcBorders>
            <w:shd w:val="clear" w:color="auto" w:fill="auto"/>
            <w:noWrap/>
            <w:vAlign w:val="center"/>
            <w:hideMark/>
          </w:tcPr>
          <w:p w14:paraId="3DF93ED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680" w:type="dxa"/>
            <w:tcBorders>
              <w:top w:val="nil"/>
              <w:left w:val="nil"/>
              <w:bottom w:val="nil"/>
              <w:right w:val="nil"/>
            </w:tcBorders>
            <w:shd w:val="clear" w:color="auto" w:fill="auto"/>
            <w:noWrap/>
            <w:vAlign w:val="center"/>
            <w:hideMark/>
          </w:tcPr>
          <w:p w14:paraId="1DEC922D"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62,791,368.54</w:t>
            </w:r>
          </w:p>
        </w:tc>
      </w:tr>
    </w:tbl>
    <w:p w14:paraId="6D25AA4C" w14:textId="77777777" w:rsidR="00C6733C" w:rsidRDefault="00C6733C">
      <w:pPr>
        <w:pStyle w:val="Textoindependiente"/>
        <w:jc w:val="both"/>
        <w:rPr>
          <w:b/>
          <w:sz w:val="22"/>
          <w:szCs w:val="22"/>
        </w:rPr>
      </w:pPr>
    </w:p>
    <w:p w14:paraId="590323B6" w14:textId="77777777" w:rsidR="00C6733C" w:rsidRDefault="006D0638">
      <w:pPr>
        <w:pStyle w:val="Textoindependiente"/>
        <w:jc w:val="both"/>
        <w:rPr>
          <w:sz w:val="22"/>
          <w:szCs w:val="22"/>
        </w:rPr>
      </w:pPr>
      <w:r>
        <w:rPr>
          <w:b/>
          <w:sz w:val="22"/>
          <w:szCs w:val="22"/>
        </w:rPr>
        <w:t xml:space="preserve">Artículo 33. </w:t>
      </w:r>
      <w:r>
        <w:rPr>
          <w:sz w:val="22"/>
          <w:szCs w:val="22"/>
        </w:rPr>
        <w:t xml:space="preserve">El Presupuesto de </w:t>
      </w:r>
      <w:r>
        <w:rPr>
          <w:sz w:val="22"/>
          <w:szCs w:val="22"/>
        </w:rPr>
        <w:t>egresos asignado para cubrir el costo financiero de la Deuda Pública se conforma de la siguiente manera:</w:t>
      </w:r>
    </w:p>
    <w:p w14:paraId="687DF1EE" w14:textId="77777777" w:rsidR="00C6733C" w:rsidRDefault="00C6733C">
      <w:pPr>
        <w:pStyle w:val="Textoindependiente"/>
        <w:jc w:val="both"/>
        <w:rPr>
          <w:sz w:val="22"/>
          <w:szCs w:val="22"/>
        </w:rPr>
      </w:pPr>
    </w:p>
    <w:tbl>
      <w:tblPr>
        <w:tblW w:w="5947" w:type="dxa"/>
        <w:jc w:val="center"/>
        <w:tblCellMar>
          <w:left w:w="70" w:type="dxa"/>
          <w:right w:w="70" w:type="dxa"/>
        </w:tblCellMar>
        <w:tblLook w:val="04A0" w:firstRow="1" w:lastRow="0" w:firstColumn="1" w:lastColumn="0" w:noHBand="0" w:noVBand="1"/>
      </w:tblPr>
      <w:tblGrid>
        <w:gridCol w:w="4240"/>
        <w:gridCol w:w="1853"/>
      </w:tblGrid>
      <w:tr w:rsidR="00C6733C" w14:paraId="7BD19F61" w14:textId="77777777">
        <w:trPr>
          <w:trHeight w:val="405"/>
          <w:jc w:val="center"/>
        </w:trPr>
        <w:tc>
          <w:tcPr>
            <w:tcW w:w="4240" w:type="dxa"/>
            <w:tcBorders>
              <w:top w:val="nil"/>
              <w:left w:val="nil"/>
              <w:bottom w:val="nil"/>
              <w:right w:val="nil"/>
            </w:tcBorders>
            <w:shd w:val="clear" w:color="auto" w:fill="auto"/>
            <w:noWrap/>
            <w:vAlign w:val="bottom"/>
            <w:hideMark/>
          </w:tcPr>
          <w:p w14:paraId="42B7181E" w14:textId="77777777" w:rsidR="00C6733C" w:rsidRDefault="00C6733C">
            <w:pPr>
              <w:widowControl/>
              <w:autoSpaceDE/>
              <w:autoSpaceDN/>
              <w:rPr>
                <w:rFonts w:ascii="Arial" w:eastAsia="Times New Roman" w:hAnsi="Arial" w:cs="Arial"/>
                <w:lang w:bidi="ar-SA"/>
              </w:rPr>
            </w:pPr>
          </w:p>
        </w:tc>
        <w:tc>
          <w:tcPr>
            <w:tcW w:w="1707" w:type="dxa"/>
            <w:tcBorders>
              <w:top w:val="nil"/>
              <w:left w:val="nil"/>
              <w:bottom w:val="nil"/>
              <w:right w:val="nil"/>
            </w:tcBorders>
            <w:shd w:val="clear" w:color="auto" w:fill="auto"/>
            <w:noWrap/>
            <w:vAlign w:val="center"/>
            <w:hideMark/>
          </w:tcPr>
          <w:p w14:paraId="05251CE1"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w:t>
            </w:r>
          </w:p>
        </w:tc>
      </w:tr>
      <w:tr w:rsidR="00C6733C" w14:paraId="1D3E2DA6" w14:textId="77777777">
        <w:trPr>
          <w:trHeight w:val="405"/>
          <w:jc w:val="center"/>
        </w:trPr>
        <w:tc>
          <w:tcPr>
            <w:tcW w:w="4240" w:type="dxa"/>
            <w:tcBorders>
              <w:top w:val="nil"/>
              <w:left w:val="nil"/>
              <w:bottom w:val="nil"/>
              <w:right w:val="nil"/>
            </w:tcBorders>
            <w:shd w:val="clear" w:color="auto" w:fill="auto"/>
            <w:vAlign w:val="center"/>
            <w:hideMark/>
          </w:tcPr>
          <w:p w14:paraId="33DC3C8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 Amortización de la Deuda Pública </w:t>
            </w:r>
          </w:p>
        </w:tc>
        <w:tc>
          <w:tcPr>
            <w:tcW w:w="1707" w:type="dxa"/>
            <w:tcBorders>
              <w:top w:val="nil"/>
              <w:left w:val="nil"/>
              <w:bottom w:val="nil"/>
              <w:right w:val="nil"/>
            </w:tcBorders>
            <w:shd w:val="clear" w:color="auto" w:fill="auto"/>
            <w:noWrap/>
            <w:vAlign w:val="center"/>
            <w:hideMark/>
          </w:tcPr>
          <w:p w14:paraId="230BF83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2,395,981,325.00</w:t>
            </w:r>
          </w:p>
        </w:tc>
      </w:tr>
      <w:tr w:rsidR="00C6733C" w14:paraId="603124D2" w14:textId="77777777">
        <w:trPr>
          <w:trHeight w:val="405"/>
          <w:jc w:val="center"/>
        </w:trPr>
        <w:tc>
          <w:tcPr>
            <w:tcW w:w="4240" w:type="dxa"/>
            <w:tcBorders>
              <w:top w:val="nil"/>
              <w:left w:val="nil"/>
              <w:bottom w:val="nil"/>
              <w:right w:val="nil"/>
            </w:tcBorders>
            <w:shd w:val="clear" w:color="auto" w:fill="auto"/>
            <w:vAlign w:val="center"/>
            <w:hideMark/>
          </w:tcPr>
          <w:p w14:paraId="756A00B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 Intereses de la Deuda Pública </w:t>
            </w:r>
          </w:p>
        </w:tc>
        <w:tc>
          <w:tcPr>
            <w:tcW w:w="1707" w:type="dxa"/>
            <w:tcBorders>
              <w:top w:val="nil"/>
              <w:left w:val="nil"/>
              <w:bottom w:val="nil"/>
              <w:right w:val="nil"/>
            </w:tcBorders>
            <w:shd w:val="clear" w:color="auto" w:fill="auto"/>
            <w:noWrap/>
            <w:vAlign w:val="center"/>
            <w:hideMark/>
          </w:tcPr>
          <w:p w14:paraId="7EAA23ED"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1,321,951,159.00</w:t>
            </w:r>
          </w:p>
        </w:tc>
      </w:tr>
      <w:tr w:rsidR="00C6733C" w14:paraId="3AC6F92A" w14:textId="77777777">
        <w:trPr>
          <w:trHeight w:val="405"/>
          <w:jc w:val="center"/>
        </w:trPr>
        <w:tc>
          <w:tcPr>
            <w:tcW w:w="4240" w:type="dxa"/>
            <w:tcBorders>
              <w:top w:val="nil"/>
              <w:left w:val="nil"/>
              <w:bottom w:val="nil"/>
              <w:right w:val="nil"/>
            </w:tcBorders>
            <w:shd w:val="clear" w:color="auto" w:fill="auto"/>
            <w:vAlign w:val="center"/>
            <w:hideMark/>
          </w:tcPr>
          <w:p w14:paraId="585E718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 Gastos de la Deuda Pública </w:t>
            </w:r>
          </w:p>
        </w:tc>
        <w:tc>
          <w:tcPr>
            <w:tcW w:w="1707" w:type="dxa"/>
            <w:tcBorders>
              <w:top w:val="nil"/>
              <w:left w:val="nil"/>
              <w:bottom w:val="nil"/>
              <w:right w:val="nil"/>
            </w:tcBorders>
            <w:shd w:val="clear" w:color="auto" w:fill="auto"/>
            <w:noWrap/>
            <w:vAlign w:val="center"/>
            <w:hideMark/>
          </w:tcPr>
          <w:p w14:paraId="3A35BE0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13,270,448.97</w:t>
            </w:r>
          </w:p>
        </w:tc>
      </w:tr>
      <w:tr w:rsidR="00C6733C" w14:paraId="47E67769" w14:textId="77777777">
        <w:trPr>
          <w:trHeight w:val="405"/>
          <w:jc w:val="center"/>
        </w:trPr>
        <w:tc>
          <w:tcPr>
            <w:tcW w:w="4240" w:type="dxa"/>
            <w:tcBorders>
              <w:top w:val="nil"/>
              <w:left w:val="nil"/>
              <w:bottom w:val="nil"/>
              <w:right w:val="nil"/>
            </w:tcBorders>
            <w:shd w:val="clear" w:color="auto" w:fill="auto"/>
            <w:vAlign w:val="center"/>
            <w:hideMark/>
          </w:tcPr>
          <w:p w14:paraId="7E51A11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 Costo por Coberturas </w:t>
            </w:r>
          </w:p>
        </w:tc>
        <w:tc>
          <w:tcPr>
            <w:tcW w:w="1707" w:type="dxa"/>
            <w:tcBorders>
              <w:top w:val="nil"/>
              <w:left w:val="nil"/>
              <w:bottom w:val="nil"/>
              <w:right w:val="nil"/>
            </w:tcBorders>
            <w:shd w:val="clear" w:color="auto" w:fill="auto"/>
            <w:noWrap/>
            <w:vAlign w:val="center"/>
            <w:hideMark/>
          </w:tcPr>
          <w:p w14:paraId="1C9CD6B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156,453,606.00</w:t>
            </w:r>
          </w:p>
        </w:tc>
      </w:tr>
      <w:tr w:rsidR="00C6733C" w14:paraId="228298BA" w14:textId="77777777">
        <w:trPr>
          <w:trHeight w:val="540"/>
          <w:jc w:val="center"/>
        </w:trPr>
        <w:tc>
          <w:tcPr>
            <w:tcW w:w="4240" w:type="dxa"/>
            <w:tcBorders>
              <w:top w:val="nil"/>
              <w:left w:val="nil"/>
              <w:bottom w:val="nil"/>
              <w:right w:val="nil"/>
            </w:tcBorders>
            <w:shd w:val="clear" w:color="auto" w:fill="auto"/>
            <w:noWrap/>
            <w:vAlign w:val="center"/>
            <w:hideMark/>
          </w:tcPr>
          <w:p w14:paraId="6F7FC8D0"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707" w:type="dxa"/>
            <w:tcBorders>
              <w:top w:val="nil"/>
              <w:left w:val="nil"/>
              <w:bottom w:val="nil"/>
              <w:right w:val="nil"/>
            </w:tcBorders>
            <w:shd w:val="clear" w:color="auto" w:fill="auto"/>
            <w:noWrap/>
            <w:vAlign w:val="center"/>
            <w:hideMark/>
          </w:tcPr>
          <w:p w14:paraId="1447D351"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3,887,656,538.97</w:t>
            </w:r>
          </w:p>
        </w:tc>
      </w:tr>
    </w:tbl>
    <w:p w14:paraId="0729EA4C" w14:textId="77777777" w:rsidR="00C6733C" w:rsidRDefault="00C6733C">
      <w:pPr>
        <w:pStyle w:val="Textoindependiente"/>
        <w:jc w:val="both"/>
        <w:rPr>
          <w:b/>
          <w:sz w:val="22"/>
          <w:szCs w:val="22"/>
        </w:rPr>
      </w:pPr>
    </w:p>
    <w:p w14:paraId="6E0E071A" w14:textId="77777777" w:rsidR="00C6733C" w:rsidRDefault="006D0638">
      <w:pPr>
        <w:pStyle w:val="Textoindependiente"/>
        <w:jc w:val="both"/>
        <w:rPr>
          <w:sz w:val="22"/>
          <w:szCs w:val="22"/>
        </w:rPr>
      </w:pPr>
      <w:r>
        <w:rPr>
          <w:b/>
          <w:sz w:val="22"/>
          <w:szCs w:val="22"/>
        </w:rPr>
        <w:t xml:space="preserve">Artículo 34. </w:t>
      </w:r>
      <w:r>
        <w:rPr>
          <w:sz w:val="22"/>
          <w:szCs w:val="22"/>
        </w:rPr>
        <w:t>El desglose de la deuda pública por fuente de pago y tipo de acreedor es el siguiente:</w:t>
      </w:r>
    </w:p>
    <w:p w14:paraId="2B3351B4" w14:textId="77777777" w:rsidR="00C6733C" w:rsidRDefault="00C6733C">
      <w:pPr>
        <w:pStyle w:val="Textoindependiente"/>
        <w:jc w:val="both"/>
        <w:rPr>
          <w:sz w:val="22"/>
          <w:szCs w:val="22"/>
        </w:rPr>
      </w:pPr>
    </w:p>
    <w:tbl>
      <w:tblPr>
        <w:tblW w:w="9142" w:type="dxa"/>
        <w:jc w:val="center"/>
        <w:tblCellMar>
          <w:left w:w="70" w:type="dxa"/>
          <w:right w:w="70" w:type="dxa"/>
        </w:tblCellMar>
        <w:tblLook w:val="04A0" w:firstRow="1" w:lastRow="0" w:firstColumn="1" w:lastColumn="0" w:noHBand="0" w:noVBand="1"/>
      </w:tblPr>
      <w:tblGrid>
        <w:gridCol w:w="1985"/>
        <w:gridCol w:w="1901"/>
        <w:gridCol w:w="1752"/>
        <w:gridCol w:w="1809"/>
        <w:gridCol w:w="1813"/>
      </w:tblGrid>
      <w:tr w:rsidR="00C6733C" w14:paraId="04890EE3" w14:textId="77777777">
        <w:trPr>
          <w:trHeight w:val="888"/>
          <w:jc w:val="center"/>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3789" w14:textId="77777777" w:rsidR="00C6733C" w:rsidRDefault="006D0638">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FUENTE PAGO/ ACREEDOR</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1DA9781C" w14:textId="77777777" w:rsidR="00C6733C" w:rsidRDefault="006D0638">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SALDO           </w:t>
            </w:r>
            <w:r>
              <w:rPr>
                <w:rFonts w:ascii="Arial" w:eastAsia="Times New Roman" w:hAnsi="Arial" w:cs="Arial"/>
                <w:color w:val="000000"/>
                <w:sz w:val="20"/>
                <w:szCs w:val="20"/>
                <w:lang w:bidi="ar-SA"/>
              </w:rPr>
              <w:t xml:space="preserve">              DICIEMBRE 2019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718F09" w14:textId="77777777" w:rsidR="00C6733C" w:rsidRDefault="006D0638">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*AMORTIZACIÓN CAPITAL                    (PROYECTADO  2020)</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6488FCF9" w14:textId="77777777" w:rsidR="00C6733C" w:rsidRDefault="006D0638">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SALDO               DICIEMBRE 2020</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765DB8D7" w14:textId="77777777" w:rsidR="00C6733C" w:rsidRDefault="006D0638">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**COSTO FINANCIERO  (PROYECTADO 2020)</w:t>
            </w:r>
          </w:p>
        </w:tc>
      </w:tr>
      <w:tr w:rsidR="00C6733C" w14:paraId="44F68D07" w14:textId="77777777">
        <w:trPr>
          <w:trHeight w:val="366"/>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190CDAD5" w14:textId="77777777" w:rsidR="00C6733C" w:rsidRDefault="006D0638">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DEUDA PÚBLICA CORTO PLAZO </w:t>
            </w:r>
          </w:p>
        </w:tc>
        <w:tc>
          <w:tcPr>
            <w:tcW w:w="1901" w:type="dxa"/>
            <w:tcBorders>
              <w:top w:val="nil"/>
              <w:left w:val="nil"/>
              <w:bottom w:val="single" w:sz="4" w:space="0" w:color="auto"/>
              <w:right w:val="single" w:sz="4" w:space="0" w:color="auto"/>
            </w:tcBorders>
            <w:shd w:val="clear" w:color="auto" w:fill="auto"/>
            <w:noWrap/>
            <w:vAlign w:val="center"/>
            <w:hideMark/>
          </w:tcPr>
          <w:p w14:paraId="1D33D1FB"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2,000,000,000.00 </w:t>
            </w:r>
          </w:p>
        </w:tc>
        <w:tc>
          <w:tcPr>
            <w:tcW w:w="1701" w:type="dxa"/>
            <w:tcBorders>
              <w:top w:val="nil"/>
              <w:left w:val="nil"/>
              <w:bottom w:val="single" w:sz="4" w:space="0" w:color="auto"/>
              <w:right w:val="single" w:sz="4" w:space="0" w:color="auto"/>
            </w:tcBorders>
            <w:shd w:val="clear" w:color="auto" w:fill="auto"/>
            <w:noWrap/>
            <w:vAlign w:val="center"/>
            <w:hideMark/>
          </w:tcPr>
          <w:p w14:paraId="680B514A"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2,000,000,000.00 </w:t>
            </w:r>
          </w:p>
        </w:tc>
        <w:tc>
          <w:tcPr>
            <w:tcW w:w="1801" w:type="dxa"/>
            <w:tcBorders>
              <w:top w:val="nil"/>
              <w:left w:val="nil"/>
              <w:bottom w:val="single" w:sz="4" w:space="0" w:color="auto"/>
              <w:right w:val="single" w:sz="4" w:space="0" w:color="auto"/>
            </w:tcBorders>
            <w:shd w:val="clear" w:color="auto" w:fill="auto"/>
            <w:noWrap/>
            <w:vAlign w:val="center"/>
            <w:hideMark/>
          </w:tcPr>
          <w:p w14:paraId="153A6C30"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   </w:t>
            </w:r>
          </w:p>
        </w:tc>
        <w:tc>
          <w:tcPr>
            <w:tcW w:w="1813" w:type="dxa"/>
            <w:tcBorders>
              <w:top w:val="nil"/>
              <w:left w:val="nil"/>
              <w:bottom w:val="single" w:sz="4" w:space="0" w:color="auto"/>
              <w:right w:val="single" w:sz="4" w:space="0" w:color="auto"/>
            </w:tcBorders>
            <w:shd w:val="clear" w:color="auto" w:fill="auto"/>
            <w:noWrap/>
            <w:vAlign w:val="center"/>
            <w:hideMark/>
          </w:tcPr>
          <w:p w14:paraId="7D551AEA"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54,544,568.00 </w:t>
            </w:r>
          </w:p>
        </w:tc>
      </w:tr>
      <w:tr w:rsidR="00C6733C" w14:paraId="71FA9290" w14:textId="77777777">
        <w:trPr>
          <w:trHeight w:val="366"/>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418D0F7F"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SCOTIABANK INVERLAT</w:t>
            </w:r>
          </w:p>
        </w:tc>
        <w:tc>
          <w:tcPr>
            <w:tcW w:w="1901" w:type="dxa"/>
            <w:tcBorders>
              <w:top w:val="nil"/>
              <w:left w:val="nil"/>
              <w:bottom w:val="single" w:sz="4" w:space="0" w:color="auto"/>
              <w:right w:val="single" w:sz="4" w:space="0" w:color="auto"/>
            </w:tcBorders>
            <w:shd w:val="clear" w:color="auto" w:fill="auto"/>
            <w:noWrap/>
            <w:vAlign w:val="center"/>
            <w:hideMark/>
          </w:tcPr>
          <w:p w14:paraId="5B985FB0"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400,000,000.00 </w:t>
            </w:r>
          </w:p>
        </w:tc>
        <w:tc>
          <w:tcPr>
            <w:tcW w:w="1701" w:type="dxa"/>
            <w:tcBorders>
              <w:top w:val="nil"/>
              <w:left w:val="nil"/>
              <w:bottom w:val="single" w:sz="4" w:space="0" w:color="auto"/>
              <w:right w:val="single" w:sz="4" w:space="0" w:color="auto"/>
            </w:tcBorders>
            <w:shd w:val="clear" w:color="auto" w:fill="auto"/>
            <w:noWrap/>
            <w:vAlign w:val="center"/>
            <w:hideMark/>
          </w:tcPr>
          <w:p w14:paraId="7F9BD9FF"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400,000,000.00 </w:t>
            </w:r>
          </w:p>
        </w:tc>
        <w:tc>
          <w:tcPr>
            <w:tcW w:w="1801" w:type="dxa"/>
            <w:tcBorders>
              <w:top w:val="nil"/>
              <w:left w:val="nil"/>
              <w:bottom w:val="single" w:sz="4" w:space="0" w:color="auto"/>
              <w:right w:val="single" w:sz="4" w:space="0" w:color="auto"/>
            </w:tcBorders>
            <w:shd w:val="clear" w:color="auto" w:fill="auto"/>
            <w:noWrap/>
            <w:vAlign w:val="center"/>
            <w:hideMark/>
          </w:tcPr>
          <w:p w14:paraId="1906FD88"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   </w:t>
            </w:r>
          </w:p>
        </w:tc>
        <w:tc>
          <w:tcPr>
            <w:tcW w:w="1813" w:type="dxa"/>
            <w:tcBorders>
              <w:top w:val="nil"/>
              <w:left w:val="nil"/>
              <w:bottom w:val="single" w:sz="4" w:space="0" w:color="auto"/>
              <w:right w:val="single" w:sz="4" w:space="0" w:color="auto"/>
            </w:tcBorders>
            <w:shd w:val="clear" w:color="auto" w:fill="auto"/>
            <w:noWrap/>
            <w:vAlign w:val="center"/>
            <w:hideMark/>
          </w:tcPr>
          <w:p w14:paraId="3C39017B"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8,066,816.67 </w:t>
            </w:r>
          </w:p>
        </w:tc>
      </w:tr>
      <w:tr w:rsidR="00C6733C" w14:paraId="1F3ECEEA" w14:textId="77777777">
        <w:trPr>
          <w:trHeight w:val="366"/>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34D59812"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BANORTE</w:t>
            </w:r>
          </w:p>
        </w:tc>
        <w:tc>
          <w:tcPr>
            <w:tcW w:w="1901" w:type="dxa"/>
            <w:tcBorders>
              <w:top w:val="nil"/>
              <w:left w:val="nil"/>
              <w:bottom w:val="single" w:sz="4" w:space="0" w:color="auto"/>
              <w:right w:val="single" w:sz="4" w:space="0" w:color="auto"/>
            </w:tcBorders>
            <w:shd w:val="clear" w:color="auto" w:fill="auto"/>
            <w:noWrap/>
            <w:vAlign w:val="center"/>
            <w:hideMark/>
          </w:tcPr>
          <w:p w14:paraId="0137CAD3"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1,250,000,000.00 </w:t>
            </w:r>
          </w:p>
        </w:tc>
        <w:tc>
          <w:tcPr>
            <w:tcW w:w="1701" w:type="dxa"/>
            <w:tcBorders>
              <w:top w:val="nil"/>
              <w:left w:val="nil"/>
              <w:bottom w:val="single" w:sz="4" w:space="0" w:color="auto"/>
              <w:right w:val="single" w:sz="4" w:space="0" w:color="auto"/>
            </w:tcBorders>
            <w:shd w:val="clear" w:color="auto" w:fill="auto"/>
            <w:noWrap/>
            <w:vAlign w:val="center"/>
            <w:hideMark/>
          </w:tcPr>
          <w:p w14:paraId="546CC3CA"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1,250,000,000.00 </w:t>
            </w:r>
          </w:p>
        </w:tc>
        <w:tc>
          <w:tcPr>
            <w:tcW w:w="1801" w:type="dxa"/>
            <w:tcBorders>
              <w:top w:val="nil"/>
              <w:left w:val="nil"/>
              <w:bottom w:val="single" w:sz="4" w:space="0" w:color="auto"/>
              <w:right w:val="single" w:sz="4" w:space="0" w:color="auto"/>
            </w:tcBorders>
            <w:shd w:val="clear" w:color="auto" w:fill="auto"/>
            <w:noWrap/>
            <w:vAlign w:val="center"/>
            <w:hideMark/>
          </w:tcPr>
          <w:p w14:paraId="6B9FECA1"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   </w:t>
            </w:r>
          </w:p>
        </w:tc>
        <w:tc>
          <w:tcPr>
            <w:tcW w:w="1813" w:type="dxa"/>
            <w:tcBorders>
              <w:top w:val="nil"/>
              <w:left w:val="nil"/>
              <w:bottom w:val="single" w:sz="4" w:space="0" w:color="auto"/>
              <w:right w:val="single" w:sz="4" w:space="0" w:color="auto"/>
            </w:tcBorders>
            <w:shd w:val="clear" w:color="auto" w:fill="auto"/>
            <w:noWrap/>
            <w:vAlign w:val="center"/>
            <w:hideMark/>
          </w:tcPr>
          <w:p w14:paraId="7145D665"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39,110,081.33 </w:t>
            </w:r>
          </w:p>
        </w:tc>
      </w:tr>
      <w:tr w:rsidR="00C6733C" w14:paraId="079C37EA" w14:textId="77777777">
        <w:trPr>
          <w:trHeight w:val="366"/>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4794A1FA"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HSBC</w:t>
            </w:r>
          </w:p>
        </w:tc>
        <w:tc>
          <w:tcPr>
            <w:tcW w:w="1901" w:type="dxa"/>
            <w:tcBorders>
              <w:top w:val="nil"/>
              <w:left w:val="nil"/>
              <w:bottom w:val="single" w:sz="4" w:space="0" w:color="auto"/>
              <w:right w:val="single" w:sz="4" w:space="0" w:color="auto"/>
            </w:tcBorders>
            <w:shd w:val="clear" w:color="auto" w:fill="auto"/>
            <w:noWrap/>
            <w:vAlign w:val="center"/>
            <w:hideMark/>
          </w:tcPr>
          <w:p w14:paraId="2C16CBCA"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350,000,000.00 </w:t>
            </w:r>
          </w:p>
        </w:tc>
        <w:tc>
          <w:tcPr>
            <w:tcW w:w="1701" w:type="dxa"/>
            <w:tcBorders>
              <w:top w:val="nil"/>
              <w:left w:val="nil"/>
              <w:bottom w:val="single" w:sz="4" w:space="0" w:color="auto"/>
              <w:right w:val="single" w:sz="4" w:space="0" w:color="auto"/>
            </w:tcBorders>
            <w:shd w:val="clear" w:color="auto" w:fill="auto"/>
            <w:noWrap/>
            <w:vAlign w:val="center"/>
            <w:hideMark/>
          </w:tcPr>
          <w:p w14:paraId="0194C14E"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350,000,000.00 </w:t>
            </w:r>
          </w:p>
        </w:tc>
        <w:tc>
          <w:tcPr>
            <w:tcW w:w="1801" w:type="dxa"/>
            <w:tcBorders>
              <w:top w:val="nil"/>
              <w:left w:val="nil"/>
              <w:bottom w:val="single" w:sz="4" w:space="0" w:color="auto"/>
              <w:right w:val="single" w:sz="4" w:space="0" w:color="auto"/>
            </w:tcBorders>
            <w:shd w:val="clear" w:color="auto" w:fill="auto"/>
            <w:noWrap/>
            <w:vAlign w:val="center"/>
            <w:hideMark/>
          </w:tcPr>
          <w:p w14:paraId="42C8744C"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   </w:t>
            </w:r>
          </w:p>
        </w:tc>
        <w:tc>
          <w:tcPr>
            <w:tcW w:w="1813" w:type="dxa"/>
            <w:tcBorders>
              <w:top w:val="nil"/>
              <w:left w:val="nil"/>
              <w:bottom w:val="single" w:sz="4" w:space="0" w:color="auto"/>
              <w:right w:val="single" w:sz="4" w:space="0" w:color="auto"/>
            </w:tcBorders>
            <w:shd w:val="clear" w:color="auto" w:fill="auto"/>
            <w:noWrap/>
            <w:vAlign w:val="center"/>
            <w:hideMark/>
          </w:tcPr>
          <w:p w14:paraId="1F2272D6"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7,367,670.00 </w:t>
            </w:r>
          </w:p>
        </w:tc>
      </w:tr>
      <w:tr w:rsidR="00C6733C" w14:paraId="3DF036C8" w14:textId="77777777">
        <w:trPr>
          <w:trHeight w:val="500"/>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0F19BA04" w14:textId="77777777" w:rsidR="00C6733C" w:rsidRDefault="006D0638">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DEUDA PÚBLICA LARGO PLAZO </w:t>
            </w:r>
          </w:p>
        </w:tc>
        <w:tc>
          <w:tcPr>
            <w:tcW w:w="1901" w:type="dxa"/>
            <w:tcBorders>
              <w:top w:val="nil"/>
              <w:left w:val="nil"/>
              <w:bottom w:val="single" w:sz="4" w:space="0" w:color="auto"/>
              <w:right w:val="single" w:sz="4" w:space="0" w:color="auto"/>
            </w:tcBorders>
            <w:shd w:val="clear" w:color="auto" w:fill="auto"/>
            <w:noWrap/>
            <w:vAlign w:val="center"/>
            <w:hideMark/>
          </w:tcPr>
          <w:p w14:paraId="6901F328"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12,736,234,962.63 </w:t>
            </w:r>
          </w:p>
        </w:tc>
        <w:tc>
          <w:tcPr>
            <w:tcW w:w="1701" w:type="dxa"/>
            <w:tcBorders>
              <w:top w:val="nil"/>
              <w:left w:val="nil"/>
              <w:bottom w:val="single" w:sz="4" w:space="0" w:color="auto"/>
              <w:right w:val="single" w:sz="4" w:space="0" w:color="auto"/>
            </w:tcBorders>
            <w:shd w:val="clear" w:color="auto" w:fill="auto"/>
            <w:noWrap/>
            <w:vAlign w:val="center"/>
            <w:hideMark/>
          </w:tcPr>
          <w:p w14:paraId="0ADA3F38"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395,981,325.00 </w:t>
            </w:r>
          </w:p>
        </w:tc>
        <w:tc>
          <w:tcPr>
            <w:tcW w:w="1801" w:type="dxa"/>
            <w:tcBorders>
              <w:top w:val="nil"/>
              <w:left w:val="nil"/>
              <w:bottom w:val="single" w:sz="4" w:space="0" w:color="auto"/>
              <w:right w:val="single" w:sz="4" w:space="0" w:color="auto"/>
            </w:tcBorders>
            <w:shd w:val="clear" w:color="auto" w:fill="auto"/>
            <w:noWrap/>
            <w:vAlign w:val="center"/>
            <w:hideMark/>
          </w:tcPr>
          <w:p w14:paraId="71B7FA38"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12,527,202,676.14 </w:t>
            </w:r>
          </w:p>
        </w:tc>
        <w:tc>
          <w:tcPr>
            <w:tcW w:w="1813" w:type="dxa"/>
            <w:tcBorders>
              <w:top w:val="nil"/>
              <w:left w:val="nil"/>
              <w:bottom w:val="single" w:sz="4" w:space="0" w:color="auto"/>
              <w:right w:val="single" w:sz="4" w:space="0" w:color="auto"/>
            </w:tcBorders>
            <w:shd w:val="clear" w:color="auto" w:fill="auto"/>
            <w:noWrap/>
            <w:vAlign w:val="center"/>
            <w:hideMark/>
          </w:tcPr>
          <w:p w14:paraId="3A071CFF"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1,298,283,089.97 </w:t>
            </w:r>
          </w:p>
        </w:tc>
      </w:tr>
      <w:tr w:rsidR="00C6733C" w14:paraId="02A5046D" w14:textId="77777777">
        <w:trPr>
          <w:trHeight w:val="440"/>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43726FD2" w14:textId="77777777" w:rsidR="00C6733C" w:rsidRDefault="006D0638">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PARTICIPACIONES FEDERALES</w:t>
            </w:r>
          </w:p>
        </w:tc>
        <w:tc>
          <w:tcPr>
            <w:tcW w:w="1901" w:type="dxa"/>
            <w:tcBorders>
              <w:top w:val="nil"/>
              <w:left w:val="nil"/>
              <w:bottom w:val="single" w:sz="4" w:space="0" w:color="auto"/>
              <w:right w:val="single" w:sz="4" w:space="0" w:color="auto"/>
            </w:tcBorders>
            <w:shd w:val="clear" w:color="auto" w:fill="auto"/>
            <w:noWrap/>
            <w:vAlign w:val="center"/>
            <w:hideMark/>
          </w:tcPr>
          <w:p w14:paraId="1838AAFA"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11,690,167,306.72 </w:t>
            </w:r>
          </w:p>
        </w:tc>
        <w:tc>
          <w:tcPr>
            <w:tcW w:w="1701" w:type="dxa"/>
            <w:tcBorders>
              <w:top w:val="nil"/>
              <w:left w:val="nil"/>
              <w:bottom w:val="single" w:sz="4" w:space="0" w:color="auto"/>
              <w:right w:val="single" w:sz="4" w:space="0" w:color="auto"/>
            </w:tcBorders>
            <w:shd w:val="clear" w:color="auto" w:fill="auto"/>
            <w:noWrap/>
            <w:vAlign w:val="center"/>
            <w:hideMark/>
          </w:tcPr>
          <w:p w14:paraId="5103EA92"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316,465,301.00 </w:t>
            </w:r>
          </w:p>
        </w:tc>
        <w:tc>
          <w:tcPr>
            <w:tcW w:w="1801" w:type="dxa"/>
            <w:tcBorders>
              <w:top w:val="nil"/>
              <w:left w:val="nil"/>
              <w:bottom w:val="single" w:sz="4" w:space="0" w:color="auto"/>
              <w:right w:val="single" w:sz="4" w:space="0" w:color="auto"/>
            </w:tcBorders>
            <w:shd w:val="clear" w:color="auto" w:fill="auto"/>
            <w:noWrap/>
            <w:vAlign w:val="center"/>
            <w:hideMark/>
          </w:tcPr>
          <w:p w14:paraId="1E4AD442"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11,553,204,889.72 </w:t>
            </w:r>
          </w:p>
        </w:tc>
        <w:tc>
          <w:tcPr>
            <w:tcW w:w="1813" w:type="dxa"/>
            <w:tcBorders>
              <w:top w:val="nil"/>
              <w:left w:val="nil"/>
              <w:bottom w:val="single" w:sz="4" w:space="0" w:color="auto"/>
              <w:right w:val="single" w:sz="4" w:space="0" w:color="auto"/>
            </w:tcBorders>
            <w:shd w:val="clear" w:color="auto" w:fill="auto"/>
            <w:noWrap/>
            <w:vAlign w:val="center"/>
            <w:hideMark/>
          </w:tcPr>
          <w:p w14:paraId="37BDAD10"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1,216,578,606.97 </w:t>
            </w:r>
          </w:p>
        </w:tc>
      </w:tr>
      <w:tr w:rsidR="00C6733C" w14:paraId="195EA51A" w14:textId="77777777">
        <w:trPr>
          <w:trHeight w:val="381"/>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0FA77343"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BANOBRAS</w:t>
            </w:r>
          </w:p>
        </w:tc>
        <w:tc>
          <w:tcPr>
            <w:tcW w:w="1901" w:type="dxa"/>
            <w:tcBorders>
              <w:top w:val="nil"/>
              <w:left w:val="nil"/>
              <w:bottom w:val="single" w:sz="4" w:space="0" w:color="auto"/>
              <w:right w:val="single" w:sz="4" w:space="0" w:color="auto"/>
            </w:tcBorders>
            <w:shd w:val="clear" w:color="auto" w:fill="auto"/>
            <w:noWrap/>
            <w:vAlign w:val="center"/>
            <w:hideMark/>
          </w:tcPr>
          <w:p w14:paraId="25FD8485"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11,008,477,906.72 </w:t>
            </w:r>
          </w:p>
        </w:tc>
        <w:tc>
          <w:tcPr>
            <w:tcW w:w="1701" w:type="dxa"/>
            <w:tcBorders>
              <w:top w:val="nil"/>
              <w:left w:val="nil"/>
              <w:bottom w:val="single" w:sz="4" w:space="0" w:color="auto"/>
              <w:right w:val="single" w:sz="4" w:space="0" w:color="auto"/>
            </w:tcBorders>
            <w:shd w:val="clear" w:color="auto" w:fill="auto"/>
            <w:noWrap/>
            <w:vAlign w:val="center"/>
            <w:hideMark/>
          </w:tcPr>
          <w:p w14:paraId="09D1AF1F"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299,060,501.00 </w:t>
            </w:r>
          </w:p>
        </w:tc>
        <w:tc>
          <w:tcPr>
            <w:tcW w:w="1801" w:type="dxa"/>
            <w:tcBorders>
              <w:top w:val="nil"/>
              <w:left w:val="nil"/>
              <w:bottom w:val="single" w:sz="4" w:space="0" w:color="auto"/>
              <w:right w:val="single" w:sz="4" w:space="0" w:color="auto"/>
            </w:tcBorders>
            <w:shd w:val="clear" w:color="auto" w:fill="auto"/>
            <w:noWrap/>
            <w:vAlign w:val="center"/>
            <w:hideMark/>
          </w:tcPr>
          <w:p w14:paraId="4C37F2B5"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10,888,920,289.72 </w:t>
            </w:r>
          </w:p>
        </w:tc>
        <w:tc>
          <w:tcPr>
            <w:tcW w:w="1813" w:type="dxa"/>
            <w:tcBorders>
              <w:top w:val="nil"/>
              <w:left w:val="nil"/>
              <w:bottom w:val="single" w:sz="4" w:space="0" w:color="auto"/>
              <w:right w:val="single" w:sz="4" w:space="0" w:color="auto"/>
            </w:tcBorders>
            <w:shd w:val="clear" w:color="auto" w:fill="auto"/>
            <w:noWrap/>
            <w:vAlign w:val="center"/>
            <w:hideMark/>
          </w:tcPr>
          <w:p w14:paraId="1966D74F"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1,145,964,491.00 </w:t>
            </w:r>
          </w:p>
        </w:tc>
      </w:tr>
      <w:tr w:rsidR="00C6733C" w14:paraId="3D92107D" w14:textId="77777777">
        <w:trPr>
          <w:trHeight w:val="381"/>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5EF0A126"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SANTANDER</w:t>
            </w:r>
          </w:p>
        </w:tc>
        <w:tc>
          <w:tcPr>
            <w:tcW w:w="1901" w:type="dxa"/>
            <w:tcBorders>
              <w:top w:val="nil"/>
              <w:left w:val="nil"/>
              <w:bottom w:val="single" w:sz="4" w:space="0" w:color="auto"/>
              <w:right w:val="single" w:sz="4" w:space="0" w:color="auto"/>
            </w:tcBorders>
            <w:shd w:val="clear" w:color="auto" w:fill="auto"/>
            <w:noWrap/>
            <w:vAlign w:val="center"/>
            <w:hideMark/>
          </w:tcPr>
          <w:p w14:paraId="50630C51"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681,689,400.00 </w:t>
            </w:r>
          </w:p>
        </w:tc>
        <w:tc>
          <w:tcPr>
            <w:tcW w:w="1701" w:type="dxa"/>
            <w:tcBorders>
              <w:top w:val="nil"/>
              <w:left w:val="nil"/>
              <w:bottom w:val="single" w:sz="4" w:space="0" w:color="auto"/>
              <w:right w:val="single" w:sz="4" w:space="0" w:color="auto"/>
            </w:tcBorders>
            <w:shd w:val="clear" w:color="auto" w:fill="auto"/>
            <w:noWrap/>
            <w:vAlign w:val="center"/>
            <w:hideMark/>
          </w:tcPr>
          <w:p w14:paraId="02DC4D48"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17,404,800.00 </w:t>
            </w:r>
          </w:p>
        </w:tc>
        <w:tc>
          <w:tcPr>
            <w:tcW w:w="1801" w:type="dxa"/>
            <w:tcBorders>
              <w:top w:val="nil"/>
              <w:left w:val="nil"/>
              <w:bottom w:val="single" w:sz="4" w:space="0" w:color="auto"/>
              <w:right w:val="single" w:sz="4" w:space="0" w:color="auto"/>
            </w:tcBorders>
            <w:shd w:val="clear" w:color="auto" w:fill="auto"/>
            <w:noWrap/>
            <w:vAlign w:val="center"/>
            <w:hideMark/>
          </w:tcPr>
          <w:p w14:paraId="588D6C11"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664,284,600.00 </w:t>
            </w:r>
          </w:p>
        </w:tc>
        <w:tc>
          <w:tcPr>
            <w:tcW w:w="1813" w:type="dxa"/>
            <w:tcBorders>
              <w:top w:val="nil"/>
              <w:left w:val="nil"/>
              <w:bottom w:val="single" w:sz="4" w:space="0" w:color="auto"/>
              <w:right w:val="single" w:sz="4" w:space="0" w:color="auto"/>
            </w:tcBorders>
            <w:shd w:val="clear" w:color="auto" w:fill="auto"/>
            <w:noWrap/>
            <w:vAlign w:val="center"/>
            <w:hideMark/>
          </w:tcPr>
          <w:p w14:paraId="4477A8C3"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70,614,115.97 </w:t>
            </w:r>
          </w:p>
        </w:tc>
      </w:tr>
      <w:tr w:rsidR="00C6733C" w14:paraId="0624EE3C" w14:textId="77777777">
        <w:trPr>
          <w:trHeight w:val="440"/>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278F6879" w14:textId="77777777" w:rsidR="00C6733C" w:rsidRDefault="006D0638">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APORTACIONES FEDERALES</w:t>
            </w:r>
          </w:p>
        </w:tc>
        <w:tc>
          <w:tcPr>
            <w:tcW w:w="1901" w:type="dxa"/>
            <w:tcBorders>
              <w:top w:val="nil"/>
              <w:left w:val="nil"/>
              <w:bottom w:val="single" w:sz="4" w:space="0" w:color="auto"/>
              <w:right w:val="single" w:sz="4" w:space="0" w:color="auto"/>
            </w:tcBorders>
            <w:shd w:val="clear" w:color="auto" w:fill="auto"/>
            <w:noWrap/>
            <w:vAlign w:val="center"/>
            <w:hideMark/>
          </w:tcPr>
          <w:p w14:paraId="43A7B45C"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1,046,067,655.91 </w:t>
            </w:r>
          </w:p>
        </w:tc>
        <w:tc>
          <w:tcPr>
            <w:tcW w:w="1701" w:type="dxa"/>
            <w:tcBorders>
              <w:top w:val="nil"/>
              <w:left w:val="nil"/>
              <w:bottom w:val="single" w:sz="4" w:space="0" w:color="auto"/>
              <w:right w:val="single" w:sz="4" w:space="0" w:color="auto"/>
            </w:tcBorders>
            <w:shd w:val="clear" w:color="auto" w:fill="auto"/>
            <w:noWrap/>
            <w:vAlign w:val="center"/>
            <w:hideMark/>
          </w:tcPr>
          <w:p w14:paraId="13BF156D"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79,516,024.00 </w:t>
            </w:r>
          </w:p>
        </w:tc>
        <w:tc>
          <w:tcPr>
            <w:tcW w:w="1801" w:type="dxa"/>
            <w:tcBorders>
              <w:top w:val="nil"/>
              <w:left w:val="nil"/>
              <w:bottom w:val="single" w:sz="4" w:space="0" w:color="auto"/>
              <w:right w:val="single" w:sz="4" w:space="0" w:color="auto"/>
            </w:tcBorders>
            <w:shd w:val="clear" w:color="auto" w:fill="auto"/>
            <w:noWrap/>
            <w:vAlign w:val="center"/>
            <w:hideMark/>
          </w:tcPr>
          <w:p w14:paraId="24A5AE92"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973,997,786.42 </w:t>
            </w:r>
          </w:p>
        </w:tc>
        <w:tc>
          <w:tcPr>
            <w:tcW w:w="1813" w:type="dxa"/>
            <w:tcBorders>
              <w:top w:val="nil"/>
              <w:left w:val="nil"/>
              <w:bottom w:val="single" w:sz="4" w:space="0" w:color="auto"/>
              <w:right w:val="single" w:sz="4" w:space="0" w:color="auto"/>
            </w:tcBorders>
            <w:shd w:val="clear" w:color="auto" w:fill="auto"/>
            <w:noWrap/>
            <w:vAlign w:val="center"/>
            <w:hideMark/>
          </w:tcPr>
          <w:p w14:paraId="0326E4D2"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81,704,483.00 </w:t>
            </w:r>
          </w:p>
        </w:tc>
      </w:tr>
      <w:tr w:rsidR="00C6733C" w14:paraId="05ED2B88" w14:textId="77777777">
        <w:trPr>
          <w:trHeight w:val="381"/>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51D43224"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BANOBRAS</w:t>
            </w:r>
          </w:p>
        </w:tc>
        <w:tc>
          <w:tcPr>
            <w:tcW w:w="1901" w:type="dxa"/>
            <w:tcBorders>
              <w:top w:val="nil"/>
              <w:left w:val="nil"/>
              <w:bottom w:val="single" w:sz="4" w:space="0" w:color="auto"/>
              <w:right w:val="single" w:sz="4" w:space="0" w:color="auto"/>
            </w:tcBorders>
            <w:shd w:val="clear" w:color="auto" w:fill="auto"/>
            <w:noWrap/>
            <w:vAlign w:val="center"/>
            <w:hideMark/>
          </w:tcPr>
          <w:p w14:paraId="54945E58"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1,046,067,655.91 </w:t>
            </w:r>
          </w:p>
        </w:tc>
        <w:tc>
          <w:tcPr>
            <w:tcW w:w="1701" w:type="dxa"/>
            <w:tcBorders>
              <w:top w:val="nil"/>
              <w:left w:val="nil"/>
              <w:bottom w:val="single" w:sz="4" w:space="0" w:color="auto"/>
              <w:right w:val="single" w:sz="4" w:space="0" w:color="auto"/>
            </w:tcBorders>
            <w:shd w:val="clear" w:color="auto" w:fill="auto"/>
            <w:noWrap/>
            <w:vAlign w:val="center"/>
            <w:hideMark/>
          </w:tcPr>
          <w:p w14:paraId="5AF42744"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79,516,024.00 </w:t>
            </w:r>
          </w:p>
        </w:tc>
        <w:tc>
          <w:tcPr>
            <w:tcW w:w="1801" w:type="dxa"/>
            <w:tcBorders>
              <w:top w:val="nil"/>
              <w:left w:val="nil"/>
              <w:bottom w:val="single" w:sz="4" w:space="0" w:color="auto"/>
              <w:right w:val="single" w:sz="4" w:space="0" w:color="auto"/>
            </w:tcBorders>
            <w:shd w:val="clear" w:color="auto" w:fill="auto"/>
            <w:noWrap/>
            <w:vAlign w:val="center"/>
            <w:hideMark/>
          </w:tcPr>
          <w:p w14:paraId="6393389D"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973,997,786.42 </w:t>
            </w:r>
          </w:p>
        </w:tc>
        <w:tc>
          <w:tcPr>
            <w:tcW w:w="1813" w:type="dxa"/>
            <w:tcBorders>
              <w:top w:val="nil"/>
              <w:left w:val="nil"/>
              <w:bottom w:val="single" w:sz="4" w:space="0" w:color="auto"/>
              <w:right w:val="single" w:sz="4" w:space="0" w:color="auto"/>
            </w:tcBorders>
            <w:shd w:val="clear" w:color="auto" w:fill="auto"/>
            <w:noWrap/>
            <w:vAlign w:val="center"/>
            <w:hideMark/>
          </w:tcPr>
          <w:p w14:paraId="21EFC1DE"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81,704,483.00 </w:t>
            </w:r>
          </w:p>
        </w:tc>
      </w:tr>
      <w:tr w:rsidR="00C6733C" w14:paraId="1C06464C" w14:textId="77777777">
        <w:trPr>
          <w:trHeight w:val="500"/>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BB7A0" w14:textId="77777777" w:rsidR="00C6733C" w:rsidRDefault="006D0638">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OBLIGACIONES A  LARGO PLAZO </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34B0704F"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1,534,235,126.00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D151DA"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C3DF927"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1,534,235,126.00 </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14:paraId="008C28CF"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138,847,556.00 </w:t>
            </w:r>
          </w:p>
        </w:tc>
      </w:tr>
      <w:tr w:rsidR="00C6733C" w14:paraId="39BC2FC4" w14:textId="77777777">
        <w:trPr>
          <w:trHeight w:val="440"/>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37C394D2" w14:textId="77777777" w:rsidR="00C6733C" w:rsidRDefault="006D0638">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PARTICIPACIONES FEDERALES</w:t>
            </w:r>
          </w:p>
        </w:tc>
        <w:tc>
          <w:tcPr>
            <w:tcW w:w="1901" w:type="dxa"/>
            <w:tcBorders>
              <w:top w:val="nil"/>
              <w:left w:val="nil"/>
              <w:bottom w:val="single" w:sz="4" w:space="0" w:color="auto"/>
              <w:right w:val="single" w:sz="4" w:space="0" w:color="auto"/>
            </w:tcBorders>
            <w:shd w:val="clear" w:color="auto" w:fill="auto"/>
            <w:noWrap/>
            <w:vAlign w:val="center"/>
            <w:hideMark/>
          </w:tcPr>
          <w:p w14:paraId="65311F01"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1,534,235,126.00 </w:t>
            </w:r>
          </w:p>
        </w:tc>
        <w:tc>
          <w:tcPr>
            <w:tcW w:w="1701" w:type="dxa"/>
            <w:tcBorders>
              <w:top w:val="nil"/>
              <w:left w:val="nil"/>
              <w:bottom w:val="single" w:sz="4" w:space="0" w:color="auto"/>
              <w:right w:val="single" w:sz="4" w:space="0" w:color="auto"/>
            </w:tcBorders>
            <w:shd w:val="clear" w:color="auto" w:fill="auto"/>
            <w:noWrap/>
            <w:vAlign w:val="center"/>
            <w:hideMark/>
          </w:tcPr>
          <w:p w14:paraId="287F624D"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   </w:t>
            </w:r>
          </w:p>
        </w:tc>
        <w:tc>
          <w:tcPr>
            <w:tcW w:w="1801" w:type="dxa"/>
            <w:tcBorders>
              <w:top w:val="nil"/>
              <w:left w:val="nil"/>
              <w:bottom w:val="single" w:sz="4" w:space="0" w:color="auto"/>
              <w:right w:val="single" w:sz="4" w:space="0" w:color="auto"/>
            </w:tcBorders>
            <w:shd w:val="clear" w:color="auto" w:fill="auto"/>
            <w:noWrap/>
            <w:vAlign w:val="center"/>
            <w:hideMark/>
          </w:tcPr>
          <w:p w14:paraId="39EADDE5"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1,534,235,126.00 </w:t>
            </w:r>
          </w:p>
        </w:tc>
        <w:tc>
          <w:tcPr>
            <w:tcW w:w="1813" w:type="dxa"/>
            <w:tcBorders>
              <w:top w:val="nil"/>
              <w:left w:val="nil"/>
              <w:bottom w:val="single" w:sz="4" w:space="0" w:color="auto"/>
              <w:right w:val="single" w:sz="4" w:space="0" w:color="auto"/>
            </w:tcBorders>
            <w:shd w:val="clear" w:color="auto" w:fill="auto"/>
            <w:noWrap/>
            <w:vAlign w:val="center"/>
            <w:hideMark/>
          </w:tcPr>
          <w:p w14:paraId="024F5D55"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138,847,556.00 </w:t>
            </w:r>
          </w:p>
        </w:tc>
      </w:tr>
      <w:tr w:rsidR="00C6733C" w14:paraId="769D8462" w14:textId="77777777">
        <w:trPr>
          <w:trHeight w:val="381"/>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03813A4A"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BANOBRAS</w:t>
            </w:r>
          </w:p>
        </w:tc>
        <w:tc>
          <w:tcPr>
            <w:tcW w:w="1901" w:type="dxa"/>
            <w:tcBorders>
              <w:top w:val="nil"/>
              <w:left w:val="nil"/>
              <w:bottom w:val="single" w:sz="4" w:space="0" w:color="auto"/>
              <w:right w:val="single" w:sz="4" w:space="0" w:color="auto"/>
            </w:tcBorders>
            <w:shd w:val="clear" w:color="auto" w:fill="auto"/>
            <w:noWrap/>
            <w:vAlign w:val="center"/>
            <w:hideMark/>
          </w:tcPr>
          <w:p w14:paraId="0FA5E953"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1,534,235,126.00 </w:t>
            </w:r>
          </w:p>
        </w:tc>
        <w:tc>
          <w:tcPr>
            <w:tcW w:w="1701" w:type="dxa"/>
            <w:tcBorders>
              <w:top w:val="nil"/>
              <w:left w:val="nil"/>
              <w:bottom w:val="single" w:sz="4" w:space="0" w:color="auto"/>
              <w:right w:val="single" w:sz="4" w:space="0" w:color="auto"/>
            </w:tcBorders>
            <w:shd w:val="clear" w:color="auto" w:fill="auto"/>
            <w:noWrap/>
            <w:vAlign w:val="center"/>
            <w:hideMark/>
          </w:tcPr>
          <w:p w14:paraId="6AF4D0B8"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bCs/>
                <w:color w:val="000000"/>
                <w:sz w:val="20"/>
                <w:szCs w:val="20"/>
                <w:lang w:bidi="ar-SA"/>
              </w:rPr>
              <w:t>-</w:t>
            </w:r>
          </w:p>
        </w:tc>
        <w:tc>
          <w:tcPr>
            <w:tcW w:w="1801" w:type="dxa"/>
            <w:tcBorders>
              <w:top w:val="nil"/>
              <w:left w:val="nil"/>
              <w:bottom w:val="single" w:sz="4" w:space="0" w:color="auto"/>
              <w:right w:val="single" w:sz="4" w:space="0" w:color="auto"/>
            </w:tcBorders>
            <w:shd w:val="clear" w:color="auto" w:fill="auto"/>
            <w:noWrap/>
            <w:vAlign w:val="center"/>
            <w:hideMark/>
          </w:tcPr>
          <w:p w14:paraId="4CF80C31"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1,534,235,126.00 </w:t>
            </w:r>
          </w:p>
        </w:tc>
        <w:tc>
          <w:tcPr>
            <w:tcW w:w="1813" w:type="dxa"/>
            <w:tcBorders>
              <w:top w:val="nil"/>
              <w:left w:val="nil"/>
              <w:bottom w:val="single" w:sz="4" w:space="0" w:color="auto"/>
              <w:right w:val="single" w:sz="4" w:space="0" w:color="auto"/>
            </w:tcBorders>
            <w:shd w:val="clear" w:color="auto" w:fill="auto"/>
            <w:noWrap/>
            <w:vAlign w:val="center"/>
            <w:hideMark/>
          </w:tcPr>
          <w:p w14:paraId="62F89CA0" w14:textId="77777777" w:rsidR="00C6733C" w:rsidRDefault="006D0638">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138,847,556.00 </w:t>
            </w:r>
          </w:p>
        </w:tc>
      </w:tr>
      <w:tr w:rsidR="00C6733C" w14:paraId="6CE96EED" w14:textId="77777777">
        <w:trPr>
          <w:trHeight w:val="455"/>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14:paraId="13EC90C6" w14:textId="77777777" w:rsidR="00C6733C" w:rsidRDefault="006D0638">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TOTAL </w:t>
            </w:r>
          </w:p>
        </w:tc>
        <w:tc>
          <w:tcPr>
            <w:tcW w:w="1901" w:type="dxa"/>
            <w:tcBorders>
              <w:top w:val="nil"/>
              <w:left w:val="nil"/>
              <w:bottom w:val="single" w:sz="4" w:space="0" w:color="auto"/>
              <w:right w:val="single" w:sz="4" w:space="0" w:color="auto"/>
            </w:tcBorders>
            <w:shd w:val="clear" w:color="auto" w:fill="auto"/>
            <w:noWrap/>
            <w:vAlign w:val="center"/>
            <w:hideMark/>
          </w:tcPr>
          <w:p w14:paraId="757AC86E"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16,270,470,088.63 </w:t>
            </w:r>
          </w:p>
        </w:tc>
        <w:tc>
          <w:tcPr>
            <w:tcW w:w="1701" w:type="dxa"/>
            <w:tcBorders>
              <w:top w:val="nil"/>
              <w:left w:val="nil"/>
              <w:bottom w:val="single" w:sz="4" w:space="0" w:color="auto"/>
              <w:right w:val="single" w:sz="4" w:space="0" w:color="auto"/>
            </w:tcBorders>
            <w:shd w:val="clear" w:color="auto" w:fill="auto"/>
            <w:noWrap/>
            <w:vAlign w:val="center"/>
            <w:hideMark/>
          </w:tcPr>
          <w:p w14:paraId="02680F43"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2,395,981,325.00 </w:t>
            </w:r>
          </w:p>
        </w:tc>
        <w:tc>
          <w:tcPr>
            <w:tcW w:w="1801" w:type="dxa"/>
            <w:tcBorders>
              <w:top w:val="nil"/>
              <w:left w:val="nil"/>
              <w:bottom w:val="single" w:sz="4" w:space="0" w:color="auto"/>
              <w:right w:val="single" w:sz="4" w:space="0" w:color="auto"/>
            </w:tcBorders>
            <w:shd w:val="clear" w:color="auto" w:fill="auto"/>
            <w:noWrap/>
            <w:vAlign w:val="center"/>
            <w:hideMark/>
          </w:tcPr>
          <w:p w14:paraId="6D1E3502"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14,061,437,802.14 </w:t>
            </w:r>
          </w:p>
        </w:tc>
        <w:tc>
          <w:tcPr>
            <w:tcW w:w="1813" w:type="dxa"/>
            <w:tcBorders>
              <w:top w:val="nil"/>
              <w:left w:val="nil"/>
              <w:bottom w:val="single" w:sz="4" w:space="0" w:color="auto"/>
              <w:right w:val="single" w:sz="4" w:space="0" w:color="auto"/>
            </w:tcBorders>
            <w:shd w:val="clear" w:color="auto" w:fill="auto"/>
            <w:noWrap/>
            <w:vAlign w:val="center"/>
            <w:hideMark/>
          </w:tcPr>
          <w:p w14:paraId="3AE48C5C" w14:textId="77777777" w:rsidR="00C6733C" w:rsidRDefault="006D0638">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1,491,675,213.97 </w:t>
            </w:r>
          </w:p>
        </w:tc>
      </w:tr>
      <w:tr w:rsidR="00C6733C" w14:paraId="382A441E" w14:textId="77777777">
        <w:trPr>
          <w:trHeight w:val="247"/>
          <w:jc w:val="center"/>
        </w:trPr>
        <w:tc>
          <w:tcPr>
            <w:tcW w:w="1926" w:type="dxa"/>
            <w:tcBorders>
              <w:top w:val="nil"/>
              <w:left w:val="nil"/>
              <w:bottom w:val="nil"/>
              <w:right w:val="nil"/>
            </w:tcBorders>
            <w:shd w:val="clear" w:color="auto" w:fill="auto"/>
            <w:noWrap/>
            <w:vAlign w:val="bottom"/>
            <w:hideMark/>
          </w:tcPr>
          <w:p w14:paraId="52515B34" w14:textId="77777777" w:rsidR="00C6733C" w:rsidRDefault="00C6733C">
            <w:pPr>
              <w:widowControl/>
              <w:autoSpaceDE/>
              <w:autoSpaceDN/>
              <w:rPr>
                <w:rFonts w:ascii="Arial" w:eastAsia="Times New Roman" w:hAnsi="Arial" w:cs="Arial"/>
                <w:b/>
                <w:bCs/>
                <w:color w:val="000000"/>
                <w:sz w:val="20"/>
                <w:szCs w:val="20"/>
                <w:lang w:bidi="ar-SA"/>
              </w:rPr>
            </w:pPr>
          </w:p>
        </w:tc>
        <w:tc>
          <w:tcPr>
            <w:tcW w:w="1901" w:type="dxa"/>
            <w:tcBorders>
              <w:top w:val="nil"/>
              <w:left w:val="nil"/>
              <w:bottom w:val="nil"/>
              <w:right w:val="nil"/>
            </w:tcBorders>
            <w:shd w:val="clear" w:color="auto" w:fill="auto"/>
            <w:noWrap/>
            <w:vAlign w:val="bottom"/>
            <w:hideMark/>
          </w:tcPr>
          <w:p w14:paraId="1624C351" w14:textId="77777777" w:rsidR="00C6733C" w:rsidRDefault="00C6733C">
            <w:pPr>
              <w:widowControl/>
              <w:autoSpaceDE/>
              <w:autoSpaceDN/>
              <w:rPr>
                <w:rFonts w:ascii="Arial" w:eastAsia="Times New Roman" w:hAnsi="Arial" w:cs="Arial"/>
                <w:sz w:val="20"/>
                <w:szCs w:val="20"/>
                <w:lang w:bidi="ar-SA"/>
              </w:rPr>
            </w:pPr>
          </w:p>
        </w:tc>
        <w:tc>
          <w:tcPr>
            <w:tcW w:w="1701" w:type="dxa"/>
            <w:tcBorders>
              <w:top w:val="nil"/>
              <w:left w:val="nil"/>
              <w:bottom w:val="nil"/>
              <w:right w:val="nil"/>
            </w:tcBorders>
            <w:shd w:val="clear" w:color="auto" w:fill="auto"/>
            <w:noWrap/>
            <w:vAlign w:val="bottom"/>
            <w:hideMark/>
          </w:tcPr>
          <w:p w14:paraId="1B65C3B5" w14:textId="77777777" w:rsidR="00C6733C" w:rsidRDefault="00C6733C">
            <w:pPr>
              <w:widowControl/>
              <w:autoSpaceDE/>
              <w:autoSpaceDN/>
              <w:rPr>
                <w:rFonts w:ascii="Arial" w:eastAsia="Times New Roman" w:hAnsi="Arial" w:cs="Arial"/>
                <w:sz w:val="20"/>
                <w:szCs w:val="20"/>
                <w:lang w:bidi="ar-SA"/>
              </w:rPr>
            </w:pPr>
          </w:p>
        </w:tc>
        <w:tc>
          <w:tcPr>
            <w:tcW w:w="1801" w:type="dxa"/>
            <w:tcBorders>
              <w:top w:val="nil"/>
              <w:left w:val="nil"/>
              <w:bottom w:val="nil"/>
              <w:right w:val="nil"/>
            </w:tcBorders>
            <w:shd w:val="clear" w:color="auto" w:fill="auto"/>
            <w:noWrap/>
            <w:vAlign w:val="bottom"/>
            <w:hideMark/>
          </w:tcPr>
          <w:p w14:paraId="2A11C2F5" w14:textId="77777777" w:rsidR="00C6733C" w:rsidRDefault="00C6733C">
            <w:pPr>
              <w:widowControl/>
              <w:autoSpaceDE/>
              <w:autoSpaceDN/>
              <w:rPr>
                <w:rFonts w:ascii="Arial" w:eastAsia="Times New Roman" w:hAnsi="Arial" w:cs="Arial"/>
                <w:sz w:val="20"/>
                <w:szCs w:val="20"/>
                <w:lang w:bidi="ar-SA"/>
              </w:rPr>
            </w:pPr>
          </w:p>
        </w:tc>
        <w:tc>
          <w:tcPr>
            <w:tcW w:w="1813" w:type="dxa"/>
            <w:tcBorders>
              <w:top w:val="nil"/>
              <w:left w:val="nil"/>
              <w:bottom w:val="nil"/>
              <w:right w:val="nil"/>
            </w:tcBorders>
            <w:shd w:val="clear" w:color="auto" w:fill="auto"/>
            <w:noWrap/>
            <w:vAlign w:val="bottom"/>
            <w:hideMark/>
          </w:tcPr>
          <w:p w14:paraId="0671006F" w14:textId="77777777" w:rsidR="00C6733C" w:rsidRDefault="00C6733C">
            <w:pPr>
              <w:widowControl/>
              <w:autoSpaceDE/>
              <w:autoSpaceDN/>
              <w:rPr>
                <w:rFonts w:ascii="Arial" w:eastAsia="Times New Roman" w:hAnsi="Arial" w:cs="Arial"/>
                <w:sz w:val="20"/>
                <w:szCs w:val="20"/>
                <w:lang w:bidi="ar-SA"/>
              </w:rPr>
            </w:pPr>
          </w:p>
        </w:tc>
      </w:tr>
      <w:tr w:rsidR="00C6733C" w14:paraId="3F434AFA" w14:textId="77777777">
        <w:trPr>
          <w:trHeight w:val="366"/>
          <w:jc w:val="center"/>
        </w:trPr>
        <w:tc>
          <w:tcPr>
            <w:tcW w:w="5528" w:type="dxa"/>
            <w:gridSpan w:val="3"/>
            <w:tcBorders>
              <w:top w:val="nil"/>
              <w:left w:val="nil"/>
              <w:bottom w:val="nil"/>
              <w:right w:val="nil"/>
            </w:tcBorders>
            <w:shd w:val="clear" w:color="auto" w:fill="auto"/>
            <w:noWrap/>
            <w:vAlign w:val="bottom"/>
            <w:hideMark/>
          </w:tcPr>
          <w:p w14:paraId="488409AA"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*Amortizaciones de capital para efectos presupuestarios.</w:t>
            </w:r>
          </w:p>
        </w:tc>
        <w:tc>
          <w:tcPr>
            <w:tcW w:w="1801" w:type="dxa"/>
            <w:tcBorders>
              <w:top w:val="nil"/>
              <w:left w:val="nil"/>
              <w:bottom w:val="nil"/>
              <w:right w:val="nil"/>
            </w:tcBorders>
            <w:shd w:val="clear" w:color="auto" w:fill="auto"/>
            <w:noWrap/>
            <w:vAlign w:val="bottom"/>
            <w:hideMark/>
          </w:tcPr>
          <w:p w14:paraId="0C73A5A3" w14:textId="77777777" w:rsidR="00C6733C" w:rsidRDefault="00C6733C">
            <w:pPr>
              <w:widowControl/>
              <w:autoSpaceDE/>
              <w:autoSpaceDN/>
              <w:rPr>
                <w:rFonts w:ascii="Arial" w:eastAsia="Times New Roman" w:hAnsi="Arial" w:cs="Arial"/>
                <w:color w:val="000000"/>
                <w:sz w:val="20"/>
                <w:szCs w:val="20"/>
                <w:lang w:bidi="ar-SA"/>
              </w:rPr>
            </w:pPr>
          </w:p>
        </w:tc>
        <w:tc>
          <w:tcPr>
            <w:tcW w:w="1813" w:type="dxa"/>
            <w:tcBorders>
              <w:top w:val="nil"/>
              <w:left w:val="nil"/>
              <w:bottom w:val="nil"/>
              <w:right w:val="nil"/>
            </w:tcBorders>
            <w:shd w:val="clear" w:color="auto" w:fill="auto"/>
            <w:noWrap/>
            <w:vAlign w:val="bottom"/>
            <w:hideMark/>
          </w:tcPr>
          <w:p w14:paraId="4BA620C0" w14:textId="77777777" w:rsidR="00C6733C" w:rsidRDefault="00C6733C">
            <w:pPr>
              <w:widowControl/>
              <w:autoSpaceDE/>
              <w:autoSpaceDN/>
              <w:rPr>
                <w:rFonts w:ascii="Arial" w:eastAsia="Times New Roman" w:hAnsi="Arial" w:cs="Arial"/>
                <w:sz w:val="20"/>
                <w:szCs w:val="20"/>
                <w:lang w:bidi="ar-SA"/>
              </w:rPr>
            </w:pPr>
          </w:p>
        </w:tc>
      </w:tr>
      <w:tr w:rsidR="00C6733C" w14:paraId="5DAA7193" w14:textId="77777777">
        <w:trPr>
          <w:trHeight w:val="366"/>
          <w:jc w:val="center"/>
        </w:trPr>
        <w:tc>
          <w:tcPr>
            <w:tcW w:w="7329" w:type="dxa"/>
            <w:gridSpan w:val="4"/>
            <w:tcBorders>
              <w:top w:val="nil"/>
              <w:left w:val="nil"/>
              <w:bottom w:val="nil"/>
              <w:right w:val="nil"/>
            </w:tcBorders>
            <w:shd w:val="clear" w:color="auto" w:fill="auto"/>
            <w:noWrap/>
            <w:vAlign w:val="bottom"/>
            <w:hideMark/>
          </w:tcPr>
          <w:p w14:paraId="13A041DF" w14:textId="77777777" w:rsidR="00C6733C" w:rsidRDefault="006D0638">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**Costo financiero incluye: </w:t>
            </w:r>
            <w:r>
              <w:rPr>
                <w:rFonts w:ascii="Arial" w:eastAsia="Times New Roman" w:hAnsi="Arial" w:cs="Arial"/>
                <w:color w:val="000000"/>
                <w:sz w:val="20"/>
                <w:szCs w:val="20"/>
                <w:lang w:bidi="ar-SA"/>
              </w:rPr>
              <w:t>intereses, gastos de la deuda y costo por coberturas.</w:t>
            </w:r>
          </w:p>
          <w:p w14:paraId="060BD4D1" w14:textId="77777777" w:rsidR="00C6733C" w:rsidRDefault="00C6733C">
            <w:pPr>
              <w:widowControl/>
              <w:autoSpaceDE/>
              <w:autoSpaceDN/>
              <w:rPr>
                <w:rFonts w:ascii="Arial" w:eastAsia="Times New Roman" w:hAnsi="Arial" w:cs="Arial"/>
                <w:color w:val="000000"/>
                <w:sz w:val="20"/>
                <w:szCs w:val="20"/>
                <w:lang w:bidi="ar-SA"/>
              </w:rPr>
            </w:pPr>
          </w:p>
          <w:p w14:paraId="0EF01060" w14:textId="77777777" w:rsidR="00C6733C" w:rsidRDefault="00C6733C">
            <w:pPr>
              <w:widowControl/>
              <w:autoSpaceDE/>
              <w:autoSpaceDN/>
              <w:rPr>
                <w:rFonts w:ascii="Arial" w:eastAsia="Times New Roman" w:hAnsi="Arial" w:cs="Arial"/>
                <w:color w:val="000000"/>
                <w:sz w:val="20"/>
                <w:szCs w:val="20"/>
                <w:lang w:bidi="ar-SA"/>
              </w:rPr>
            </w:pPr>
          </w:p>
        </w:tc>
        <w:tc>
          <w:tcPr>
            <w:tcW w:w="1813" w:type="dxa"/>
            <w:tcBorders>
              <w:top w:val="nil"/>
              <w:left w:val="nil"/>
              <w:bottom w:val="nil"/>
              <w:right w:val="nil"/>
            </w:tcBorders>
            <w:shd w:val="clear" w:color="auto" w:fill="auto"/>
            <w:noWrap/>
            <w:vAlign w:val="bottom"/>
            <w:hideMark/>
          </w:tcPr>
          <w:p w14:paraId="2AB0DA10" w14:textId="77777777" w:rsidR="00C6733C" w:rsidRDefault="00C6733C">
            <w:pPr>
              <w:widowControl/>
              <w:autoSpaceDE/>
              <w:autoSpaceDN/>
              <w:rPr>
                <w:rFonts w:ascii="Arial" w:eastAsia="Times New Roman" w:hAnsi="Arial" w:cs="Arial"/>
                <w:color w:val="000000"/>
                <w:sz w:val="20"/>
                <w:szCs w:val="20"/>
                <w:lang w:bidi="ar-SA"/>
              </w:rPr>
            </w:pPr>
          </w:p>
        </w:tc>
      </w:tr>
    </w:tbl>
    <w:p w14:paraId="6ED40577" w14:textId="77777777" w:rsidR="00C6733C" w:rsidRDefault="006D0638">
      <w:pPr>
        <w:pStyle w:val="Textoindependiente"/>
        <w:rPr>
          <w:sz w:val="22"/>
          <w:szCs w:val="22"/>
        </w:rPr>
      </w:pPr>
      <w:r>
        <w:rPr>
          <w:b/>
          <w:sz w:val="22"/>
          <w:szCs w:val="22"/>
        </w:rPr>
        <w:t xml:space="preserve">Artículo 35. </w:t>
      </w:r>
      <w:r>
        <w:rPr>
          <w:sz w:val="22"/>
          <w:szCs w:val="22"/>
        </w:rPr>
        <w:t>El desglose de la deuda pública por tipo de deuda se detalla en el Anexo 3.</w:t>
      </w:r>
    </w:p>
    <w:p w14:paraId="56E2AA1A" w14:textId="77777777" w:rsidR="00C6733C" w:rsidRDefault="00C6733C">
      <w:pPr>
        <w:pStyle w:val="Textoindependiente"/>
        <w:rPr>
          <w:sz w:val="22"/>
          <w:szCs w:val="22"/>
        </w:rPr>
      </w:pPr>
    </w:p>
    <w:p w14:paraId="50A49BA9" w14:textId="77777777" w:rsidR="00C6733C" w:rsidRDefault="006D0638">
      <w:pPr>
        <w:widowControl/>
        <w:autoSpaceDE/>
        <w:autoSpaceDN/>
        <w:jc w:val="both"/>
        <w:rPr>
          <w:rFonts w:ascii="Arial" w:eastAsia="Times New Roman" w:hAnsi="Arial" w:cs="Arial"/>
          <w:color w:val="000000"/>
          <w:lang w:bidi="ar-SA"/>
        </w:rPr>
      </w:pPr>
      <w:r>
        <w:rPr>
          <w:rFonts w:ascii="Arial" w:hAnsi="Arial" w:cs="Arial"/>
          <w:b/>
        </w:rPr>
        <w:t>Artículo 36.</w:t>
      </w:r>
      <w:r>
        <w:rPr>
          <w:rFonts w:ascii="Arial" w:hAnsi="Arial" w:cs="Arial"/>
        </w:rPr>
        <w:t xml:space="preserve"> La asignación presupuestaria para las previsiones salariales y económicas, destinadas al personal de base, confianza, contrato-confianza y contrato-contrato del Poder Ejecutivo asciende a $</w:t>
      </w:r>
      <w:r>
        <w:rPr>
          <w:rFonts w:ascii="Arial" w:eastAsia="Times New Roman" w:hAnsi="Arial" w:cs="Arial"/>
          <w:lang w:bidi="ar-SA"/>
        </w:rPr>
        <w:t xml:space="preserve">263,750,000.00 </w:t>
      </w:r>
      <w:r>
        <w:rPr>
          <w:rFonts w:ascii="Arial" w:hAnsi="Arial" w:cs="Arial"/>
        </w:rPr>
        <w:t>(</w:t>
      </w:r>
      <w:r>
        <w:rPr>
          <w:rFonts w:ascii="Arial" w:eastAsia="Times New Roman" w:hAnsi="Arial" w:cs="Arial"/>
          <w:color w:val="000000"/>
          <w:lang w:bidi="ar-SA"/>
        </w:rPr>
        <w:t>Doscientos sesenta y tres millones setecientos cin</w:t>
      </w:r>
      <w:r>
        <w:rPr>
          <w:rFonts w:ascii="Arial" w:eastAsia="Times New Roman" w:hAnsi="Arial" w:cs="Arial"/>
          <w:color w:val="000000"/>
          <w:lang w:bidi="ar-SA"/>
        </w:rPr>
        <w:t xml:space="preserve">cuenta mil pesos 00/100 </w:t>
      </w:r>
      <w:r>
        <w:rPr>
          <w:rFonts w:ascii="Arial" w:hAnsi="Arial" w:cs="Arial"/>
        </w:rPr>
        <w:t xml:space="preserve">M.N.) previsión que deberá sujetarse a lo establecido en los Artículos 10 fracción II inciso b) de la Ley de Disciplina y 30 fracción II inciso b) y 61 fracción II de la Ley. </w:t>
      </w:r>
    </w:p>
    <w:p w14:paraId="55F471AB" w14:textId="77777777" w:rsidR="00C6733C" w:rsidRDefault="00C6733C">
      <w:pPr>
        <w:pStyle w:val="Textoindependiente"/>
        <w:jc w:val="both"/>
        <w:rPr>
          <w:sz w:val="22"/>
          <w:szCs w:val="22"/>
        </w:rPr>
      </w:pPr>
    </w:p>
    <w:p w14:paraId="1DB98DB5" w14:textId="77777777" w:rsidR="00C6733C" w:rsidRDefault="006D0638">
      <w:pPr>
        <w:pStyle w:val="Textoindependiente"/>
        <w:tabs>
          <w:tab w:val="left" w:pos="5812"/>
        </w:tabs>
        <w:jc w:val="both"/>
        <w:rPr>
          <w:sz w:val="22"/>
          <w:szCs w:val="22"/>
        </w:rPr>
      </w:pPr>
      <w:r>
        <w:rPr>
          <w:sz w:val="22"/>
          <w:szCs w:val="22"/>
        </w:rPr>
        <w:t>La distribución del importe anterior lo realizará la Se</w:t>
      </w:r>
      <w:r>
        <w:rPr>
          <w:sz w:val="22"/>
          <w:szCs w:val="22"/>
        </w:rPr>
        <w:t xml:space="preserve">cretaría de Administración conforme a los tabuladores autorizados y según acuerdos derivados de las negociaciones salariales que se realicen, plenamente justificadas y en el marco de la disponibilidad financiera. </w:t>
      </w:r>
    </w:p>
    <w:p w14:paraId="727E1166" w14:textId="77777777" w:rsidR="00C6733C" w:rsidRDefault="00C6733C">
      <w:pPr>
        <w:pStyle w:val="Textoindependiente"/>
        <w:rPr>
          <w:sz w:val="22"/>
          <w:szCs w:val="22"/>
        </w:rPr>
      </w:pPr>
    </w:p>
    <w:p w14:paraId="696E5C2E" w14:textId="77777777" w:rsidR="00C6733C" w:rsidRDefault="006D0638">
      <w:pPr>
        <w:widowControl/>
        <w:autoSpaceDE/>
        <w:autoSpaceDN/>
        <w:jc w:val="both"/>
        <w:rPr>
          <w:rFonts w:ascii="Arial" w:hAnsi="Arial" w:cs="Arial"/>
        </w:rPr>
      </w:pPr>
      <w:r>
        <w:rPr>
          <w:rFonts w:ascii="Arial" w:hAnsi="Arial" w:cs="Arial"/>
          <w:b/>
        </w:rPr>
        <w:t>Artículo 37.</w:t>
      </w:r>
      <w:r>
        <w:rPr>
          <w:rFonts w:ascii="Arial" w:hAnsi="Arial" w:cs="Arial"/>
        </w:rPr>
        <w:t xml:space="preserve"> El Poder Ejecutivo destinará</w:t>
      </w:r>
      <w:r>
        <w:rPr>
          <w:rFonts w:ascii="Arial" w:hAnsi="Arial" w:cs="Arial"/>
        </w:rPr>
        <w:t xml:space="preserve"> al Fondo de Pensiones del Estado de Oaxaca la cantidad de $</w:t>
      </w:r>
      <w:r>
        <w:rPr>
          <w:rFonts w:ascii="Arial" w:eastAsia="Times New Roman" w:hAnsi="Arial" w:cs="Arial"/>
          <w:lang w:bidi="ar-SA"/>
        </w:rPr>
        <w:t xml:space="preserve">492,262,800.53 </w:t>
      </w:r>
      <w:r>
        <w:rPr>
          <w:rFonts w:ascii="Arial" w:hAnsi="Arial" w:cs="Arial"/>
        </w:rPr>
        <w:t>(</w:t>
      </w:r>
      <w:r>
        <w:rPr>
          <w:rFonts w:ascii="Arial" w:eastAsia="Times New Roman" w:hAnsi="Arial" w:cs="Arial"/>
          <w:color w:val="000000"/>
          <w:lang w:bidi="ar-SA"/>
        </w:rPr>
        <w:t xml:space="preserve">Cuatrocientos noventa y dos millones doscientos sesenta y dos mil ochocientos pesos 53/100 </w:t>
      </w:r>
      <w:r>
        <w:rPr>
          <w:rFonts w:ascii="Arial" w:hAnsi="Arial" w:cs="Arial"/>
        </w:rPr>
        <w:t>M.N.).</w:t>
      </w:r>
    </w:p>
    <w:p w14:paraId="49D340BA" w14:textId="77777777" w:rsidR="00C6733C" w:rsidRDefault="00C6733C">
      <w:pPr>
        <w:pStyle w:val="Textoindependiente"/>
        <w:rPr>
          <w:sz w:val="22"/>
          <w:szCs w:val="22"/>
        </w:rPr>
      </w:pPr>
    </w:p>
    <w:p w14:paraId="48670E9D" w14:textId="77777777" w:rsidR="00C6733C" w:rsidRDefault="006D0638">
      <w:pPr>
        <w:pStyle w:val="Textoindependiente"/>
        <w:jc w:val="both"/>
        <w:rPr>
          <w:sz w:val="22"/>
          <w:szCs w:val="22"/>
        </w:rPr>
      </w:pPr>
      <w:r>
        <w:rPr>
          <w:b/>
          <w:sz w:val="22"/>
          <w:szCs w:val="22"/>
        </w:rPr>
        <w:t xml:space="preserve">Artículo 38. </w:t>
      </w:r>
      <w:r>
        <w:rPr>
          <w:sz w:val="22"/>
          <w:szCs w:val="22"/>
        </w:rPr>
        <w:t>Los recursos destinados a la educación pública, atendiendo a la proc</w:t>
      </w:r>
      <w:r>
        <w:rPr>
          <w:sz w:val="22"/>
          <w:szCs w:val="22"/>
        </w:rPr>
        <w:t>edencia de los recursos es la siguiente:</w:t>
      </w:r>
    </w:p>
    <w:p w14:paraId="34A87E38" w14:textId="77777777" w:rsidR="00C6733C" w:rsidRDefault="00C6733C">
      <w:pPr>
        <w:pStyle w:val="Textoindependiente"/>
        <w:ind w:right="-29"/>
        <w:jc w:val="both"/>
        <w:rPr>
          <w:sz w:val="22"/>
          <w:szCs w:val="22"/>
        </w:rPr>
      </w:pPr>
    </w:p>
    <w:tbl>
      <w:tblPr>
        <w:tblW w:w="4180" w:type="dxa"/>
        <w:jc w:val="center"/>
        <w:tblCellMar>
          <w:left w:w="70" w:type="dxa"/>
          <w:right w:w="70" w:type="dxa"/>
        </w:tblCellMar>
        <w:tblLook w:val="04A0" w:firstRow="1" w:lastRow="0" w:firstColumn="1" w:lastColumn="0" w:noHBand="0" w:noVBand="1"/>
      </w:tblPr>
      <w:tblGrid>
        <w:gridCol w:w="2460"/>
        <w:gridCol w:w="1976"/>
      </w:tblGrid>
      <w:tr w:rsidR="00C6733C" w14:paraId="382D41D9" w14:textId="77777777">
        <w:trPr>
          <w:trHeight w:val="585"/>
          <w:jc w:val="center"/>
        </w:trPr>
        <w:tc>
          <w:tcPr>
            <w:tcW w:w="2460" w:type="dxa"/>
            <w:tcBorders>
              <w:top w:val="nil"/>
              <w:left w:val="nil"/>
              <w:bottom w:val="nil"/>
              <w:right w:val="nil"/>
            </w:tcBorders>
            <w:shd w:val="clear" w:color="auto" w:fill="auto"/>
            <w:noWrap/>
            <w:vAlign w:val="bottom"/>
            <w:hideMark/>
          </w:tcPr>
          <w:p w14:paraId="3EFEF460" w14:textId="77777777" w:rsidR="00C6733C" w:rsidRDefault="00C6733C">
            <w:pPr>
              <w:widowControl/>
              <w:autoSpaceDE/>
              <w:autoSpaceDN/>
              <w:rPr>
                <w:rFonts w:ascii="Arial" w:eastAsia="Times New Roman" w:hAnsi="Arial" w:cs="Arial"/>
                <w:sz w:val="24"/>
                <w:szCs w:val="24"/>
                <w:lang w:bidi="ar-SA"/>
              </w:rPr>
            </w:pPr>
          </w:p>
        </w:tc>
        <w:tc>
          <w:tcPr>
            <w:tcW w:w="1720" w:type="dxa"/>
            <w:tcBorders>
              <w:top w:val="nil"/>
              <w:left w:val="nil"/>
              <w:bottom w:val="nil"/>
              <w:right w:val="nil"/>
            </w:tcBorders>
            <w:shd w:val="clear" w:color="auto" w:fill="auto"/>
            <w:noWrap/>
            <w:vAlign w:val="center"/>
            <w:hideMark/>
          </w:tcPr>
          <w:p w14:paraId="55F1CC08"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112E3343" w14:textId="77777777">
        <w:trPr>
          <w:trHeight w:val="540"/>
          <w:jc w:val="center"/>
        </w:trPr>
        <w:tc>
          <w:tcPr>
            <w:tcW w:w="2460" w:type="dxa"/>
            <w:tcBorders>
              <w:top w:val="nil"/>
              <w:left w:val="nil"/>
              <w:bottom w:val="nil"/>
              <w:right w:val="nil"/>
            </w:tcBorders>
            <w:shd w:val="clear" w:color="auto" w:fill="auto"/>
            <w:noWrap/>
            <w:vAlign w:val="center"/>
            <w:hideMark/>
          </w:tcPr>
          <w:p w14:paraId="3B43EDB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Estatal</w:t>
            </w:r>
          </w:p>
        </w:tc>
        <w:tc>
          <w:tcPr>
            <w:tcW w:w="1720" w:type="dxa"/>
            <w:tcBorders>
              <w:top w:val="nil"/>
              <w:left w:val="nil"/>
              <w:bottom w:val="nil"/>
              <w:right w:val="nil"/>
            </w:tcBorders>
            <w:shd w:val="clear" w:color="auto" w:fill="auto"/>
            <w:noWrap/>
            <w:vAlign w:val="center"/>
            <w:hideMark/>
          </w:tcPr>
          <w:p w14:paraId="38041F3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2,918,658,510.71</w:t>
            </w:r>
          </w:p>
        </w:tc>
      </w:tr>
      <w:tr w:rsidR="00C6733C" w14:paraId="48B9A6A4" w14:textId="77777777">
        <w:trPr>
          <w:trHeight w:val="540"/>
          <w:jc w:val="center"/>
        </w:trPr>
        <w:tc>
          <w:tcPr>
            <w:tcW w:w="2460" w:type="dxa"/>
            <w:tcBorders>
              <w:top w:val="nil"/>
              <w:left w:val="nil"/>
              <w:bottom w:val="nil"/>
              <w:right w:val="nil"/>
            </w:tcBorders>
            <w:shd w:val="clear" w:color="auto" w:fill="auto"/>
            <w:noWrap/>
            <w:vAlign w:val="center"/>
            <w:hideMark/>
          </w:tcPr>
          <w:p w14:paraId="3471403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Federal</w:t>
            </w:r>
          </w:p>
        </w:tc>
        <w:tc>
          <w:tcPr>
            <w:tcW w:w="1720" w:type="dxa"/>
            <w:tcBorders>
              <w:top w:val="nil"/>
              <w:left w:val="nil"/>
              <w:bottom w:val="nil"/>
              <w:right w:val="nil"/>
            </w:tcBorders>
            <w:shd w:val="clear" w:color="auto" w:fill="auto"/>
            <w:noWrap/>
            <w:vAlign w:val="center"/>
            <w:hideMark/>
          </w:tcPr>
          <w:p w14:paraId="77BA7F7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26,261,368,575.23</w:t>
            </w:r>
          </w:p>
        </w:tc>
      </w:tr>
      <w:tr w:rsidR="00C6733C" w14:paraId="2F723534" w14:textId="77777777">
        <w:trPr>
          <w:trHeight w:val="540"/>
          <w:jc w:val="center"/>
        </w:trPr>
        <w:tc>
          <w:tcPr>
            <w:tcW w:w="2460" w:type="dxa"/>
            <w:tcBorders>
              <w:top w:val="nil"/>
              <w:left w:val="nil"/>
              <w:bottom w:val="nil"/>
              <w:right w:val="nil"/>
            </w:tcBorders>
            <w:shd w:val="clear" w:color="auto" w:fill="auto"/>
            <w:noWrap/>
            <w:vAlign w:val="center"/>
            <w:hideMark/>
          </w:tcPr>
          <w:p w14:paraId="153ABF5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720" w:type="dxa"/>
            <w:tcBorders>
              <w:top w:val="nil"/>
              <w:left w:val="nil"/>
              <w:bottom w:val="nil"/>
              <w:right w:val="nil"/>
            </w:tcBorders>
            <w:shd w:val="clear" w:color="auto" w:fill="auto"/>
            <w:noWrap/>
            <w:vAlign w:val="center"/>
            <w:hideMark/>
          </w:tcPr>
          <w:p w14:paraId="09CA42D2"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29,180,027,085.94</w:t>
            </w:r>
          </w:p>
        </w:tc>
      </w:tr>
    </w:tbl>
    <w:p w14:paraId="4B6FC73C" w14:textId="77777777" w:rsidR="00C6733C" w:rsidRDefault="00C6733C">
      <w:pPr>
        <w:pStyle w:val="Textoindependiente"/>
        <w:ind w:right="-29"/>
        <w:jc w:val="both"/>
        <w:rPr>
          <w:b/>
          <w:sz w:val="22"/>
          <w:szCs w:val="22"/>
        </w:rPr>
      </w:pPr>
    </w:p>
    <w:p w14:paraId="1A3B1D3E" w14:textId="77777777" w:rsidR="00C6733C" w:rsidRDefault="006D0638">
      <w:pPr>
        <w:widowControl/>
        <w:autoSpaceDE/>
        <w:autoSpaceDN/>
        <w:jc w:val="both"/>
        <w:rPr>
          <w:rFonts w:ascii="Arial" w:eastAsia="Times New Roman" w:hAnsi="Arial" w:cs="Arial"/>
          <w:color w:val="000000"/>
          <w:lang w:bidi="ar-SA"/>
        </w:rPr>
      </w:pPr>
      <w:r>
        <w:rPr>
          <w:rFonts w:ascii="Arial" w:hAnsi="Arial" w:cs="Arial"/>
          <w:b/>
        </w:rPr>
        <w:t xml:space="preserve">Artículo 39. </w:t>
      </w:r>
      <w:r>
        <w:rPr>
          <w:rFonts w:ascii="Arial" w:hAnsi="Arial" w:cs="Arial"/>
        </w:rPr>
        <w:t xml:space="preserve">El importe total de las aportaciones previstas para las Instituciones de Educación Superior asciende a </w:t>
      </w:r>
      <w:r>
        <w:rPr>
          <w:rFonts w:ascii="Arial" w:eastAsia="Times New Roman" w:hAnsi="Arial" w:cs="Arial"/>
          <w:lang w:bidi="ar-SA"/>
        </w:rPr>
        <w:t xml:space="preserve">$1,882,272,480.00 </w:t>
      </w:r>
      <w:r>
        <w:rPr>
          <w:rFonts w:ascii="Arial" w:hAnsi="Arial" w:cs="Arial"/>
        </w:rPr>
        <w:t>(</w:t>
      </w:r>
      <w:r>
        <w:rPr>
          <w:rFonts w:ascii="Arial" w:eastAsia="Times New Roman" w:hAnsi="Arial" w:cs="Arial"/>
          <w:color w:val="000000"/>
          <w:lang w:bidi="ar-SA"/>
        </w:rPr>
        <w:t>Un mil ochocientos ochenta y dos millones doscientos setenta y dos mil cuatrocientos ochenta pesos 00/100</w:t>
      </w:r>
      <w:r>
        <w:rPr>
          <w:rFonts w:ascii="Arial" w:hAnsi="Arial" w:cs="Arial"/>
        </w:rPr>
        <w:t xml:space="preserve"> M.N.); monto que estará suje</w:t>
      </w:r>
      <w:r>
        <w:rPr>
          <w:rFonts w:ascii="Arial" w:hAnsi="Arial" w:cs="Arial"/>
        </w:rPr>
        <w:t>to a las aportaciones convenidas entre el Gobierno Federal y el Gobierno Estatal, distribuidos de la siguiente manera:</w:t>
      </w:r>
    </w:p>
    <w:p w14:paraId="68DDA232" w14:textId="77777777" w:rsidR="00C6733C" w:rsidRDefault="00C6733C">
      <w:pPr>
        <w:pStyle w:val="Textoindependiente"/>
        <w:ind w:right="-29"/>
        <w:jc w:val="both"/>
        <w:rPr>
          <w:b/>
          <w:sz w:val="22"/>
          <w:szCs w:val="22"/>
        </w:rPr>
      </w:pPr>
    </w:p>
    <w:tbl>
      <w:tblPr>
        <w:tblW w:w="7460" w:type="dxa"/>
        <w:jc w:val="center"/>
        <w:tblCellMar>
          <w:left w:w="70" w:type="dxa"/>
          <w:right w:w="70" w:type="dxa"/>
        </w:tblCellMar>
        <w:tblLook w:val="04A0" w:firstRow="1" w:lastRow="0" w:firstColumn="1" w:lastColumn="0" w:noHBand="0" w:noVBand="1"/>
      </w:tblPr>
      <w:tblGrid>
        <w:gridCol w:w="5560"/>
        <w:gridCol w:w="1900"/>
      </w:tblGrid>
      <w:tr w:rsidR="00C6733C" w14:paraId="662E9834" w14:textId="77777777">
        <w:trPr>
          <w:trHeight w:val="510"/>
          <w:jc w:val="center"/>
        </w:trPr>
        <w:tc>
          <w:tcPr>
            <w:tcW w:w="5560" w:type="dxa"/>
            <w:tcBorders>
              <w:top w:val="nil"/>
              <w:left w:val="nil"/>
              <w:bottom w:val="nil"/>
              <w:right w:val="nil"/>
            </w:tcBorders>
            <w:shd w:val="clear" w:color="auto" w:fill="auto"/>
            <w:noWrap/>
            <w:vAlign w:val="bottom"/>
            <w:hideMark/>
          </w:tcPr>
          <w:p w14:paraId="19A44DBB" w14:textId="77777777" w:rsidR="00C6733C" w:rsidRDefault="00C6733C">
            <w:pPr>
              <w:widowControl/>
              <w:autoSpaceDE/>
              <w:autoSpaceDN/>
              <w:rPr>
                <w:rFonts w:ascii="Arial" w:eastAsia="Times New Roman" w:hAnsi="Arial" w:cs="Arial"/>
                <w:lang w:bidi="ar-SA"/>
              </w:rPr>
            </w:pPr>
          </w:p>
        </w:tc>
        <w:tc>
          <w:tcPr>
            <w:tcW w:w="1900" w:type="dxa"/>
            <w:tcBorders>
              <w:top w:val="nil"/>
              <w:left w:val="nil"/>
              <w:bottom w:val="nil"/>
              <w:right w:val="nil"/>
            </w:tcBorders>
            <w:shd w:val="clear" w:color="auto" w:fill="auto"/>
            <w:noWrap/>
            <w:vAlign w:val="center"/>
            <w:hideMark/>
          </w:tcPr>
          <w:p w14:paraId="4F46B22F"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 </w:t>
            </w:r>
          </w:p>
        </w:tc>
      </w:tr>
      <w:tr w:rsidR="00C6733C" w14:paraId="1091AF51" w14:textId="77777777">
        <w:trPr>
          <w:trHeight w:val="510"/>
          <w:jc w:val="center"/>
        </w:trPr>
        <w:tc>
          <w:tcPr>
            <w:tcW w:w="5560" w:type="dxa"/>
            <w:tcBorders>
              <w:top w:val="nil"/>
              <w:left w:val="nil"/>
              <w:bottom w:val="nil"/>
              <w:right w:val="nil"/>
            </w:tcBorders>
            <w:shd w:val="clear" w:color="auto" w:fill="auto"/>
            <w:vAlign w:val="center"/>
            <w:hideMark/>
          </w:tcPr>
          <w:p w14:paraId="2491E8A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Autónoma "Benito Juárez" de Oaxaca</w:t>
            </w:r>
          </w:p>
        </w:tc>
        <w:tc>
          <w:tcPr>
            <w:tcW w:w="1900" w:type="dxa"/>
            <w:tcBorders>
              <w:top w:val="nil"/>
              <w:left w:val="nil"/>
              <w:bottom w:val="nil"/>
              <w:right w:val="nil"/>
            </w:tcBorders>
            <w:shd w:val="clear" w:color="auto" w:fill="auto"/>
            <w:noWrap/>
            <w:vAlign w:val="center"/>
            <w:hideMark/>
          </w:tcPr>
          <w:p w14:paraId="0C96CF0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1,082,938,553.00</w:t>
            </w:r>
          </w:p>
        </w:tc>
      </w:tr>
      <w:tr w:rsidR="00C6733C" w14:paraId="501C3040" w14:textId="77777777">
        <w:trPr>
          <w:trHeight w:val="510"/>
          <w:jc w:val="center"/>
        </w:trPr>
        <w:tc>
          <w:tcPr>
            <w:tcW w:w="5560" w:type="dxa"/>
            <w:tcBorders>
              <w:top w:val="nil"/>
              <w:left w:val="nil"/>
              <w:bottom w:val="nil"/>
              <w:right w:val="nil"/>
            </w:tcBorders>
            <w:shd w:val="clear" w:color="auto" w:fill="auto"/>
            <w:vAlign w:val="center"/>
            <w:hideMark/>
          </w:tcPr>
          <w:p w14:paraId="3FFF737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Instituto Tecnológico Superior de San Miguel el </w:t>
            </w:r>
            <w:r>
              <w:rPr>
                <w:rFonts w:ascii="Arial" w:eastAsia="Times New Roman" w:hAnsi="Arial" w:cs="Arial"/>
                <w:color w:val="000000"/>
                <w:lang w:bidi="ar-SA"/>
              </w:rPr>
              <w:t>Grande</w:t>
            </w:r>
          </w:p>
        </w:tc>
        <w:tc>
          <w:tcPr>
            <w:tcW w:w="1900" w:type="dxa"/>
            <w:tcBorders>
              <w:top w:val="nil"/>
              <w:left w:val="nil"/>
              <w:bottom w:val="nil"/>
              <w:right w:val="nil"/>
            </w:tcBorders>
            <w:shd w:val="clear" w:color="auto" w:fill="auto"/>
            <w:noWrap/>
            <w:vAlign w:val="center"/>
            <w:hideMark/>
          </w:tcPr>
          <w:p w14:paraId="45FE840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28,440,958.00</w:t>
            </w:r>
          </w:p>
        </w:tc>
      </w:tr>
      <w:tr w:rsidR="00C6733C" w14:paraId="03BA17E3" w14:textId="77777777">
        <w:trPr>
          <w:trHeight w:val="510"/>
          <w:jc w:val="center"/>
        </w:trPr>
        <w:tc>
          <w:tcPr>
            <w:tcW w:w="5560" w:type="dxa"/>
            <w:tcBorders>
              <w:top w:val="nil"/>
              <w:left w:val="nil"/>
              <w:bottom w:val="nil"/>
              <w:right w:val="nil"/>
            </w:tcBorders>
            <w:shd w:val="clear" w:color="auto" w:fill="auto"/>
            <w:vAlign w:val="center"/>
            <w:hideMark/>
          </w:tcPr>
          <w:p w14:paraId="6473DF1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Tecnológico Superior de Teposcolula</w:t>
            </w:r>
          </w:p>
        </w:tc>
        <w:tc>
          <w:tcPr>
            <w:tcW w:w="1900" w:type="dxa"/>
            <w:tcBorders>
              <w:top w:val="nil"/>
              <w:left w:val="nil"/>
              <w:bottom w:val="nil"/>
              <w:right w:val="nil"/>
            </w:tcBorders>
            <w:shd w:val="clear" w:color="auto" w:fill="auto"/>
            <w:noWrap/>
            <w:vAlign w:val="center"/>
            <w:hideMark/>
          </w:tcPr>
          <w:p w14:paraId="4C41648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28,725,328.00</w:t>
            </w:r>
          </w:p>
        </w:tc>
      </w:tr>
      <w:tr w:rsidR="00C6733C" w14:paraId="27C92CD3" w14:textId="77777777">
        <w:trPr>
          <w:trHeight w:val="510"/>
          <w:jc w:val="center"/>
        </w:trPr>
        <w:tc>
          <w:tcPr>
            <w:tcW w:w="5560" w:type="dxa"/>
            <w:tcBorders>
              <w:top w:val="nil"/>
              <w:left w:val="nil"/>
              <w:bottom w:val="nil"/>
              <w:right w:val="nil"/>
            </w:tcBorders>
            <w:shd w:val="clear" w:color="auto" w:fill="auto"/>
            <w:vAlign w:val="center"/>
            <w:hideMark/>
          </w:tcPr>
          <w:p w14:paraId="1533239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Novauniversitas</w:t>
            </w:r>
          </w:p>
        </w:tc>
        <w:tc>
          <w:tcPr>
            <w:tcW w:w="1900" w:type="dxa"/>
            <w:tcBorders>
              <w:top w:val="nil"/>
              <w:left w:val="nil"/>
              <w:bottom w:val="nil"/>
              <w:right w:val="nil"/>
            </w:tcBorders>
            <w:shd w:val="clear" w:color="auto" w:fill="auto"/>
            <w:noWrap/>
            <w:vAlign w:val="center"/>
            <w:hideMark/>
          </w:tcPr>
          <w:p w14:paraId="65E89C8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29,336,393.00</w:t>
            </w:r>
          </w:p>
        </w:tc>
      </w:tr>
      <w:tr w:rsidR="00C6733C" w14:paraId="59097F6C" w14:textId="77777777">
        <w:trPr>
          <w:trHeight w:val="510"/>
          <w:jc w:val="center"/>
        </w:trPr>
        <w:tc>
          <w:tcPr>
            <w:tcW w:w="5560" w:type="dxa"/>
            <w:tcBorders>
              <w:top w:val="nil"/>
              <w:left w:val="nil"/>
              <w:bottom w:val="nil"/>
              <w:right w:val="nil"/>
            </w:tcBorders>
            <w:shd w:val="clear" w:color="auto" w:fill="auto"/>
            <w:vAlign w:val="center"/>
            <w:hideMark/>
          </w:tcPr>
          <w:p w14:paraId="6BC96F5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Chalcatongo</w:t>
            </w:r>
          </w:p>
        </w:tc>
        <w:tc>
          <w:tcPr>
            <w:tcW w:w="1900" w:type="dxa"/>
            <w:tcBorders>
              <w:top w:val="nil"/>
              <w:left w:val="nil"/>
              <w:bottom w:val="nil"/>
              <w:right w:val="nil"/>
            </w:tcBorders>
            <w:shd w:val="clear" w:color="auto" w:fill="auto"/>
            <w:noWrap/>
            <w:vAlign w:val="center"/>
            <w:hideMark/>
          </w:tcPr>
          <w:p w14:paraId="29C0805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15,878,580.00</w:t>
            </w:r>
          </w:p>
        </w:tc>
      </w:tr>
      <w:tr w:rsidR="00C6733C" w14:paraId="43C99D50" w14:textId="77777777">
        <w:trPr>
          <w:trHeight w:val="510"/>
          <w:jc w:val="center"/>
        </w:trPr>
        <w:tc>
          <w:tcPr>
            <w:tcW w:w="5560" w:type="dxa"/>
            <w:tcBorders>
              <w:top w:val="nil"/>
              <w:left w:val="nil"/>
              <w:bottom w:val="nil"/>
              <w:right w:val="nil"/>
            </w:tcBorders>
            <w:shd w:val="clear" w:color="auto" w:fill="auto"/>
            <w:vAlign w:val="center"/>
            <w:hideMark/>
          </w:tcPr>
          <w:p w14:paraId="5C6A33F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Cañada</w:t>
            </w:r>
          </w:p>
        </w:tc>
        <w:tc>
          <w:tcPr>
            <w:tcW w:w="1900" w:type="dxa"/>
            <w:tcBorders>
              <w:top w:val="nil"/>
              <w:left w:val="nil"/>
              <w:bottom w:val="nil"/>
              <w:right w:val="nil"/>
            </w:tcBorders>
            <w:shd w:val="clear" w:color="auto" w:fill="auto"/>
            <w:noWrap/>
            <w:vAlign w:val="center"/>
            <w:hideMark/>
          </w:tcPr>
          <w:p w14:paraId="715778F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25,461,992.00</w:t>
            </w:r>
          </w:p>
        </w:tc>
      </w:tr>
      <w:tr w:rsidR="00C6733C" w14:paraId="3A6CFB8E" w14:textId="77777777">
        <w:trPr>
          <w:trHeight w:val="510"/>
          <w:jc w:val="center"/>
        </w:trPr>
        <w:tc>
          <w:tcPr>
            <w:tcW w:w="5560" w:type="dxa"/>
            <w:tcBorders>
              <w:top w:val="nil"/>
              <w:left w:val="nil"/>
              <w:bottom w:val="nil"/>
              <w:right w:val="nil"/>
            </w:tcBorders>
            <w:shd w:val="clear" w:color="auto" w:fill="auto"/>
            <w:vAlign w:val="center"/>
            <w:hideMark/>
          </w:tcPr>
          <w:p w14:paraId="28A4D56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Costa</w:t>
            </w:r>
          </w:p>
        </w:tc>
        <w:tc>
          <w:tcPr>
            <w:tcW w:w="1900" w:type="dxa"/>
            <w:tcBorders>
              <w:top w:val="nil"/>
              <w:left w:val="nil"/>
              <w:bottom w:val="nil"/>
              <w:right w:val="nil"/>
            </w:tcBorders>
            <w:shd w:val="clear" w:color="auto" w:fill="auto"/>
            <w:noWrap/>
            <w:vAlign w:val="center"/>
            <w:hideMark/>
          </w:tcPr>
          <w:p w14:paraId="569C04B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14,336,534.00</w:t>
            </w:r>
          </w:p>
        </w:tc>
      </w:tr>
      <w:tr w:rsidR="00C6733C" w14:paraId="50824AF6" w14:textId="77777777">
        <w:trPr>
          <w:trHeight w:val="510"/>
          <w:jc w:val="center"/>
        </w:trPr>
        <w:tc>
          <w:tcPr>
            <w:tcW w:w="5560" w:type="dxa"/>
            <w:tcBorders>
              <w:top w:val="nil"/>
              <w:left w:val="nil"/>
              <w:bottom w:val="nil"/>
              <w:right w:val="nil"/>
            </w:tcBorders>
            <w:shd w:val="clear" w:color="auto" w:fill="auto"/>
            <w:vAlign w:val="center"/>
            <w:hideMark/>
          </w:tcPr>
          <w:p w14:paraId="01FB36B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Juárez</w:t>
            </w:r>
          </w:p>
        </w:tc>
        <w:tc>
          <w:tcPr>
            <w:tcW w:w="1900" w:type="dxa"/>
            <w:tcBorders>
              <w:top w:val="nil"/>
              <w:left w:val="nil"/>
              <w:bottom w:val="nil"/>
              <w:right w:val="nil"/>
            </w:tcBorders>
            <w:shd w:val="clear" w:color="auto" w:fill="auto"/>
            <w:noWrap/>
            <w:vAlign w:val="center"/>
            <w:hideMark/>
          </w:tcPr>
          <w:p w14:paraId="1D6F43A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29,959,486.00</w:t>
            </w:r>
          </w:p>
        </w:tc>
      </w:tr>
      <w:tr w:rsidR="00C6733C" w14:paraId="5698CD70" w14:textId="77777777">
        <w:trPr>
          <w:trHeight w:val="510"/>
          <w:jc w:val="center"/>
        </w:trPr>
        <w:tc>
          <w:tcPr>
            <w:tcW w:w="5560" w:type="dxa"/>
            <w:tcBorders>
              <w:top w:val="nil"/>
              <w:left w:val="nil"/>
              <w:bottom w:val="nil"/>
              <w:right w:val="nil"/>
            </w:tcBorders>
            <w:shd w:val="clear" w:color="auto" w:fill="auto"/>
            <w:vAlign w:val="center"/>
            <w:hideMark/>
          </w:tcPr>
          <w:p w14:paraId="3182972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Sur</w:t>
            </w:r>
          </w:p>
        </w:tc>
        <w:tc>
          <w:tcPr>
            <w:tcW w:w="1900" w:type="dxa"/>
            <w:tcBorders>
              <w:top w:val="nil"/>
              <w:left w:val="nil"/>
              <w:bottom w:val="nil"/>
              <w:right w:val="nil"/>
            </w:tcBorders>
            <w:shd w:val="clear" w:color="auto" w:fill="auto"/>
            <w:noWrap/>
            <w:vAlign w:val="center"/>
            <w:hideMark/>
          </w:tcPr>
          <w:p w14:paraId="79EEBB6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71,916,445.00</w:t>
            </w:r>
          </w:p>
        </w:tc>
      </w:tr>
      <w:tr w:rsidR="00C6733C" w14:paraId="6C907C60" w14:textId="77777777">
        <w:trPr>
          <w:trHeight w:val="510"/>
          <w:jc w:val="center"/>
        </w:trPr>
        <w:tc>
          <w:tcPr>
            <w:tcW w:w="5560" w:type="dxa"/>
            <w:tcBorders>
              <w:top w:val="nil"/>
              <w:left w:val="nil"/>
              <w:bottom w:val="nil"/>
              <w:right w:val="nil"/>
            </w:tcBorders>
            <w:shd w:val="clear" w:color="auto" w:fill="auto"/>
            <w:vAlign w:val="center"/>
            <w:hideMark/>
          </w:tcPr>
          <w:p w14:paraId="3F0E2C5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Istmo</w:t>
            </w:r>
          </w:p>
        </w:tc>
        <w:tc>
          <w:tcPr>
            <w:tcW w:w="1900" w:type="dxa"/>
            <w:tcBorders>
              <w:top w:val="nil"/>
              <w:left w:val="nil"/>
              <w:bottom w:val="nil"/>
              <w:right w:val="nil"/>
            </w:tcBorders>
            <w:shd w:val="clear" w:color="auto" w:fill="auto"/>
            <w:noWrap/>
            <w:vAlign w:val="center"/>
            <w:hideMark/>
          </w:tcPr>
          <w:p w14:paraId="1DC6BEC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80,725,582.00</w:t>
            </w:r>
          </w:p>
        </w:tc>
      </w:tr>
      <w:tr w:rsidR="00C6733C" w14:paraId="6FDF201A" w14:textId="77777777">
        <w:trPr>
          <w:trHeight w:val="510"/>
          <w:jc w:val="center"/>
        </w:trPr>
        <w:tc>
          <w:tcPr>
            <w:tcW w:w="5560" w:type="dxa"/>
            <w:tcBorders>
              <w:top w:val="nil"/>
              <w:left w:val="nil"/>
              <w:bottom w:val="nil"/>
              <w:right w:val="nil"/>
            </w:tcBorders>
            <w:shd w:val="clear" w:color="auto" w:fill="auto"/>
            <w:vAlign w:val="center"/>
            <w:hideMark/>
          </w:tcPr>
          <w:p w14:paraId="7E006AA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Mar</w:t>
            </w:r>
          </w:p>
        </w:tc>
        <w:tc>
          <w:tcPr>
            <w:tcW w:w="1900" w:type="dxa"/>
            <w:tcBorders>
              <w:top w:val="nil"/>
              <w:left w:val="nil"/>
              <w:bottom w:val="nil"/>
              <w:right w:val="nil"/>
            </w:tcBorders>
            <w:shd w:val="clear" w:color="auto" w:fill="auto"/>
            <w:noWrap/>
            <w:vAlign w:val="center"/>
            <w:hideMark/>
          </w:tcPr>
          <w:p w14:paraId="71088B9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181,144,950.00</w:t>
            </w:r>
          </w:p>
        </w:tc>
      </w:tr>
      <w:tr w:rsidR="00C6733C" w14:paraId="2AF1A902" w14:textId="77777777">
        <w:trPr>
          <w:trHeight w:val="510"/>
          <w:jc w:val="center"/>
        </w:trPr>
        <w:tc>
          <w:tcPr>
            <w:tcW w:w="5560" w:type="dxa"/>
            <w:tcBorders>
              <w:top w:val="nil"/>
              <w:left w:val="nil"/>
              <w:bottom w:val="nil"/>
              <w:right w:val="nil"/>
            </w:tcBorders>
            <w:shd w:val="clear" w:color="auto" w:fill="auto"/>
            <w:vAlign w:val="center"/>
            <w:hideMark/>
          </w:tcPr>
          <w:p w14:paraId="5DDF6AF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Papaloapan</w:t>
            </w:r>
          </w:p>
        </w:tc>
        <w:tc>
          <w:tcPr>
            <w:tcW w:w="1900" w:type="dxa"/>
            <w:tcBorders>
              <w:top w:val="nil"/>
              <w:left w:val="nil"/>
              <w:bottom w:val="nil"/>
              <w:right w:val="nil"/>
            </w:tcBorders>
            <w:shd w:val="clear" w:color="auto" w:fill="auto"/>
            <w:noWrap/>
            <w:vAlign w:val="center"/>
            <w:hideMark/>
          </w:tcPr>
          <w:p w14:paraId="5F17B11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86,277,846.00</w:t>
            </w:r>
          </w:p>
        </w:tc>
      </w:tr>
      <w:tr w:rsidR="00C6733C" w14:paraId="40B0645C" w14:textId="77777777">
        <w:trPr>
          <w:trHeight w:val="510"/>
          <w:jc w:val="center"/>
        </w:trPr>
        <w:tc>
          <w:tcPr>
            <w:tcW w:w="5560" w:type="dxa"/>
            <w:tcBorders>
              <w:top w:val="nil"/>
              <w:left w:val="nil"/>
              <w:bottom w:val="nil"/>
              <w:right w:val="nil"/>
            </w:tcBorders>
            <w:shd w:val="clear" w:color="auto" w:fill="auto"/>
            <w:vAlign w:val="center"/>
            <w:hideMark/>
          </w:tcPr>
          <w:p w14:paraId="13ED698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Mixteca</w:t>
            </w:r>
          </w:p>
        </w:tc>
        <w:tc>
          <w:tcPr>
            <w:tcW w:w="1900" w:type="dxa"/>
            <w:tcBorders>
              <w:top w:val="nil"/>
              <w:left w:val="nil"/>
              <w:bottom w:val="nil"/>
              <w:right w:val="nil"/>
            </w:tcBorders>
            <w:shd w:val="clear" w:color="auto" w:fill="auto"/>
            <w:noWrap/>
            <w:vAlign w:val="center"/>
            <w:hideMark/>
          </w:tcPr>
          <w:p w14:paraId="15F7061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156,481,113.00</w:t>
            </w:r>
          </w:p>
        </w:tc>
      </w:tr>
      <w:tr w:rsidR="00C6733C" w14:paraId="0AF7FEB9" w14:textId="77777777">
        <w:trPr>
          <w:trHeight w:val="510"/>
          <w:jc w:val="center"/>
        </w:trPr>
        <w:tc>
          <w:tcPr>
            <w:tcW w:w="5560" w:type="dxa"/>
            <w:tcBorders>
              <w:top w:val="nil"/>
              <w:left w:val="nil"/>
              <w:bottom w:val="nil"/>
              <w:right w:val="nil"/>
            </w:tcBorders>
            <w:shd w:val="clear" w:color="auto" w:fill="auto"/>
            <w:vAlign w:val="center"/>
            <w:hideMark/>
          </w:tcPr>
          <w:p w14:paraId="4A07016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Sierra Sur de Oaxaca</w:t>
            </w:r>
          </w:p>
        </w:tc>
        <w:tc>
          <w:tcPr>
            <w:tcW w:w="1900" w:type="dxa"/>
            <w:tcBorders>
              <w:top w:val="nil"/>
              <w:left w:val="nil"/>
              <w:bottom w:val="nil"/>
              <w:right w:val="nil"/>
            </w:tcBorders>
            <w:shd w:val="clear" w:color="auto" w:fill="auto"/>
            <w:noWrap/>
            <w:vAlign w:val="center"/>
            <w:hideMark/>
          </w:tcPr>
          <w:p w14:paraId="09CCA58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12,452,276.00</w:t>
            </w:r>
          </w:p>
        </w:tc>
      </w:tr>
      <w:tr w:rsidR="00C6733C" w14:paraId="43DB5A67" w14:textId="77777777">
        <w:trPr>
          <w:trHeight w:val="510"/>
          <w:jc w:val="center"/>
        </w:trPr>
        <w:tc>
          <w:tcPr>
            <w:tcW w:w="5560" w:type="dxa"/>
            <w:tcBorders>
              <w:top w:val="nil"/>
              <w:left w:val="nil"/>
              <w:bottom w:val="nil"/>
              <w:right w:val="nil"/>
            </w:tcBorders>
            <w:shd w:val="clear" w:color="auto" w:fill="auto"/>
            <w:vAlign w:val="center"/>
            <w:hideMark/>
          </w:tcPr>
          <w:p w14:paraId="66F3B34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los Valles Centrales de Oaxaca</w:t>
            </w:r>
          </w:p>
        </w:tc>
        <w:tc>
          <w:tcPr>
            <w:tcW w:w="1900" w:type="dxa"/>
            <w:tcBorders>
              <w:top w:val="nil"/>
              <w:left w:val="nil"/>
              <w:bottom w:val="nil"/>
              <w:right w:val="nil"/>
            </w:tcBorders>
            <w:shd w:val="clear" w:color="auto" w:fill="auto"/>
            <w:noWrap/>
            <w:vAlign w:val="center"/>
            <w:hideMark/>
          </w:tcPr>
          <w:p w14:paraId="2E31B43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38,196,444.00</w:t>
            </w:r>
          </w:p>
        </w:tc>
      </w:tr>
      <w:tr w:rsidR="00C6733C" w14:paraId="4954FC45" w14:textId="77777777">
        <w:trPr>
          <w:trHeight w:val="510"/>
          <w:jc w:val="center"/>
        </w:trPr>
        <w:tc>
          <w:tcPr>
            <w:tcW w:w="5560" w:type="dxa"/>
            <w:tcBorders>
              <w:top w:val="nil"/>
              <w:left w:val="nil"/>
              <w:bottom w:val="nil"/>
              <w:right w:val="nil"/>
            </w:tcBorders>
            <w:shd w:val="clear" w:color="auto" w:fill="auto"/>
            <w:noWrap/>
            <w:vAlign w:val="center"/>
            <w:hideMark/>
          </w:tcPr>
          <w:p w14:paraId="5127F2A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900" w:type="dxa"/>
            <w:tcBorders>
              <w:top w:val="nil"/>
              <w:left w:val="nil"/>
              <w:bottom w:val="nil"/>
              <w:right w:val="nil"/>
            </w:tcBorders>
            <w:shd w:val="clear" w:color="auto" w:fill="auto"/>
            <w:noWrap/>
            <w:vAlign w:val="center"/>
            <w:hideMark/>
          </w:tcPr>
          <w:p w14:paraId="04945386"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1,882,272,480.00</w:t>
            </w:r>
          </w:p>
        </w:tc>
      </w:tr>
    </w:tbl>
    <w:p w14:paraId="5C5EAC92" w14:textId="77777777" w:rsidR="00C6733C" w:rsidRDefault="00C6733C">
      <w:pPr>
        <w:pStyle w:val="Textoindependiente"/>
        <w:rPr>
          <w:sz w:val="22"/>
          <w:szCs w:val="22"/>
        </w:rPr>
      </w:pPr>
    </w:p>
    <w:p w14:paraId="370F3E26" w14:textId="77777777" w:rsidR="00C6733C" w:rsidRDefault="006D0638">
      <w:pPr>
        <w:widowControl/>
        <w:autoSpaceDE/>
        <w:autoSpaceDN/>
        <w:jc w:val="both"/>
        <w:rPr>
          <w:rFonts w:ascii="Arial" w:hAnsi="Arial" w:cs="Arial"/>
        </w:rPr>
      </w:pPr>
      <w:r>
        <w:rPr>
          <w:rFonts w:ascii="Arial" w:hAnsi="Arial" w:cs="Arial"/>
          <w:b/>
        </w:rPr>
        <w:t>Artículo 40.</w:t>
      </w:r>
      <w:r>
        <w:rPr>
          <w:rFonts w:ascii="Arial" w:hAnsi="Arial" w:cs="Arial"/>
        </w:rPr>
        <w:t xml:space="preserve"> Se asignarán recursos por un importe de $</w:t>
      </w:r>
      <w:r>
        <w:rPr>
          <w:rFonts w:ascii="Arial" w:eastAsia="Times New Roman" w:hAnsi="Arial" w:cs="Arial"/>
          <w:lang w:bidi="ar-SA"/>
        </w:rPr>
        <w:t xml:space="preserve">209,945,485.06 </w:t>
      </w:r>
      <w:r>
        <w:rPr>
          <w:rFonts w:ascii="Arial" w:hAnsi="Arial" w:cs="Arial"/>
        </w:rPr>
        <w:t>(</w:t>
      </w:r>
      <w:r>
        <w:rPr>
          <w:rFonts w:ascii="Arial" w:eastAsia="Times New Roman" w:hAnsi="Arial" w:cs="Arial"/>
          <w:color w:val="000000"/>
          <w:lang w:bidi="ar-SA"/>
        </w:rPr>
        <w:t>Doscientos nueve millones novecientos cuarenta y cinco mil cuatrocientos ochenta y cinco pesos 06</w:t>
      </w:r>
      <w:r>
        <w:rPr>
          <w:rFonts w:ascii="Arial" w:hAnsi="Arial" w:cs="Arial"/>
        </w:rPr>
        <w:t xml:space="preserve">/100 M.N.), para mitigar los efectos del cambio climático. </w:t>
      </w:r>
    </w:p>
    <w:p w14:paraId="5ECFFADD" w14:textId="77777777" w:rsidR="00C6733C" w:rsidRDefault="00C6733C">
      <w:pPr>
        <w:pStyle w:val="Textoindependiente"/>
        <w:jc w:val="both"/>
        <w:rPr>
          <w:sz w:val="22"/>
          <w:szCs w:val="22"/>
        </w:rPr>
      </w:pPr>
    </w:p>
    <w:p w14:paraId="6BD7DFED" w14:textId="77777777" w:rsidR="00C6733C" w:rsidRDefault="006D0638">
      <w:pPr>
        <w:widowControl/>
        <w:autoSpaceDE/>
        <w:autoSpaceDN/>
        <w:jc w:val="both"/>
        <w:rPr>
          <w:rFonts w:ascii="Arial" w:hAnsi="Arial" w:cs="Arial"/>
        </w:rPr>
      </w:pPr>
      <w:r>
        <w:rPr>
          <w:rFonts w:ascii="Arial" w:hAnsi="Arial" w:cs="Arial"/>
          <w:b/>
        </w:rPr>
        <w:t>Artículo 41.</w:t>
      </w:r>
      <w:r>
        <w:rPr>
          <w:rFonts w:ascii="Arial" w:hAnsi="Arial" w:cs="Arial"/>
        </w:rPr>
        <w:t xml:space="preserve"> El Ejecutivo del Estado, as</w:t>
      </w:r>
      <w:r>
        <w:rPr>
          <w:rFonts w:ascii="Arial" w:hAnsi="Arial" w:cs="Arial"/>
        </w:rPr>
        <w:t>ignará $</w:t>
      </w:r>
      <w:r>
        <w:rPr>
          <w:rFonts w:ascii="Arial" w:eastAsia="Times New Roman" w:hAnsi="Arial" w:cs="Arial"/>
          <w:lang w:bidi="ar-SA"/>
        </w:rPr>
        <w:t>650,000,000.00</w:t>
      </w:r>
      <w:r>
        <w:rPr>
          <w:rFonts w:ascii="Arial" w:hAnsi="Arial" w:cs="Arial"/>
        </w:rPr>
        <w:t xml:space="preserve"> (</w:t>
      </w:r>
      <w:r>
        <w:rPr>
          <w:rFonts w:ascii="Arial" w:eastAsia="Times New Roman" w:hAnsi="Arial" w:cs="Arial"/>
          <w:color w:val="000000"/>
          <w:lang w:bidi="ar-SA"/>
        </w:rPr>
        <w:t xml:space="preserve">Seiscientos cincuenta millones de pesos 00/100 </w:t>
      </w:r>
      <w:r>
        <w:rPr>
          <w:rFonts w:ascii="Arial" w:hAnsi="Arial" w:cs="Arial"/>
        </w:rPr>
        <w:t xml:space="preserve">M.N.), destinados a los Programas Sociales a que se refiere la Ley de Desarrollo Social para el Estado de Oaxaca. </w:t>
      </w:r>
    </w:p>
    <w:p w14:paraId="53B679AA" w14:textId="77777777" w:rsidR="00C6733C" w:rsidRDefault="00C6733C">
      <w:pPr>
        <w:pStyle w:val="Textoindependiente"/>
        <w:jc w:val="both"/>
        <w:rPr>
          <w:sz w:val="22"/>
          <w:szCs w:val="22"/>
        </w:rPr>
      </w:pPr>
    </w:p>
    <w:p w14:paraId="1A663E42" w14:textId="77777777" w:rsidR="00C6733C" w:rsidRDefault="006D0638">
      <w:pPr>
        <w:widowControl/>
        <w:autoSpaceDE/>
        <w:autoSpaceDN/>
        <w:jc w:val="both"/>
        <w:rPr>
          <w:rFonts w:ascii="Arial" w:hAnsi="Arial" w:cs="Arial"/>
        </w:rPr>
      </w:pPr>
      <w:r>
        <w:rPr>
          <w:rFonts w:ascii="Arial" w:hAnsi="Arial" w:cs="Arial"/>
          <w:b/>
        </w:rPr>
        <w:t>Artículo 42.</w:t>
      </w:r>
      <w:r>
        <w:rPr>
          <w:rFonts w:ascii="Arial" w:hAnsi="Arial" w:cs="Arial"/>
        </w:rPr>
        <w:t xml:space="preserve"> En cumplimiento con el Artículo 9 de la Ley de Disciplin</w:t>
      </w:r>
      <w:r>
        <w:rPr>
          <w:rFonts w:ascii="Arial" w:hAnsi="Arial" w:cs="Arial"/>
        </w:rPr>
        <w:t>a, se destina para el presente ejercicio fiscal la cantidad de $</w:t>
      </w:r>
      <w:r>
        <w:rPr>
          <w:rFonts w:ascii="Arial" w:eastAsia="Times New Roman" w:hAnsi="Arial" w:cs="Arial"/>
          <w:lang w:bidi="ar-SA"/>
        </w:rPr>
        <w:t xml:space="preserve">176,487,328.54 </w:t>
      </w:r>
      <w:r>
        <w:rPr>
          <w:rFonts w:ascii="Arial" w:hAnsi="Arial" w:cs="Arial"/>
        </w:rPr>
        <w:t>(</w:t>
      </w:r>
      <w:r>
        <w:rPr>
          <w:rFonts w:ascii="Arial" w:eastAsia="Times New Roman" w:hAnsi="Arial" w:cs="Arial"/>
          <w:color w:val="000000"/>
          <w:lang w:bidi="ar-SA"/>
        </w:rPr>
        <w:t xml:space="preserve">Ciento setenta y seis millones cuatrocientos ochenta y siete mil trescientos veintiocho pesos 54/100 </w:t>
      </w:r>
      <w:r>
        <w:rPr>
          <w:rFonts w:ascii="Arial" w:hAnsi="Arial" w:cs="Arial"/>
        </w:rPr>
        <w:t>M.N.).</w:t>
      </w:r>
    </w:p>
    <w:p w14:paraId="5F6F3919" w14:textId="77777777" w:rsidR="00C6733C" w:rsidRDefault="00C6733C">
      <w:pPr>
        <w:pStyle w:val="Textoindependiente"/>
        <w:jc w:val="both"/>
        <w:rPr>
          <w:sz w:val="22"/>
          <w:szCs w:val="22"/>
        </w:rPr>
      </w:pPr>
    </w:p>
    <w:p w14:paraId="48EE6D17" w14:textId="77777777" w:rsidR="00C6733C" w:rsidRDefault="006D0638">
      <w:pPr>
        <w:pStyle w:val="Textoindependiente"/>
        <w:jc w:val="both"/>
        <w:rPr>
          <w:sz w:val="22"/>
          <w:szCs w:val="22"/>
        </w:rPr>
      </w:pPr>
      <w:r>
        <w:rPr>
          <w:b/>
          <w:sz w:val="22"/>
          <w:szCs w:val="22"/>
        </w:rPr>
        <w:t>Artículo 43.</w:t>
      </w:r>
      <w:r>
        <w:rPr>
          <w:sz w:val="22"/>
          <w:szCs w:val="22"/>
        </w:rPr>
        <w:t xml:space="preserve"> El Presupuesto de Egresos atendiendo la fuente de fina</w:t>
      </w:r>
      <w:r>
        <w:rPr>
          <w:sz w:val="22"/>
          <w:szCs w:val="22"/>
        </w:rPr>
        <w:t>nciamiento por programas orientados a resultados se encuentra en el Anexo 4.</w:t>
      </w:r>
    </w:p>
    <w:p w14:paraId="7DDBF29A" w14:textId="77777777" w:rsidR="00C6733C" w:rsidRDefault="00C6733C">
      <w:pPr>
        <w:pStyle w:val="Textoindependiente"/>
        <w:jc w:val="both"/>
        <w:rPr>
          <w:sz w:val="22"/>
          <w:szCs w:val="22"/>
        </w:rPr>
      </w:pPr>
    </w:p>
    <w:p w14:paraId="79F709AF" w14:textId="77777777" w:rsidR="00C6733C" w:rsidRDefault="006D0638">
      <w:pPr>
        <w:pStyle w:val="Ttulo1"/>
        <w:ind w:left="0" w:right="-29"/>
        <w:rPr>
          <w:sz w:val="22"/>
          <w:szCs w:val="22"/>
        </w:rPr>
      </w:pPr>
      <w:r>
        <w:rPr>
          <w:sz w:val="22"/>
          <w:szCs w:val="22"/>
        </w:rPr>
        <w:t>Capítulo Primero</w:t>
      </w:r>
    </w:p>
    <w:p w14:paraId="153B75A3" w14:textId="77777777" w:rsidR="00C6733C" w:rsidRDefault="006D0638">
      <w:pPr>
        <w:ind w:right="-29"/>
        <w:jc w:val="center"/>
        <w:rPr>
          <w:rFonts w:ascii="Arial" w:hAnsi="Arial" w:cs="Arial"/>
          <w:b/>
        </w:rPr>
      </w:pPr>
      <w:r>
        <w:rPr>
          <w:rFonts w:ascii="Arial" w:hAnsi="Arial" w:cs="Arial"/>
          <w:b/>
        </w:rPr>
        <w:t>Compromisos de Pago y Obligaciones Plurianuales</w:t>
      </w:r>
    </w:p>
    <w:p w14:paraId="251CB9D2" w14:textId="77777777" w:rsidR="00C6733C" w:rsidRDefault="00C6733C">
      <w:pPr>
        <w:pStyle w:val="Textoindependiente"/>
        <w:rPr>
          <w:b/>
          <w:sz w:val="22"/>
          <w:szCs w:val="22"/>
        </w:rPr>
      </w:pPr>
    </w:p>
    <w:p w14:paraId="5A116B54" w14:textId="77777777" w:rsidR="00C6733C" w:rsidRDefault="006D0638">
      <w:pPr>
        <w:widowControl/>
        <w:autoSpaceDE/>
        <w:autoSpaceDN/>
        <w:jc w:val="both"/>
        <w:rPr>
          <w:rFonts w:ascii="Arial" w:hAnsi="Arial" w:cs="Arial"/>
        </w:rPr>
      </w:pPr>
      <w:r>
        <w:rPr>
          <w:rFonts w:ascii="Arial" w:hAnsi="Arial" w:cs="Arial"/>
          <w:b/>
        </w:rPr>
        <w:t>Artículo 44</w:t>
      </w:r>
      <w:r>
        <w:rPr>
          <w:rFonts w:ascii="Arial" w:hAnsi="Arial" w:cs="Arial"/>
        </w:rPr>
        <w:t>. El presupuesto asignado para cumplir las obligaciones de pago asciende a: $425,169,529.22 (Cuatroci</w:t>
      </w:r>
      <w:r>
        <w:rPr>
          <w:rFonts w:ascii="Arial" w:hAnsi="Arial" w:cs="Arial"/>
        </w:rPr>
        <w:t xml:space="preserve">entos veinticinco millones ciento sesenta y nueve mil quinientos veintinueve pesos 22/100 M.N.), para la atención de los siguientes compromisos: </w:t>
      </w:r>
    </w:p>
    <w:p w14:paraId="694F5EA3" w14:textId="77777777" w:rsidR="00C6733C" w:rsidRDefault="00C6733C">
      <w:pPr>
        <w:widowControl/>
        <w:autoSpaceDE/>
        <w:autoSpaceDN/>
        <w:jc w:val="both"/>
        <w:rPr>
          <w:rFonts w:ascii="Arial" w:hAnsi="Arial" w:cs="Arial"/>
        </w:rPr>
      </w:pPr>
    </w:p>
    <w:p w14:paraId="24EE8D5A" w14:textId="77777777" w:rsidR="00C6733C" w:rsidRDefault="006D0638">
      <w:pPr>
        <w:pStyle w:val="Textoindependiente"/>
        <w:numPr>
          <w:ilvl w:val="0"/>
          <w:numId w:val="19"/>
        </w:numPr>
        <w:jc w:val="both"/>
        <w:rPr>
          <w:sz w:val="22"/>
          <w:szCs w:val="22"/>
        </w:rPr>
      </w:pPr>
      <w:r>
        <w:rPr>
          <w:sz w:val="22"/>
          <w:szCs w:val="22"/>
        </w:rPr>
        <w:t xml:space="preserve">Para cubrir los intereses ordinarios de las obligaciones de pago derivadas para apoyar la Implementación del </w:t>
      </w:r>
      <w:r>
        <w:rPr>
          <w:sz w:val="22"/>
          <w:szCs w:val="22"/>
        </w:rPr>
        <w:t>Sistema de Justicia Penal en la Entidad, autorizados en el Decreto Número 670, expedido por el Congreso del Estado, publicado el 27 de diciembre de 2014, en el Periódico Oficial del Estado, se destinará la cantidad de $39,432,191.00 (Treinta y nueve millon</w:t>
      </w:r>
      <w:r>
        <w:rPr>
          <w:sz w:val="22"/>
          <w:szCs w:val="22"/>
        </w:rPr>
        <w:t xml:space="preserve">es cuatrocientos treinta y dos mil ciento noventa y un pesos 00/100 M.N.). </w:t>
      </w:r>
    </w:p>
    <w:p w14:paraId="6EB16C04" w14:textId="77777777" w:rsidR="00C6733C" w:rsidRDefault="00C6733C">
      <w:pPr>
        <w:pStyle w:val="Textoindependiente"/>
        <w:ind w:left="567" w:hanging="283"/>
        <w:jc w:val="both"/>
        <w:rPr>
          <w:sz w:val="22"/>
          <w:szCs w:val="22"/>
          <w:highlight w:val="yellow"/>
        </w:rPr>
      </w:pPr>
    </w:p>
    <w:p w14:paraId="2789C9BE" w14:textId="77777777" w:rsidR="00C6733C" w:rsidRDefault="006D0638">
      <w:pPr>
        <w:pStyle w:val="Textoindependiente"/>
        <w:numPr>
          <w:ilvl w:val="0"/>
          <w:numId w:val="19"/>
        </w:numPr>
        <w:jc w:val="both"/>
        <w:rPr>
          <w:sz w:val="22"/>
          <w:szCs w:val="22"/>
        </w:rPr>
      </w:pPr>
      <w:r>
        <w:rPr>
          <w:sz w:val="22"/>
          <w:szCs w:val="22"/>
        </w:rPr>
        <w:t>Para cubrir los intereses ordinarios de las obligaciones de pago derivadas del Fondo de Reconstrucción de Entidades Federativas, autorizados en el Decreto Número 723, expedido por el Congreso del Estado, publicado el 2 de octubre de 2017, en el Periódico O</w:t>
      </w:r>
      <w:r>
        <w:rPr>
          <w:sz w:val="22"/>
          <w:szCs w:val="22"/>
        </w:rPr>
        <w:t xml:space="preserve">ficial del Estado, se destinará la cantidad de $99,142,410.00 (Noventa y nueve millones ciento cuarenta y dos mil cuatrocientos diez pesos 00/100 M.N.). </w:t>
      </w:r>
    </w:p>
    <w:p w14:paraId="6C0D5443" w14:textId="77777777" w:rsidR="00C6733C" w:rsidRDefault="00C6733C">
      <w:pPr>
        <w:pStyle w:val="Textoindependiente"/>
        <w:ind w:left="567" w:hanging="283"/>
        <w:jc w:val="both"/>
        <w:rPr>
          <w:sz w:val="22"/>
          <w:szCs w:val="22"/>
        </w:rPr>
      </w:pPr>
    </w:p>
    <w:p w14:paraId="5666912A" w14:textId="77777777" w:rsidR="00C6733C" w:rsidRDefault="006D0638">
      <w:pPr>
        <w:pStyle w:val="Textoindependiente"/>
        <w:numPr>
          <w:ilvl w:val="0"/>
          <w:numId w:val="19"/>
        </w:numPr>
        <w:jc w:val="both"/>
        <w:rPr>
          <w:sz w:val="22"/>
          <w:szCs w:val="22"/>
        </w:rPr>
      </w:pPr>
      <w:r>
        <w:rPr>
          <w:sz w:val="22"/>
          <w:szCs w:val="22"/>
        </w:rPr>
        <w:t xml:space="preserve">Para la contratación plurianual de la adquisición de licencias de conducir, autorizado </w:t>
      </w:r>
      <w:r>
        <w:rPr>
          <w:sz w:val="22"/>
          <w:szCs w:val="22"/>
        </w:rPr>
        <w:t>mediante dictamen presupuestario expedido por la Secretaría de Finanzas el 27 de noviembre de 2017. Se destinará la cantidad de $57,968,424.80 (Cincuenta y siete millones novecientos sesenta y ocho mil cuatrocientos veinticuatro pesos 80/100 M.N.).</w:t>
      </w:r>
    </w:p>
    <w:p w14:paraId="37DBD7CB" w14:textId="77777777" w:rsidR="00C6733C" w:rsidRDefault="00C6733C">
      <w:pPr>
        <w:pStyle w:val="Textoindependiente"/>
        <w:ind w:left="567" w:hanging="283"/>
        <w:jc w:val="both"/>
        <w:rPr>
          <w:sz w:val="22"/>
          <w:szCs w:val="22"/>
        </w:rPr>
      </w:pPr>
    </w:p>
    <w:p w14:paraId="07F250EE" w14:textId="77777777" w:rsidR="00C6733C" w:rsidRDefault="006D0638">
      <w:pPr>
        <w:pStyle w:val="Textoindependiente"/>
        <w:numPr>
          <w:ilvl w:val="0"/>
          <w:numId w:val="19"/>
        </w:numPr>
        <w:jc w:val="both"/>
        <w:rPr>
          <w:sz w:val="22"/>
          <w:szCs w:val="22"/>
        </w:rPr>
      </w:pPr>
      <w:r>
        <w:rPr>
          <w:sz w:val="22"/>
          <w:szCs w:val="22"/>
        </w:rPr>
        <w:t>Para l</w:t>
      </w:r>
      <w:r>
        <w:rPr>
          <w:sz w:val="22"/>
          <w:szCs w:val="22"/>
        </w:rPr>
        <w:t>a adquisición de placas de circulación y calcomanías de identificación vehicular, autorizado mediante dictamen presupuestario expedido por la Secretaría de Finanzas el 28 de noviembre del 2017. Se destinará la cantidad de $32,611,660.00 (Treinta y dos mill</w:t>
      </w:r>
      <w:r>
        <w:rPr>
          <w:sz w:val="22"/>
          <w:szCs w:val="22"/>
        </w:rPr>
        <w:t xml:space="preserve">ones seiscientos once mil seiscientos sesenta pesos 00/100 M.N.). </w:t>
      </w:r>
    </w:p>
    <w:p w14:paraId="76176731" w14:textId="77777777" w:rsidR="00C6733C" w:rsidRDefault="00C6733C">
      <w:pPr>
        <w:pStyle w:val="Textoindependiente"/>
        <w:ind w:left="567" w:hanging="283"/>
        <w:jc w:val="both"/>
        <w:rPr>
          <w:sz w:val="22"/>
          <w:szCs w:val="22"/>
        </w:rPr>
      </w:pPr>
    </w:p>
    <w:p w14:paraId="7ADEAD7F" w14:textId="77777777" w:rsidR="00C6733C" w:rsidRDefault="006D0638">
      <w:pPr>
        <w:pStyle w:val="Textoindependiente"/>
        <w:numPr>
          <w:ilvl w:val="0"/>
          <w:numId w:val="19"/>
        </w:numPr>
        <w:jc w:val="both"/>
        <w:rPr>
          <w:sz w:val="22"/>
          <w:szCs w:val="22"/>
        </w:rPr>
      </w:pPr>
      <w:r>
        <w:rPr>
          <w:sz w:val="22"/>
          <w:szCs w:val="22"/>
        </w:rPr>
        <w:t>Para la contratación plurianual de los servicios de consultoría para el apoyo técnico, legal y financiero, gestoría especializada de organismos operadores un agente verificador independien</w:t>
      </w:r>
      <w:r>
        <w:rPr>
          <w:sz w:val="22"/>
          <w:szCs w:val="22"/>
        </w:rPr>
        <w:t>te y asesoría legal para el programa “Más Oaxaca”, autorizado mediante dictamen presupuestario expedido por la Secretaría de Finanzas el 20 de febrero de 2018. Se destinará la cantidad de $48,095,296.59 (Cuarenta y ocho millones noventa y cinco mil doscien</w:t>
      </w:r>
      <w:r>
        <w:rPr>
          <w:sz w:val="22"/>
          <w:szCs w:val="22"/>
        </w:rPr>
        <w:t>tos noventa y seis pesos 59/100 M.N.).</w:t>
      </w:r>
    </w:p>
    <w:p w14:paraId="4BB2D427" w14:textId="77777777" w:rsidR="00C6733C" w:rsidRDefault="00C6733C">
      <w:pPr>
        <w:pStyle w:val="Textoindependiente"/>
        <w:ind w:left="567" w:hanging="283"/>
        <w:jc w:val="both"/>
        <w:rPr>
          <w:sz w:val="22"/>
          <w:szCs w:val="22"/>
        </w:rPr>
      </w:pPr>
    </w:p>
    <w:p w14:paraId="2681AF1E" w14:textId="77777777" w:rsidR="00C6733C" w:rsidRDefault="006D0638">
      <w:pPr>
        <w:pStyle w:val="Textoindependiente"/>
        <w:numPr>
          <w:ilvl w:val="0"/>
          <w:numId w:val="19"/>
        </w:numPr>
        <w:jc w:val="both"/>
        <w:rPr>
          <w:sz w:val="22"/>
          <w:szCs w:val="22"/>
        </w:rPr>
      </w:pPr>
      <w:r>
        <w:rPr>
          <w:sz w:val="22"/>
          <w:szCs w:val="22"/>
        </w:rPr>
        <w:t>Para arrendamiento de equipo de transporte, autorizado mediante dictamen presupuestario expedido por la Secretaría de Finanzas el 8 de junio de 2018. Se destinará la cantidad de $90,000,000.00 (Noventa millones de pe</w:t>
      </w:r>
      <w:r>
        <w:rPr>
          <w:sz w:val="22"/>
          <w:szCs w:val="22"/>
        </w:rPr>
        <w:t>sos 00/100 M.N.).</w:t>
      </w:r>
    </w:p>
    <w:p w14:paraId="5827C84C" w14:textId="77777777" w:rsidR="00C6733C" w:rsidRDefault="00C6733C">
      <w:pPr>
        <w:pStyle w:val="Textoindependiente"/>
        <w:ind w:left="567" w:hanging="283"/>
        <w:jc w:val="both"/>
        <w:rPr>
          <w:sz w:val="22"/>
          <w:szCs w:val="22"/>
        </w:rPr>
      </w:pPr>
    </w:p>
    <w:p w14:paraId="093BE082" w14:textId="77777777" w:rsidR="00C6733C" w:rsidRDefault="006D0638">
      <w:pPr>
        <w:pStyle w:val="Textoindependiente"/>
        <w:numPr>
          <w:ilvl w:val="0"/>
          <w:numId w:val="19"/>
        </w:numPr>
        <w:jc w:val="both"/>
        <w:rPr>
          <w:sz w:val="22"/>
          <w:szCs w:val="22"/>
        </w:rPr>
      </w:pPr>
      <w:r>
        <w:rPr>
          <w:sz w:val="22"/>
          <w:szCs w:val="22"/>
        </w:rPr>
        <w:t>Para la contratación plurianual del contrato de prestación de servicios de provisión de capacidad satelital a través de Satélites Mexicanos (SATMEX), autorizado mediante dictamen presupuestario expedido por la Secretaría de Finanzas el 1</w:t>
      </w:r>
      <w:r>
        <w:rPr>
          <w:sz w:val="22"/>
          <w:szCs w:val="22"/>
        </w:rPr>
        <w:t>3 de septiembre de 2018. Se destinará la cantidad de $3,062,400.00 (Tres millones sesenta y dos mil cuatrocientos pesos 00/100 M.N.).</w:t>
      </w:r>
    </w:p>
    <w:p w14:paraId="592086FC" w14:textId="77777777" w:rsidR="00C6733C" w:rsidRDefault="00C6733C">
      <w:pPr>
        <w:pStyle w:val="Textoindependiente"/>
        <w:ind w:left="567" w:hanging="283"/>
        <w:jc w:val="both"/>
        <w:rPr>
          <w:sz w:val="22"/>
          <w:szCs w:val="22"/>
        </w:rPr>
      </w:pPr>
    </w:p>
    <w:p w14:paraId="4FE74E62" w14:textId="77777777" w:rsidR="00C6733C" w:rsidRDefault="006D0638">
      <w:pPr>
        <w:pStyle w:val="Textoindependiente"/>
        <w:numPr>
          <w:ilvl w:val="0"/>
          <w:numId w:val="19"/>
        </w:numPr>
        <w:jc w:val="both"/>
        <w:rPr>
          <w:sz w:val="20"/>
          <w:szCs w:val="22"/>
        </w:rPr>
      </w:pPr>
      <w:r>
        <w:rPr>
          <w:sz w:val="22"/>
        </w:rPr>
        <w:t>Para la contratación plurianual del proyecto denominado Servicio Integral para la Modernización del Registro Civil del Es</w:t>
      </w:r>
      <w:r>
        <w:rPr>
          <w:sz w:val="22"/>
        </w:rPr>
        <w:t>tado de Oaxaca. Se destinará $54,857,142.86 (Cincuenta y cuatro millones ochocientos cincuenta y siete mil ciento cuarenta y dos pesos 86/100 M.N.).</w:t>
      </w:r>
    </w:p>
    <w:p w14:paraId="77B6E176" w14:textId="77777777" w:rsidR="00C6733C" w:rsidRDefault="00C6733C">
      <w:pPr>
        <w:pStyle w:val="Textoindependiente"/>
        <w:jc w:val="both"/>
        <w:rPr>
          <w:sz w:val="22"/>
          <w:szCs w:val="22"/>
        </w:rPr>
      </w:pPr>
    </w:p>
    <w:p w14:paraId="3DF4603B" w14:textId="77777777" w:rsidR="00C6733C" w:rsidRDefault="006D0638">
      <w:pPr>
        <w:pStyle w:val="Ttulo1"/>
        <w:ind w:left="0" w:right="-29"/>
        <w:rPr>
          <w:sz w:val="22"/>
          <w:szCs w:val="22"/>
        </w:rPr>
      </w:pPr>
      <w:r>
        <w:rPr>
          <w:sz w:val="22"/>
          <w:szCs w:val="22"/>
        </w:rPr>
        <w:t>Título Tercero</w:t>
      </w:r>
    </w:p>
    <w:p w14:paraId="631C94B8" w14:textId="77777777" w:rsidR="00C6733C" w:rsidRDefault="006D0638">
      <w:pPr>
        <w:pStyle w:val="Ttulo1"/>
        <w:ind w:left="0" w:right="-29"/>
        <w:rPr>
          <w:sz w:val="22"/>
          <w:szCs w:val="22"/>
        </w:rPr>
      </w:pPr>
      <w:r>
        <w:rPr>
          <w:sz w:val="22"/>
          <w:szCs w:val="22"/>
        </w:rPr>
        <w:t>Clasificaciones del Gasto</w:t>
      </w:r>
    </w:p>
    <w:p w14:paraId="5A823627" w14:textId="77777777" w:rsidR="00C6733C" w:rsidRDefault="00C6733C">
      <w:pPr>
        <w:pStyle w:val="Textoindependiente"/>
        <w:rPr>
          <w:b/>
          <w:sz w:val="22"/>
          <w:szCs w:val="22"/>
        </w:rPr>
      </w:pPr>
    </w:p>
    <w:p w14:paraId="506451CE" w14:textId="77777777" w:rsidR="00C6733C" w:rsidRDefault="006D0638">
      <w:pPr>
        <w:pStyle w:val="Textoindependiente"/>
        <w:jc w:val="both"/>
        <w:rPr>
          <w:b/>
          <w:sz w:val="22"/>
          <w:szCs w:val="22"/>
        </w:rPr>
      </w:pPr>
      <w:r>
        <w:rPr>
          <w:b/>
          <w:sz w:val="22"/>
          <w:szCs w:val="22"/>
        </w:rPr>
        <w:t xml:space="preserve">Artículo 45. </w:t>
      </w:r>
      <w:r>
        <w:rPr>
          <w:sz w:val="22"/>
          <w:szCs w:val="22"/>
        </w:rPr>
        <w:t>El Presupuesto de Egresos tendrá la siguiente confo</w:t>
      </w:r>
      <w:r>
        <w:rPr>
          <w:sz w:val="22"/>
          <w:szCs w:val="22"/>
        </w:rPr>
        <w:t>rmación, atendiendo a la Clasificación Administrativa:</w:t>
      </w:r>
    </w:p>
    <w:p w14:paraId="33A32B4C" w14:textId="77777777" w:rsidR="00C6733C" w:rsidRDefault="00C6733C">
      <w:pPr>
        <w:pStyle w:val="Textoindependiente"/>
        <w:rPr>
          <w:sz w:val="22"/>
          <w:szCs w:val="22"/>
        </w:rPr>
      </w:pPr>
    </w:p>
    <w:tbl>
      <w:tblPr>
        <w:tblW w:w="8680" w:type="dxa"/>
        <w:jc w:val="center"/>
        <w:tblCellMar>
          <w:left w:w="70" w:type="dxa"/>
          <w:right w:w="70" w:type="dxa"/>
        </w:tblCellMar>
        <w:tblLook w:val="04A0" w:firstRow="1" w:lastRow="0" w:firstColumn="1" w:lastColumn="0" w:noHBand="0" w:noVBand="1"/>
      </w:tblPr>
      <w:tblGrid>
        <w:gridCol w:w="6640"/>
        <w:gridCol w:w="2040"/>
      </w:tblGrid>
      <w:tr w:rsidR="00C6733C" w14:paraId="6EBE9F2F" w14:textId="77777777">
        <w:trPr>
          <w:trHeight w:val="630"/>
          <w:jc w:val="center"/>
        </w:trPr>
        <w:tc>
          <w:tcPr>
            <w:tcW w:w="6640" w:type="dxa"/>
            <w:tcBorders>
              <w:top w:val="nil"/>
              <w:left w:val="nil"/>
              <w:bottom w:val="nil"/>
              <w:right w:val="nil"/>
            </w:tcBorders>
            <w:shd w:val="clear" w:color="auto" w:fill="auto"/>
            <w:vAlign w:val="center"/>
            <w:hideMark/>
          </w:tcPr>
          <w:p w14:paraId="15C0C5D3" w14:textId="77777777" w:rsidR="00C6733C" w:rsidRDefault="00C6733C">
            <w:pPr>
              <w:widowControl/>
              <w:autoSpaceDE/>
              <w:autoSpaceDN/>
              <w:rPr>
                <w:rFonts w:ascii="Arial" w:eastAsia="Times New Roman" w:hAnsi="Arial" w:cs="Arial"/>
                <w:sz w:val="24"/>
                <w:szCs w:val="24"/>
                <w:lang w:bidi="ar-SA"/>
              </w:rPr>
            </w:pPr>
          </w:p>
        </w:tc>
        <w:tc>
          <w:tcPr>
            <w:tcW w:w="2040" w:type="dxa"/>
            <w:tcBorders>
              <w:top w:val="nil"/>
              <w:left w:val="nil"/>
              <w:bottom w:val="nil"/>
              <w:right w:val="nil"/>
            </w:tcBorders>
            <w:shd w:val="clear" w:color="auto" w:fill="auto"/>
            <w:noWrap/>
            <w:vAlign w:val="center"/>
            <w:hideMark/>
          </w:tcPr>
          <w:p w14:paraId="1F71E082"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43595177" w14:textId="77777777">
        <w:trPr>
          <w:trHeight w:val="630"/>
          <w:jc w:val="center"/>
        </w:trPr>
        <w:tc>
          <w:tcPr>
            <w:tcW w:w="6640" w:type="dxa"/>
            <w:tcBorders>
              <w:top w:val="nil"/>
              <w:left w:val="nil"/>
              <w:bottom w:val="nil"/>
              <w:right w:val="nil"/>
            </w:tcBorders>
            <w:shd w:val="clear" w:color="auto" w:fill="auto"/>
            <w:vAlign w:val="center"/>
            <w:hideMark/>
          </w:tcPr>
          <w:p w14:paraId="21EDC49D"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Administración Pública Centralizada</w:t>
            </w:r>
          </w:p>
        </w:tc>
        <w:tc>
          <w:tcPr>
            <w:tcW w:w="2040" w:type="dxa"/>
            <w:tcBorders>
              <w:top w:val="nil"/>
              <w:left w:val="nil"/>
              <w:bottom w:val="nil"/>
              <w:right w:val="nil"/>
            </w:tcBorders>
            <w:shd w:val="clear" w:color="auto" w:fill="auto"/>
            <w:noWrap/>
            <w:vAlign w:val="center"/>
            <w:hideMark/>
          </w:tcPr>
          <w:p w14:paraId="399C7C4C"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19,402,139,215.05</w:t>
            </w:r>
          </w:p>
        </w:tc>
      </w:tr>
      <w:tr w:rsidR="00C6733C" w14:paraId="36FC088B" w14:textId="77777777">
        <w:trPr>
          <w:trHeight w:val="630"/>
          <w:jc w:val="center"/>
        </w:trPr>
        <w:tc>
          <w:tcPr>
            <w:tcW w:w="6640" w:type="dxa"/>
            <w:tcBorders>
              <w:top w:val="nil"/>
              <w:left w:val="nil"/>
              <w:bottom w:val="nil"/>
              <w:right w:val="nil"/>
            </w:tcBorders>
            <w:shd w:val="clear" w:color="auto" w:fill="auto"/>
            <w:vAlign w:val="center"/>
            <w:hideMark/>
          </w:tcPr>
          <w:p w14:paraId="5497249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Gubernatura</w:t>
            </w:r>
          </w:p>
        </w:tc>
        <w:tc>
          <w:tcPr>
            <w:tcW w:w="2040" w:type="dxa"/>
            <w:tcBorders>
              <w:top w:val="nil"/>
              <w:left w:val="nil"/>
              <w:bottom w:val="nil"/>
              <w:right w:val="nil"/>
            </w:tcBorders>
            <w:shd w:val="clear" w:color="auto" w:fill="auto"/>
            <w:noWrap/>
            <w:vAlign w:val="center"/>
            <w:hideMark/>
          </w:tcPr>
          <w:p w14:paraId="4564617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173,460,692.97</w:t>
            </w:r>
          </w:p>
        </w:tc>
      </w:tr>
      <w:tr w:rsidR="00C6733C" w14:paraId="09A3F515" w14:textId="77777777">
        <w:trPr>
          <w:trHeight w:val="630"/>
          <w:jc w:val="center"/>
        </w:trPr>
        <w:tc>
          <w:tcPr>
            <w:tcW w:w="6640" w:type="dxa"/>
            <w:tcBorders>
              <w:top w:val="nil"/>
              <w:left w:val="nil"/>
              <w:bottom w:val="nil"/>
              <w:right w:val="nil"/>
            </w:tcBorders>
            <w:shd w:val="clear" w:color="auto" w:fill="auto"/>
            <w:vAlign w:val="center"/>
            <w:hideMark/>
          </w:tcPr>
          <w:p w14:paraId="7DE08F1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General de Gobierno</w:t>
            </w:r>
          </w:p>
        </w:tc>
        <w:tc>
          <w:tcPr>
            <w:tcW w:w="2040" w:type="dxa"/>
            <w:tcBorders>
              <w:top w:val="nil"/>
              <w:left w:val="nil"/>
              <w:bottom w:val="nil"/>
              <w:right w:val="nil"/>
            </w:tcBorders>
            <w:shd w:val="clear" w:color="auto" w:fill="auto"/>
            <w:noWrap/>
            <w:vAlign w:val="center"/>
            <w:hideMark/>
          </w:tcPr>
          <w:p w14:paraId="2ADD5F7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337,574,376.00</w:t>
            </w:r>
          </w:p>
        </w:tc>
      </w:tr>
      <w:tr w:rsidR="00C6733C" w14:paraId="6DAF40F9" w14:textId="77777777">
        <w:trPr>
          <w:trHeight w:val="630"/>
          <w:jc w:val="center"/>
        </w:trPr>
        <w:tc>
          <w:tcPr>
            <w:tcW w:w="6640" w:type="dxa"/>
            <w:tcBorders>
              <w:top w:val="nil"/>
              <w:left w:val="nil"/>
              <w:bottom w:val="nil"/>
              <w:right w:val="nil"/>
            </w:tcBorders>
            <w:shd w:val="clear" w:color="auto" w:fill="auto"/>
            <w:vAlign w:val="center"/>
            <w:hideMark/>
          </w:tcPr>
          <w:p w14:paraId="71FDD77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Seguridad Pública</w:t>
            </w:r>
          </w:p>
        </w:tc>
        <w:tc>
          <w:tcPr>
            <w:tcW w:w="2040" w:type="dxa"/>
            <w:tcBorders>
              <w:top w:val="nil"/>
              <w:left w:val="nil"/>
              <w:bottom w:val="nil"/>
              <w:right w:val="nil"/>
            </w:tcBorders>
            <w:shd w:val="clear" w:color="auto" w:fill="auto"/>
            <w:noWrap/>
            <w:vAlign w:val="center"/>
            <w:hideMark/>
          </w:tcPr>
          <w:p w14:paraId="3240740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1,475,747,476.80</w:t>
            </w:r>
          </w:p>
        </w:tc>
      </w:tr>
      <w:tr w:rsidR="00C6733C" w14:paraId="083B9E4C" w14:textId="77777777">
        <w:trPr>
          <w:trHeight w:val="630"/>
          <w:jc w:val="center"/>
        </w:trPr>
        <w:tc>
          <w:tcPr>
            <w:tcW w:w="6640" w:type="dxa"/>
            <w:tcBorders>
              <w:top w:val="nil"/>
              <w:left w:val="nil"/>
              <w:bottom w:val="nil"/>
              <w:right w:val="nil"/>
            </w:tcBorders>
            <w:shd w:val="clear" w:color="auto" w:fill="auto"/>
            <w:vAlign w:val="center"/>
            <w:hideMark/>
          </w:tcPr>
          <w:p w14:paraId="775C7EE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las Infraestructuras y el Ordenamiento Territorial Sustentable</w:t>
            </w:r>
          </w:p>
        </w:tc>
        <w:tc>
          <w:tcPr>
            <w:tcW w:w="2040" w:type="dxa"/>
            <w:tcBorders>
              <w:top w:val="nil"/>
              <w:left w:val="nil"/>
              <w:bottom w:val="nil"/>
              <w:right w:val="nil"/>
            </w:tcBorders>
            <w:shd w:val="clear" w:color="auto" w:fill="auto"/>
            <w:noWrap/>
            <w:vAlign w:val="center"/>
            <w:hideMark/>
          </w:tcPr>
          <w:p w14:paraId="327D33D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267,769,361.86</w:t>
            </w:r>
          </w:p>
        </w:tc>
      </w:tr>
      <w:tr w:rsidR="00C6733C" w14:paraId="1E0A0BA7" w14:textId="77777777">
        <w:trPr>
          <w:trHeight w:val="630"/>
          <w:jc w:val="center"/>
        </w:trPr>
        <w:tc>
          <w:tcPr>
            <w:tcW w:w="6640" w:type="dxa"/>
            <w:tcBorders>
              <w:top w:val="nil"/>
              <w:left w:val="nil"/>
              <w:bottom w:val="nil"/>
              <w:right w:val="nil"/>
            </w:tcBorders>
            <w:shd w:val="clear" w:color="auto" w:fill="auto"/>
            <w:vAlign w:val="center"/>
            <w:hideMark/>
          </w:tcPr>
          <w:p w14:paraId="72348A7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Movilidad</w:t>
            </w:r>
          </w:p>
        </w:tc>
        <w:tc>
          <w:tcPr>
            <w:tcW w:w="2040" w:type="dxa"/>
            <w:tcBorders>
              <w:top w:val="nil"/>
              <w:left w:val="nil"/>
              <w:bottom w:val="nil"/>
              <w:right w:val="nil"/>
            </w:tcBorders>
            <w:shd w:val="clear" w:color="auto" w:fill="auto"/>
            <w:noWrap/>
            <w:vAlign w:val="center"/>
            <w:hideMark/>
          </w:tcPr>
          <w:p w14:paraId="64B20F8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244,799,824.43</w:t>
            </w:r>
          </w:p>
        </w:tc>
      </w:tr>
      <w:tr w:rsidR="00C6733C" w14:paraId="619102D4" w14:textId="77777777">
        <w:trPr>
          <w:trHeight w:val="630"/>
          <w:jc w:val="center"/>
        </w:trPr>
        <w:tc>
          <w:tcPr>
            <w:tcW w:w="6640" w:type="dxa"/>
            <w:tcBorders>
              <w:top w:val="nil"/>
              <w:left w:val="nil"/>
              <w:bottom w:val="nil"/>
              <w:right w:val="nil"/>
            </w:tcBorders>
            <w:shd w:val="clear" w:color="auto" w:fill="auto"/>
            <w:vAlign w:val="center"/>
            <w:hideMark/>
          </w:tcPr>
          <w:p w14:paraId="026DD13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las Culturas y Artes de Oaxaca</w:t>
            </w:r>
          </w:p>
        </w:tc>
        <w:tc>
          <w:tcPr>
            <w:tcW w:w="2040" w:type="dxa"/>
            <w:tcBorders>
              <w:top w:val="nil"/>
              <w:left w:val="nil"/>
              <w:bottom w:val="nil"/>
              <w:right w:val="nil"/>
            </w:tcBorders>
            <w:shd w:val="clear" w:color="auto" w:fill="auto"/>
            <w:noWrap/>
            <w:vAlign w:val="center"/>
            <w:hideMark/>
          </w:tcPr>
          <w:p w14:paraId="49FF489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181,748,392.26</w:t>
            </w:r>
          </w:p>
        </w:tc>
      </w:tr>
      <w:tr w:rsidR="00C6733C" w14:paraId="73B869A8" w14:textId="77777777">
        <w:trPr>
          <w:trHeight w:val="630"/>
          <w:jc w:val="center"/>
        </w:trPr>
        <w:tc>
          <w:tcPr>
            <w:tcW w:w="6640" w:type="dxa"/>
            <w:tcBorders>
              <w:top w:val="nil"/>
              <w:left w:val="nil"/>
              <w:bottom w:val="nil"/>
              <w:right w:val="nil"/>
            </w:tcBorders>
            <w:shd w:val="clear" w:color="auto" w:fill="auto"/>
            <w:vAlign w:val="center"/>
            <w:hideMark/>
          </w:tcPr>
          <w:p w14:paraId="1326696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Secretaría de Desarrollo Social y </w:t>
            </w:r>
            <w:r>
              <w:rPr>
                <w:rFonts w:ascii="Arial" w:eastAsia="Times New Roman" w:hAnsi="Arial" w:cs="Arial"/>
                <w:color w:val="000000"/>
                <w:lang w:bidi="ar-SA"/>
              </w:rPr>
              <w:t>Humano</w:t>
            </w:r>
          </w:p>
        </w:tc>
        <w:tc>
          <w:tcPr>
            <w:tcW w:w="2040" w:type="dxa"/>
            <w:tcBorders>
              <w:top w:val="nil"/>
              <w:left w:val="nil"/>
              <w:bottom w:val="nil"/>
              <w:right w:val="nil"/>
            </w:tcBorders>
            <w:shd w:val="clear" w:color="auto" w:fill="auto"/>
            <w:noWrap/>
            <w:vAlign w:val="center"/>
            <w:hideMark/>
          </w:tcPr>
          <w:p w14:paraId="43A6DEA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80,051,933.72</w:t>
            </w:r>
          </w:p>
        </w:tc>
      </w:tr>
      <w:tr w:rsidR="00C6733C" w14:paraId="4141ADF2" w14:textId="77777777">
        <w:trPr>
          <w:trHeight w:val="630"/>
          <w:jc w:val="center"/>
        </w:trPr>
        <w:tc>
          <w:tcPr>
            <w:tcW w:w="6640" w:type="dxa"/>
            <w:tcBorders>
              <w:top w:val="nil"/>
              <w:left w:val="nil"/>
              <w:bottom w:val="nil"/>
              <w:right w:val="nil"/>
            </w:tcBorders>
            <w:shd w:val="clear" w:color="auto" w:fill="auto"/>
            <w:vAlign w:val="center"/>
            <w:hideMark/>
          </w:tcPr>
          <w:p w14:paraId="04BA4CB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Pueblos Indígenas y Afromexicano</w:t>
            </w:r>
          </w:p>
        </w:tc>
        <w:tc>
          <w:tcPr>
            <w:tcW w:w="2040" w:type="dxa"/>
            <w:tcBorders>
              <w:top w:val="nil"/>
              <w:left w:val="nil"/>
              <w:bottom w:val="nil"/>
              <w:right w:val="nil"/>
            </w:tcBorders>
            <w:shd w:val="clear" w:color="auto" w:fill="auto"/>
            <w:noWrap/>
            <w:vAlign w:val="center"/>
            <w:hideMark/>
          </w:tcPr>
          <w:p w14:paraId="7A1CE31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26,605,281.40</w:t>
            </w:r>
          </w:p>
        </w:tc>
      </w:tr>
      <w:tr w:rsidR="00C6733C" w14:paraId="4C17A6D8" w14:textId="77777777">
        <w:trPr>
          <w:trHeight w:val="630"/>
          <w:jc w:val="center"/>
        </w:trPr>
        <w:tc>
          <w:tcPr>
            <w:tcW w:w="6640" w:type="dxa"/>
            <w:tcBorders>
              <w:top w:val="nil"/>
              <w:left w:val="nil"/>
              <w:bottom w:val="nil"/>
              <w:right w:val="nil"/>
            </w:tcBorders>
            <w:shd w:val="clear" w:color="auto" w:fill="auto"/>
            <w:vAlign w:val="center"/>
            <w:hideMark/>
          </w:tcPr>
          <w:p w14:paraId="0FBAF1A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Desarrollo Agropecuario, Pesca y Acuacultura</w:t>
            </w:r>
          </w:p>
        </w:tc>
        <w:tc>
          <w:tcPr>
            <w:tcW w:w="2040" w:type="dxa"/>
            <w:tcBorders>
              <w:top w:val="nil"/>
              <w:left w:val="nil"/>
              <w:bottom w:val="nil"/>
              <w:right w:val="nil"/>
            </w:tcBorders>
            <w:shd w:val="clear" w:color="auto" w:fill="auto"/>
            <w:noWrap/>
            <w:vAlign w:val="center"/>
            <w:hideMark/>
          </w:tcPr>
          <w:p w14:paraId="11D5A49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272,725,757.21</w:t>
            </w:r>
          </w:p>
        </w:tc>
      </w:tr>
      <w:tr w:rsidR="00C6733C" w14:paraId="37AC5C0B" w14:textId="77777777">
        <w:trPr>
          <w:trHeight w:val="630"/>
          <w:jc w:val="center"/>
        </w:trPr>
        <w:tc>
          <w:tcPr>
            <w:tcW w:w="6640" w:type="dxa"/>
            <w:tcBorders>
              <w:top w:val="nil"/>
              <w:left w:val="nil"/>
              <w:bottom w:val="nil"/>
              <w:right w:val="nil"/>
            </w:tcBorders>
            <w:shd w:val="clear" w:color="auto" w:fill="auto"/>
            <w:vAlign w:val="center"/>
            <w:hideMark/>
          </w:tcPr>
          <w:p w14:paraId="4268879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Finanzas</w:t>
            </w:r>
          </w:p>
        </w:tc>
        <w:tc>
          <w:tcPr>
            <w:tcW w:w="2040" w:type="dxa"/>
            <w:tcBorders>
              <w:top w:val="nil"/>
              <w:left w:val="nil"/>
              <w:bottom w:val="nil"/>
              <w:right w:val="nil"/>
            </w:tcBorders>
            <w:shd w:val="clear" w:color="auto" w:fill="auto"/>
            <w:noWrap/>
            <w:vAlign w:val="center"/>
            <w:hideMark/>
          </w:tcPr>
          <w:p w14:paraId="3F26342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663,979,376.74</w:t>
            </w:r>
          </w:p>
        </w:tc>
      </w:tr>
      <w:tr w:rsidR="00C6733C" w14:paraId="423EC18D" w14:textId="77777777">
        <w:trPr>
          <w:trHeight w:val="630"/>
          <w:jc w:val="center"/>
        </w:trPr>
        <w:tc>
          <w:tcPr>
            <w:tcW w:w="6640" w:type="dxa"/>
            <w:tcBorders>
              <w:top w:val="nil"/>
              <w:left w:val="nil"/>
              <w:bottom w:val="nil"/>
              <w:right w:val="nil"/>
            </w:tcBorders>
            <w:shd w:val="clear" w:color="auto" w:fill="auto"/>
            <w:vAlign w:val="center"/>
            <w:hideMark/>
          </w:tcPr>
          <w:p w14:paraId="6A53E69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Inversión, Previsión y Paripassu</w:t>
            </w:r>
          </w:p>
        </w:tc>
        <w:tc>
          <w:tcPr>
            <w:tcW w:w="2040" w:type="dxa"/>
            <w:tcBorders>
              <w:top w:val="nil"/>
              <w:left w:val="nil"/>
              <w:bottom w:val="nil"/>
              <w:right w:val="nil"/>
            </w:tcBorders>
            <w:shd w:val="clear" w:color="auto" w:fill="auto"/>
            <w:noWrap/>
            <w:vAlign w:val="center"/>
            <w:hideMark/>
          </w:tcPr>
          <w:p w14:paraId="2FC20B7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8,826,061,553.94</w:t>
            </w:r>
          </w:p>
        </w:tc>
      </w:tr>
      <w:tr w:rsidR="00C6733C" w14:paraId="43BC26BF" w14:textId="77777777">
        <w:trPr>
          <w:trHeight w:val="630"/>
          <w:jc w:val="center"/>
        </w:trPr>
        <w:tc>
          <w:tcPr>
            <w:tcW w:w="6640" w:type="dxa"/>
            <w:tcBorders>
              <w:top w:val="nil"/>
              <w:left w:val="nil"/>
              <w:bottom w:val="nil"/>
              <w:right w:val="nil"/>
            </w:tcBorders>
            <w:shd w:val="clear" w:color="auto" w:fill="auto"/>
            <w:vAlign w:val="center"/>
            <w:hideMark/>
          </w:tcPr>
          <w:p w14:paraId="7C94189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Finanzas-Normativa</w:t>
            </w:r>
          </w:p>
        </w:tc>
        <w:tc>
          <w:tcPr>
            <w:tcW w:w="2040" w:type="dxa"/>
            <w:tcBorders>
              <w:top w:val="nil"/>
              <w:left w:val="nil"/>
              <w:bottom w:val="nil"/>
              <w:right w:val="nil"/>
            </w:tcBorders>
            <w:shd w:val="clear" w:color="auto" w:fill="auto"/>
            <w:noWrap/>
            <w:vAlign w:val="center"/>
            <w:hideMark/>
          </w:tcPr>
          <w:p w14:paraId="58800E9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3,910,485,353.12</w:t>
            </w:r>
          </w:p>
        </w:tc>
      </w:tr>
      <w:tr w:rsidR="00C6733C" w14:paraId="5D1A205D" w14:textId="77777777">
        <w:trPr>
          <w:trHeight w:val="630"/>
          <w:jc w:val="center"/>
        </w:trPr>
        <w:tc>
          <w:tcPr>
            <w:tcW w:w="6640" w:type="dxa"/>
            <w:tcBorders>
              <w:top w:val="nil"/>
              <w:left w:val="nil"/>
              <w:bottom w:val="nil"/>
              <w:right w:val="nil"/>
            </w:tcBorders>
            <w:shd w:val="clear" w:color="auto" w:fill="auto"/>
            <w:vAlign w:val="center"/>
            <w:hideMark/>
          </w:tcPr>
          <w:p w14:paraId="2427453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Administración</w:t>
            </w:r>
          </w:p>
        </w:tc>
        <w:tc>
          <w:tcPr>
            <w:tcW w:w="2040" w:type="dxa"/>
            <w:tcBorders>
              <w:top w:val="nil"/>
              <w:left w:val="nil"/>
              <w:bottom w:val="nil"/>
              <w:right w:val="nil"/>
            </w:tcBorders>
            <w:shd w:val="clear" w:color="auto" w:fill="auto"/>
            <w:noWrap/>
            <w:vAlign w:val="center"/>
            <w:hideMark/>
          </w:tcPr>
          <w:p w14:paraId="1196B13D"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1,000,487,301.86</w:t>
            </w:r>
          </w:p>
        </w:tc>
      </w:tr>
      <w:tr w:rsidR="00C6733C" w14:paraId="2EAA6F3A" w14:textId="77777777">
        <w:trPr>
          <w:trHeight w:val="630"/>
          <w:jc w:val="center"/>
        </w:trPr>
        <w:tc>
          <w:tcPr>
            <w:tcW w:w="6640" w:type="dxa"/>
            <w:tcBorders>
              <w:top w:val="nil"/>
              <w:left w:val="nil"/>
              <w:bottom w:val="nil"/>
              <w:right w:val="nil"/>
            </w:tcBorders>
            <w:shd w:val="clear" w:color="auto" w:fill="auto"/>
            <w:vAlign w:val="center"/>
            <w:hideMark/>
          </w:tcPr>
          <w:p w14:paraId="4E587A4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Administración-Dirección de Recursos Humanos</w:t>
            </w:r>
          </w:p>
        </w:tc>
        <w:tc>
          <w:tcPr>
            <w:tcW w:w="2040" w:type="dxa"/>
            <w:tcBorders>
              <w:top w:val="nil"/>
              <w:left w:val="nil"/>
              <w:bottom w:val="nil"/>
              <w:right w:val="nil"/>
            </w:tcBorders>
            <w:shd w:val="clear" w:color="auto" w:fill="auto"/>
            <w:noWrap/>
            <w:vAlign w:val="center"/>
            <w:hideMark/>
          </w:tcPr>
          <w:p w14:paraId="3357141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652,894,810.42</w:t>
            </w:r>
          </w:p>
        </w:tc>
      </w:tr>
      <w:tr w:rsidR="00C6733C" w14:paraId="0635435D" w14:textId="77777777">
        <w:trPr>
          <w:trHeight w:val="630"/>
          <w:jc w:val="center"/>
        </w:trPr>
        <w:tc>
          <w:tcPr>
            <w:tcW w:w="6640" w:type="dxa"/>
            <w:tcBorders>
              <w:top w:val="nil"/>
              <w:left w:val="nil"/>
              <w:bottom w:val="nil"/>
              <w:right w:val="nil"/>
            </w:tcBorders>
            <w:shd w:val="clear" w:color="auto" w:fill="auto"/>
            <w:vAlign w:val="center"/>
            <w:hideMark/>
          </w:tcPr>
          <w:p w14:paraId="5B79D8B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Secretaría de la Contraloría y Transparencia </w:t>
            </w:r>
            <w:r>
              <w:rPr>
                <w:rFonts w:ascii="Arial" w:eastAsia="Times New Roman" w:hAnsi="Arial" w:cs="Arial"/>
                <w:color w:val="000000"/>
                <w:lang w:bidi="ar-SA"/>
              </w:rPr>
              <w:t>Gubernamental</w:t>
            </w:r>
          </w:p>
        </w:tc>
        <w:tc>
          <w:tcPr>
            <w:tcW w:w="2040" w:type="dxa"/>
            <w:tcBorders>
              <w:top w:val="nil"/>
              <w:left w:val="nil"/>
              <w:bottom w:val="nil"/>
              <w:right w:val="nil"/>
            </w:tcBorders>
            <w:shd w:val="clear" w:color="auto" w:fill="auto"/>
            <w:noWrap/>
            <w:vAlign w:val="center"/>
            <w:hideMark/>
          </w:tcPr>
          <w:p w14:paraId="6C7CAE3D"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116,352,210.90</w:t>
            </w:r>
          </w:p>
        </w:tc>
      </w:tr>
      <w:tr w:rsidR="00C6733C" w14:paraId="05F3792C" w14:textId="77777777">
        <w:trPr>
          <w:trHeight w:val="630"/>
          <w:jc w:val="center"/>
        </w:trPr>
        <w:tc>
          <w:tcPr>
            <w:tcW w:w="6640" w:type="dxa"/>
            <w:tcBorders>
              <w:top w:val="nil"/>
              <w:left w:val="nil"/>
              <w:bottom w:val="nil"/>
              <w:right w:val="nil"/>
            </w:tcBorders>
            <w:shd w:val="clear" w:color="auto" w:fill="auto"/>
            <w:vAlign w:val="center"/>
            <w:hideMark/>
          </w:tcPr>
          <w:p w14:paraId="4465FB2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Jefatura de la Gubernatura</w:t>
            </w:r>
          </w:p>
        </w:tc>
        <w:tc>
          <w:tcPr>
            <w:tcW w:w="2040" w:type="dxa"/>
            <w:tcBorders>
              <w:top w:val="nil"/>
              <w:left w:val="nil"/>
              <w:bottom w:val="nil"/>
              <w:right w:val="nil"/>
            </w:tcBorders>
            <w:shd w:val="clear" w:color="auto" w:fill="auto"/>
            <w:noWrap/>
            <w:vAlign w:val="center"/>
            <w:hideMark/>
          </w:tcPr>
          <w:p w14:paraId="17612C7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27,775,752.49</w:t>
            </w:r>
          </w:p>
        </w:tc>
      </w:tr>
      <w:tr w:rsidR="00C6733C" w14:paraId="14E2FBEA" w14:textId="77777777">
        <w:trPr>
          <w:trHeight w:val="630"/>
          <w:jc w:val="center"/>
        </w:trPr>
        <w:tc>
          <w:tcPr>
            <w:tcW w:w="6640" w:type="dxa"/>
            <w:tcBorders>
              <w:top w:val="nil"/>
              <w:left w:val="nil"/>
              <w:bottom w:val="nil"/>
              <w:right w:val="nil"/>
            </w:tcBorders>
            <w:shd w:val="clear" w:color="auto" w:fill="auto"/>
            <w:vAlign w:val="center"/>
            <w:hideMark/>
          </w:tcPr>
          <w:p w14:paraId="687C395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Consejería Jurídica del Gobierno del Estado</w:t>
            </w:r>
          </w:p>
        </w:tc>
        <w:tc>
          <w:tcPr>
            <w:tcW w:w="2040" w:type="dxa"/>
            <w:tcBorders>
              <w:top w:val="nil"/>
              <w:left w:val="nil"/>
              <w:bottom w:val="nil"/>
              <w:right w:val="nil"/>
            </w:tcBorders>
            <w:shd w:val="clear" w:color="auto" w:fill="auto"/>
            <w:noWrap/>
            <w:vAlign w:val="center"/>
            <w:hideMark/>
          </w:tcPr>
          <w:p w14:paraId="00B0ACD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341,682,262.77</w:t>
            </w:r>
          </w:p>
        </w:tc>
      </w:tr>
      <w:tr w:rsidR="00C6733C" w14:paraId="41B4B23F" w14:textId="77777777">
        <w:trPr>
          <w:trHeight w:val="630"/>
          <w:jc w:val="center"/>
        </w:trPr>
        <w:tc>
          <w:tcPr>
            <w:tcW w:w="6640" w:type="dxa"/>
            <w:tcBorders>
              <w:top w:val="nil"/>
              <w:left w:val="nil"/>
              <w:bottom w:val="nil"/>
              <w:right w:val="nil"/>
            </w:tcBorders>
            <w:shd w:val="clear" w:color="auto" w:fill="auto"/>
            <w:vAlign w:val="center"/>
            <w:hideMark/>
          </w:tcPr>
          <w:p w14:paraId="62E6EAA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Educación Media Superior y Superior, Ciencia y Tecnología</w:t>
            </w:r>
          </w:p>
        </w:tc>
        <w:tc>
          <w:tcPr>
            <w:tcW w:w="2040" w:type="dxa"/>
            <w:tcBorders>
              <w:top w:val="nil"/>
              <w:left w:val="nil"/>
              <w:bottom w:val="nil"/>
              <w:right w:val="nil"/>
            </w:tcBorders>
            <w:shd w:val="clear" w:color="auto" w:fill="auto"/>
            <w:noWrap/>
            <w:vAlign w:val="center"/>
            <w:hideMark/>
          </w:tcPr>
          <w:p w14:paraId="4FC4887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32,077,150.70</w:t>
            </w:r>
          </w:p>
        </w:tc>
      </w:tr>
      <w:tr w:rsidR="00C6733C" w14:paraId="5AEA92E1" w14:textId="77777777">
        <w:trPr>
          <w:trHeight w:val="630"/>
          <w:jc w:val="center"/>
        </w:trPr>
        <w:tc>
          <w:tcPr>
            <w:tcW w:w="6640" w:type="dxa"/>
            <w:tcBorders>
              <w:top w:val="nil"/>
              <w:left w:val="nil"/>
              <w:bottom w:val="nil"/>
              <w:right w:val="nil"/>
            </w:tcBorders>
            <w:shd w:val="clear" w:color="auto" w:fill="auto"/>
            <w:vAlign w:val="center"/>
            <w:hideMark/>
          </w:tcPr>
          <w:p w14:paraId="4C26F36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Enl</w:t>
            </w:r>
            <w:r>
              <w:rPr>
                <w:rFonts w:ascii="Arial" w:eastAsia="Times New Roman" w:hAnsi="Arial" w:cs="Arial"/>
                <w:color w:val="000000"/>
                <w:lang w:bidi="ar-SA"/>
              </w:rPr>
              <w:t>ace Federal y Relaciones Internacionales</w:t>
            </w:r>
          </w:p>
        </w:tc>
        <w:tc>
          <w:tcPr>
            <w:tcW w:w="2040" w:type="dxa"/>
            <w:tcBorders>
              <w:top w:val="nil"/>
              <w:left w:val="nil"/>
              <w:bottom w:val="nil"/>
              <w:right w:val="nil"/>
            </w:tcBorders>
            <w:shd w:val="clear" w:color="auto" w:fill="auto"/>
            <w:noWrap/>
            <w:vAlign w:val="center"/>
            <w:hideMark/>
          </w:tcPr>
          <w:p w14:paraId="0D53979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9,800,094.72</w:t>
            </w:r>
          </w:p>
        </w:tc>
      </w:tr>
      <w:tr w:rsidR="00C6733C" w14:paraId="726068F5" w14:textId="77777777">
        <w:trPr>
          <w:trHeight w:val="630"/>
          <w:jc w:val="center"/>
        </w:trPr>
        <w:tc>
          <w:tcPr>
            <w:tcW w:w="6640" w:type="dxa"/>
            <w:tcBorders>
              <w:top w:val="nil"/>
              <w:left w:val="nil"/>
              <w:bottom w:val="nil"/>
              <w:right w:val="nil"/>
            </w:tcBorders>
            <w:shd w:val="clear" w:color="auto" w:fill="auto"/>
            <w:vAlign w:val="center"/>
            <w:hideMark/>
          </w:tcPr>
          <w:p w14:paraId="7411AF9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Comunicación Social y Vocería del Gobierno del Estado</w:t>
            </w:r>
          </w:p>
        </w:tc>
        <w:tc>
          <w:tcPr>
            <w:tcW w:w="2040" w:type="dxa"/>
            <w:tcBorders>
              <w:top w:val="nil"/>
              <w:left w:val="nil"/>
              <w:bottom w:val="nil"/>
              <w:right w:val="nil"/>
            </w:tcBorders>
            <w:shd w:val="clear" w:color="auto" w:fill="auto"/>
            <w:noWrap/>
            <w:vAlign w:val="center"/>
            <w:hideMark/>
          </w:tcPr>
          <w:p w14:paraId="6589CBE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271,682,068.84</w:t>
            </w:r>
          </w:p>
        </w:tc>
      </w:tr>
      <w:tr w:rsidR="00C6733C" w14:paraId="1875C552" w14:textId="77777777">
        <w:trPr>
          <w:trHeight w:val="630"/>
          <w:jc w:val="center"/>
        </w:trPr>
        <w:tc>
          <w:tcPr>
            <w:tcW w:w="6640" w:type="dxa"/>
            <w:tcBorders>
              <w:top w:val="nil"/>
              <w:left w:val="nil"/>
              <w:bottom w:val="nil"/>
              <w:right w:val="nil"/>
            </w:tcBorders>
            <w:shd w:val="clear" w:color="auto" w:fill="auto"/>
            <w:vAlign w:val="center"/>
            <w:hideMark/>
          </w:tcPr>
          <w:p w14:paraId="77A76B7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para la Atención de los Derechos Humanos</w:t>
            </w:r>
          </w:p>
        </w:tc>
        <w:tc>
          <w:tcPr>
            <w:tcW w:w="2040" w:type="dxa"/>
            <w:tcBorders>
              <w:top w:val="nil"/>
              <w:left w:val="nil"/>
              <w:bottom w:val="nil"/>
              <w:right w:val="nil"/>
            </w:tcBorders>
            <w:shd w:val="clear" w:color="auto" w:fill="auto"/>
            <w:noWrap/>
            <w:vAlign w:val="center"/>
            <w:hideMark/>
          </w:tcPr>
          <w:p w14:paraId="6CD3E7F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8,265,861.21</w:t>
            </w:r>
          </w:p>
        </w:tc>
      </w:tr>
      <w:tr w:rsidR="00C6733C" w14:paraId="2061A2EC" w14:textId="77777777">
        <w:trPr>
          <w:trHeight w:val="630"/>
          <w:jc w:val="center"/>
        </w:trPr>
        <w:tc>
          <w:tcPr>
            <w:tcW w:w="6640" w:type="dxa"/>
            <w:tcBorders>
              <w:top w:val="nil"/>
              <w:left w:val="nil"/>
              <w:bottom w:val="nil"/>
              <w:right w:val="nil"/>
            </w:tcBorders>
            <w:shd w:val="clear" w:color="auto" w:fill="auto"/>
            <w:vAlign w:val="center"/>
            <w:hideMark/>
          </w:tcPr>
          <w:p w14:paraId="791F9A4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Coordinación General del Comité </w:t>
            </w:r>
            <w:r>
              <w:rPr>
                <w:rFonts w:ascii="Arial" w:eastAsia="Times New Roman" w:hAnsi="Arial" w:cs="Arial"/>
                <w:color w:val="000000"/>
                <w:lang w:bidi="ar-SA"/>
              </w:rPr>
              <w:t>Estatal de Planeación para el Desarrollo de Oaxaca</w:t>
            </w:r>
          </w:p>
        </w:tc>
        <w:tc>
          <w:tcPr>
            <w:tcW w:w="2040" w:type="dxa"/>
            <w:tcBorders>
              <w:top w:val="nil"/>
              <w:left w:val="nil"/>
              <w:bottom w:val="nil"/>
              <w:right w:val="nil"/>
            </w:tcBorders>
            <w:shd w:val="clear" w:color="auto" w:fill="auto"/>
            <w:noWrap/>
            <w:vAlign w:val="center"/>
            <w:hideMark/>
          </w:tcPr>
          <w:p w14:paraId="4C6D83A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125,136,774.67</w:t>
            </w:r>
          </w:p>
        </w:tc>
      </w:tr>
      <w:tr w:rsidR="00C6733C" w14:paraId="68C70B64" w14:textId="77777777">
        <w:trPr>
          <w:trHeight w:val="630"/>
          <w:jc w:val="center"/>
        </w:trPr>
        <w:tc>
          <w:tcPr>
            <w:tcW w:w="6640" w:type="dxa"/>
            <w:tcBorders>
              <w:top w:val="nil"/>
              <w:left w:val="nil"/>
              <w:bottom w:val="nil"/>
              <w:right w:val="nil"/>
            </w:tcBorders>
            <w:shd w:val="clear" w:color="auto" w:fill="auto"/>
            <w:vAlign w:val="center"/>
            <w:hideMark/>
          </w:tcPr>
          <w:p w14:paraId="5CB4031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Secretariado Ejecutivo del Sistema Estatal de Seguridad Pública</w:t>
            </w:r>
          </w:p>
        </w:tc>
        <w:tc>
          <w:tcPr>
            <w:tcW w:w="2040" w:type="dxa"/>
            <w:tcBorders>
              <w:top w:val="nil"/>
              <w:left w:val="nil"/>
              <w:bottom w:val="nil"/>
              <w:right w:val="nil"/>
            </w:tcBorders>
            <w:shd w:val="clear" w:color="auto" w:fill="auto"/>
            <w:noWrap/>
            <w:vAlign w:val="center"/>
            <w:hideMark/>
          </w:tcPr>
          <w:p w14:paraId="00E83F0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31,176,492.98</w:t>
            </w:r>
          </w:p>
        </w:tc>
      </w:tr>
      <w:tr w:rsidR="00C6733C" w14:paraId="1E81895E" w14:textId="77777777">
        <w:trPr>
          <w:trHeight w:val="630"/>
          <w:jc w:val="center"/>
        </w:trPr>
        <w:tc>
          <w:tcPr>
            <w:tcW w:w="6640" w:type="dxa"/>
            <w:tcBorders>
              <w:top w:val="nil"/>
              <w:left w:val="nil"/>
              <w:bottom w:val="nil"/>
              <w:right w:val="nil"/>
            </w:tcBorders>
            <w:shd w:val="clear" w:color="auto" w:fill="auto"/>
            <w:vAlign w:val="center"/>
            <w:hideMark/>
          </w:tcPr>
          <w:p w14:paraId="370CF45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Economía</w:t>
            </w:r>
          </w:p>
        </w:tc>
        <w:tc>
          <w:tcPr>
            <w:tcW w:w="2040" w:type="dxa"/>
            <w:tcBorders>
              <w:top w:val="nil"/>
              <w:left w:val="nil"/>
              <w:bottom w:val="nil"/>
              <w:right w:val="nil"/>
            </w:tcBorders>
            <w:shd w:val="clear" w:color="auto" w:fill="auto"/>
            <w:noWrap/>
            <w:vAlign w:val="center"/>
            <w:hideMark/>
          </w:tcPr>
          <w:p w14:paraId="070679F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175,621,967.53</w:t>
            </w:r>
          </w:p>
        </w:tc>
      </w:tr>
      <w:tr w:rsidR="00C6733C" w14:paraId="2B50525A" w14:textId="77777777">
        <w:trPr>
          <w:trHeight w:val="630"/>
          <w:jc w:val="center"/>
        </w:trPr>
        <w:tc>
          <w:tcPr>
            <w:tcW w:w="6640" w:type="dxa"/>
            <w:tcBorders>
              <w:top w:val="nil"/>
              <w:left w:val="nil"/>
              <w:bottom w:val="nil"/>
              <w:right w:val="nil"/>
            </w:tcBorders>
            <w:shd w:val="clear" w:color="auto" w:fill="auto"/>
            <w:vAlign w:val="center"/>
            <w:hideMark/>
          </w:tcPr>
          <w:p w14:paraId="6A7F9B0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Turismo</w:t>
            </w:r>
          </w:p>
        </w:tc>
        <w:tc>
          <w:tcPr>
            <w:tcW w:w="2040" w:type="dxa"/>
            <w:tcBorders>
              <w:top w:val="nil"/>
              <w:left w:val="nil"/>
              <w:bottom w:val="nil"/>
              <w:right w:val="nil"/>
            </w:tcBorders>
            <w:shd w:val="clear" w:color="auto" w:fill="auto"/>
            <w:noWrap/>
            <w:vAlign w:val="center"/>
            <w:hideMark/>
          </w:tcPr>
          <w:p w14:paraId="3C6C8C5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94,557,739.38</w:t>
            </w:r>
          </w:p>
        </w:tc>
      </w:tr>
      <w:tr w:rsidR="00C6733C" w14:paraId="253FE19A" w14:textId="77777777">
        <w:trPr>
          <w:trHeight w:val="630"/>
          <w:jc w:val="center"/>
        </w:trPr>
        <w:tc>
          <w:tcPr>
            <w:tcW w:w="6640" w:type="dxa"/>
            <w:tcBorders>
              <w:top w:val="nil"/>
              <w:left w:val="nil"/>
              <w:bottom w:val="nil"/>
              <w:right w:val="nil"/>
            </w:tcBorders>
            <w:shd w:val="clear" w:color="auto" w:fill="auto"/>
            <w:vAlign w:val="center"/>
            <w:hideMark/>
          </w:tcPr>
          <w:p w14:paraId="4374066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Secretaría de las Mujeres de </w:t>
            </w:r>
            <w:r>
              <w:rPr>
                <w:rFonts w:ascii="Arial" w:eastAsia="Times New Roman" w:hAnsi="Arial" w:cs="Arial"/>
                <w:color w:val="000000"/>
                <w:lang w:bidi="ar-SA"/>
              </w:rPr>
              <w:t>Oaxaca</w:t>
            </w:r>
          </w:p>
        </w:tc>
        <w:tc>
          <w:tcPr>
            <w:tcW w:w="2040" w:type="dxa"/>
            <w:tcBorders>
              <w:top w:val="nil"/>
              <w:left w:val="nil"/>
              <w:bottom w:val="nil"/>
              <w:right w:val="nil"/>
            </w:tcBorders>
            <w:shd w:val="clear" w:color="auto" w:fill="auto"/>
            <w:noWrap/>
            <w:vAlign w:val="center"/>
            <w:hideMark/>
          </w:tcPr>
          <w:p w14:paraId="5525C69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18,290,782.95</w:t>
            </w:r>
          </w:p>
        </w:tc>
      </w:tr>
      <w:tr w:rsidR="00C6733C" w14:paraId="4A77797D" w14:textId="77777777">
        <w:trPr>
          <w:trHeight w:val="630"/>
          <w:jc w:val="center"/>
        </w:trPr>
        <w:tc>
          <w:tcPr>
            <w:tcW w:w="6640" w:type="dxa"/>
            <w:tcBorders>
              <w:top w:val="nil"/>
              <w:left w:val="nil"/>
              <w:bottom w:val="nil"/>
              <w:right w:val="nil"/>
            </w:tcBorders>
            <w:shd w:val="clear" w:color="auto" w:fill="auto"/>
            <w:vAlign w:val="center"/>
            <w:hideMark/>
          </w:tcPr>
          <w:p w14:paraId="1EBE8F8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del Medio Ambiente, Energías y Desarrollo Sustentable</w:t>
            </w:r>
          </w:p>
        </w:tc>
        <w:tc>
          <w:tcPr>
            <w:tcW w:w="2040" w:type="dxa"/>
            <w:tcBorders>
              <w:top w:val="nil"/>
              <w:left w:val="nil"/>
              <w:bottom w:val="nil"/>
              <w:right w:val="nil"/>
            </w:tcBorders>
            <w:shd w:val="clear" w:color="auto" w:fill="auto"/>
            <w:noWrap/>
            <w:vAlign w:val="center"/>
            <w:hideMark/>
          </w:tcPr>
          <w:p w14:paraId="0F9461C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35,328,563.18</w:t>
            </w:r>
          </w:p>
        </w:tc>
      </w:tr>
      <w:tr w:rsidR="00C6733C" w14:paraId="05828B25" w14:textId="77777777">
        <w:trPr>
          <w:trHeight w:val="630"/>
          <w:jc w:val="center"/>
        </w:trPr>
        <w:tc>
          <w:tcPr>
            <w:tcW w:w="6640" w:type="dxa"/>
            <w:tcBorders>
              <w:top w:val="nil"/>
              <w:left w:val="nil"/>
              <w:bottom w:val="nil"/>
              <w:right w:val="nil"/>
            </w:tcBorders>
            <w:shd w:val="clear" w:color="auto" w:fill="auto"/>
            <w:vAlign w:val="center"/>
            <w:hideMark/>
          </w:tcPr>
          <w:p w14:paraId="647C8FB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Poder Legislativo</w:t>
            </w:r>
          </w:p>
        </w:tc>
        <w:tc>
          <w:tcPr>
            <w:tcW w:w="2040" w:type="dxa"/>
            <w:tcBorders>
              <w:top w:val="nil"/>
              <w:left w:val="nil"/>
              <w:bottom w:val="nil"/>
              <w:right w:val="nil"/>
            </w:tcBorders>
            <w:shd w:val="clear" w:color="auto" w:fill="auto"/>
            <w:noWrap/>
            <w:vAlign w:val="center"/>
            <w:hideMark/>
          </w:tcPr>
          <w:p w14:paraId="19A2617C"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 xml:space="preserve">521,564,292.00 </w:t>
            </w:r>
          </w:p>
        </w:tc>
      </w:tr>
      <w:tr w:rsidR="00C6733C" w14:paraId="36D8066D" w14:textId="77777777">
        <w:trPr>
          <w:trHeight w:val="630"/>
          <w:jc w:val="center"/>
        </w:trPr>
        <w:tc>
          <w:tcPr>
            <w:tcW w:w="6640" w:type="dxa"/>
            <w:tcBorders>
              <w:top w:val="nil"/>
              <w:left w:val="nil"/>
              <w:bottom w:val="nil"/>
              <w:right w:val="nil"/>
            </w:tcBorders>
            <w:shd w:val="clear" w:color="auto" w:fill="auto"/>
            <w:vAlign w:val="center"/>
            <w:hideMark/>
          </w:tcPr>
          <w:p w14:paraId="7C20CDA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Congreso del Estado</w:t>
            </w:r>
          </w:p>
        </w:tc>
        <w:tc>
          <w:tcPr>
            <w:tcW w:w="2040" w:type="dxa"/>
            <w:tcBorders>
              <w:top w:val="nil"/>
              <w:left w:val="nil"/>
              <w:bottom w:val="nil"/>
              <w:right w:val="nil"/>
            </w:tcBorders>
            <w:shd w:val="clear" w:color="auto" w:fill="auto"/>
            <w:noWrap/>
            <w:vAlign w:val="center"/>
            <w:hideMark/>
          </w:tcPr>
          <w:p w14:paraId="117E56E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418,696,586.00</w:t>
            </w:r>
          </w:p>
        </w:tc>
      </w:tr>
      <w:tr w:rsidR="00C6733C" w14:paraId="77C13DEA" w14:textId="77777777">
        <w:trPr>
          <w:trHeight w:val="630"/>
          <w:jc w:val="center"/>
        </w:trPr>
        <w:tc>
          <w:tcPr>
            <w:tcW w:w="6640" w:type="dxa"/>
            <w:tcBorders>
              <w:top w:val="nil"/>
              <w:left w:val="nil"/>
              <w:bottom w:val="nil"/>
              <w:right w:val="nil"/>
            </w:tcBorders>
            <w:shd w:val="clear" w:color="auto" w:fill="auto"/>
            <w:vAlign w:val="center"/>
            <w:hideMark/>
          </w:tcPr>
          <w:p w14:paraId="187B53C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Órgano Superior de Fiscalización del Estado de Oaxaca</w:t>
            </w:r>
          </w:p>
        </w:tc>
        <w:tc>
          <w:tcPr>
            <w:tcW w:w="2040" w:type="dxa"/>
            <w:tcBorders>
              <w:top w:val="nil"/>
              <w:left w:val="nil"/>
              <w:bottom w:val="nil"/>
              <w:right w:val="nil"/>
            </w:tcBorders>
            <w:shd w:val="clear" w:color="auto" w:fill="auto"/>
            <w:noWrap/>
            <w:vAlign w:val="center"/>
            <w:hideMark/>
          </w:tcPr>
          <w:p w14:paraId="4E49940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102,867,706.00</w:t>
            </w:r>
          </w:p>
        </w:tc>
      </w:tr>
      <w:tr w:rsidR="00C6733C" w14:paraId="16CADEA3" w14:textId="77777777">
        <w:trPr>
          <w:trHeight w:val="630"/>
          <w:jc w:val="center"/>
        </w:trPr>
        <w:tc>
          <w:tcPr>
            <w:tcW w:w="6640" w:type="dxa"/>
            <w:tcBorders>
              <w:top w:val="nil"/>
              <w:left w:val="nil"/>
              <w:bottom w:val="nil"/>
              <w:right w:val="nil"/>
            </w:tcBorders>
            <w:shd w:val="clear" w:color="auto" w:fill="auto"/>
            <w:vAlign w:val="center"/>
            <w:hideMark/>
          </w:tcPr>
          <w:p w14:paraId="4B7124A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Poder </w:t>
            </w:r>
            <w:r>
              <w:rPr>
                <w:rFonts w:ascii="Arial" w:eastAsia="Times New Roman" w:hAnsi="Arial" w:cs="Arial"/>
                <w:b/>
                <w:bCs/>
                <w:color w:val="000000"/>
                <w:lang w:bidi="ar-SA"/>
              </w:rPr>
              <w:t>Judicial</w:t>
            </w:r>
          </w:p>
        </w:tc>
        <w:tc>
          <w:tcPr>
            <w:tcW w:w="2040" w:type="dxa"/>
            <w:tcBorders>
              <w:top w:val="nil"/>
              <w:left w:val="nil"/>
              <w:bottom w:val="nil"/>
              <w:right w:val="nil"/>
            </w:tcBorders>
            <w:shd w:val="clear" w:color="auto" w:fill="auto"/>
            <w:noWrap/>
            <w:vAlign w:val="center"/>
            <w:hideMark/>
          </w:tcPr>
          <w:p w14:paraId="4E97209C"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 xml:space="preserve">965,052,105.54 </w:t>
            </w:r>
          </w:p>
        </w:tc>
      </w:tr>
      <w:tr w:rsidR="00C6733C" w14:paraId="36381350" w14:textId="77777777">
        <w:trPr>
          <w:trHeight w:val="630"/>
          <w:jc w:val="center"/>
        </w:trPr>
        <w:tc>
          <w:tcPr>
            <w:tcW w:w="6640" w:type="dxa"/>
            <w:tcBorders>
              <w:top w:val="nil"/>
              <w:left w:val="nil"/>
              <w:bottom w:val="nil"/>
              <w:right w:val="nil"/>
            </w:tcBorders>
            <w:shd w:val="clear" w:color="auto" w:fill="auto"/>
            <w:vAlign w:val="center"/>
            <w:hideMark/>
          </w:tcPr>
          <w:p w14:paraId="7FCBBE2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Tribunal Superior de Justicia</w:t>
            </w:r>
          </w:p>
        </w:tc>
        <w:tc>
          <w:tcPr>
            <w:tcW w:w="2040" w:type="dxa"/>
            <w:tcBorders>
              <w:top w:val="nil"/>
              <w:left w:val="nil"/>
              <w:bottom w:val="nil"/>
              <w:right w:val="nil"/>
            </w:tcBorders>
            <w:shd w:val="clear" w:color="auto" w:fill="auto"/>
            <w:noWrap/>
            <w:vAlign w:val="center"/>
            <w:hideMark/>
          </w:tcPr>
          <w:p w14:paraId="464A94B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223,730,712.53</w:t>
            </w:r>
          </w:p>
        </w:tc>
      </w:tr>
      <w:tr w:rsidR="00C6733C" w14:paraId="12B11789" w14:textId="77777777">
        <w:trPr>
          <w:trHeight w:val="630"/>
          <w:jc w:val="center"/>
        </w:trPr>
        <w:tc>
          <w:tcPr>
            <w:tcW w:w="6640" w:type="dxa"/>
            <w:tcBorders>
              <w:top w:val="nil"/>
              <w:left w:val="nil"/>
              <w:bottom w:val="nil"/>
              <w:right w:val="nil"/>
            </w:tcBorders>
            <w:shd w:val="clear" w:color="auto" w:fill="auto"/>
            <w:vAlign w:val="center"/>
            <w:hideMark/>
          </w:tcPr>
          <w:p w14:paraId="2049ADF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Consejo de la Judicatura</w:t>
            </w:r>
          </w:p>
        </w:tc>
        <w:tc>
          <w:tcPr>
            <w:tcW w:w="2040" w:type="dxa"/>
            <w:tcBorders>
              <w:top w:val="nil"/>
              <w:left w:val="nil"/>
              <w:bottom w:val="nil"/>
              <w:right w:val="nil"/>
            </w:tcBorders>
            <w:shd w:val="clear" w:color="auto" w:fill="auto"/>
            <w:noWrap/>
            <w:vAlign w:val="center"/>
            <w:hideMark/>
          </w:tcPr>
          <w:p w14:paraId="45A2D42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741,321,393.01</w:t>
            </w:r>
          </w:p>
        </w:tc>
      </w:tr>
      <w:tr w:rsidR="00C6733C" w14:paraId="6602BCC9" w14:textId="77777777">
        <w:trPr>
          <w:trHeight w:val="630"/>
          <w:jc w:val="center"/>
        </w:trPr>
        <w:tc>
          <w:tcPr>
            <w:tcW w:w="6640" w:type="dxa"/>
            <w:tcBorders>
              <w:top w:val="nil"/>
              <w:left w:val="nil"/>
              <w:bottom w:val="nil"/>
              <w:right w:val="nil"/>
            </w:tcBorders>
            <w:shd w:val="clear" w:color="auto" w:fill="auto"/>
            <w:vAlign w:val="center"/>
            <w:hideMark/>
          </w:tcPr>
          <w:p w14:paraId="2EE0ADED"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Órganos Autónomos</w:t>
            </w:r>
          </w:p>
        </w:tc>
        <w:tc>
          <w:tcPr>
            <w:tcW w:w="2040" w:type="dxa"/>
            <w:tcBorders>
              <w:top w:val="nil"/>
              <w:left w:val="nil"/>
              <w:bottom w:val="nil"/>
              <w:right w:val="nil"/>
            </w:tcBorders>
            <w:shd w:val="clear" w:color="auto" w:fill="auto"/>
            <w:noWrap/>
            <w:vAlign w:val="center"/>
            <w:hideMark/>
          </w:tcPr>
          <w:p w14:paraId="7C7D17B0"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 xml:space="preserve">2,189,533,855.53 </w:t>
            </w:r>
          </w:p>
        </w:tc>
      </w:tr>
      <w:tr w:rsidR="00C6733C" w14:paraId="1BF051A8" w14:textId="77777777">
        <w:trPr>
          <w:trHeight w:val="630"/>
          <w:jc w:val="center"/>
        </w:trPr>
        <w:tc>
          <w:tcPr>
            <w:tcW w:w="6640" w:type="dxa"/>
            <w:tcBorders>
              <w:top w:val="nil"/>
              <w:left w:val="nil"/>
              <w:bottom w:val="nil"/>
              <w:right w:val="nil"/>
            </w:tcBorders>
            <w:shd w:val="clear" w:color="auto" w:fill="auto"/>
            <w:vAlign w:val="center"/>
            <w:hideMark/>
          </w:tcPr>
          <w:p w14:paraId="121162F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Defensoría de los Derechos Humanos del Pueblo de Oaxaca</w:t>
            </w:r>
          </w:p>
        </w:tc>
        <w:tc>
          <w:tcPr>
            <w:tcW w:w="2040" w:type="dxa"/>
            <w:tcBorders>
              <w:top w:val="nil"/>
              <w:left w:val="nil"/>
              <w:bottom w:val="nil"/>
              <w:right w:val="nil"/>
            </w:tcBorders>
            <w:shd w:val="clear" w:color="auto" w:fill="auto"/>
            <w:noWrap/>
            <w:vAlign w:val="center"/>
            <w:hideMark/>
          </w:tcPr>
          <w:p w14:paraId="400F099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40,604,284.00</w:t>
            </w:r>
          </w:p>
        </w:tc>
      </w:tr>
      <w:tr w:rsidR="00C6733C" w14:paraId="20075525" w14:textId="77777777">
        <w:trPr>
          <w:trHeight w:val="630"/>
          <w:jc w:val="center"/>
        </w:trPr>
        <w:tc>
          <w:tcPr>
            <w:tcW w:w="6640" w:type="dxa"/>
            <w:tcBorders>
              <w:top w:val="nil"/>
              <w:left w:val="nil"/>
              <w:bottom w:val="nil"/>
              <w:right w:val="nil"/>
            </w:tcBorders>
            <w:shd w:val="clear" w:color="auto" w:fill="auto"/>
            <w:vAlign w:val="center"/>
            <w:hideMark/>
          </w:tcPr>
          <w:p w14:paraId="6D79656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Instituto Estatal </w:t>
            </w:r>
            <w:r>
              <w:rPr>
                <w:rFonts w:ascii="Arial" w:eastAsia="Times New Roman" w:hAnsi="Arial" w:cs="Arial"/>
                <w:color w:val="000000"/>
                <w:lang w:bidi="ar-SA"/>
              </w:rPr>
              <w:t>Electoral y de Participación Ciudadana de Oaxaca</w:t>
            </w:r>
          </w:p>
        </w:tc>
        <w:tc>
          <w:tcPr>
            <w:tcW w:w="2040" w:type="dxa"/>
            <w:tcBorders>
              <w:top w:val="nil"/>
              <w:left w:val="nil"/>
              <w:bottom w:val="nil"/>
              <w:right w:val="nil"/>
            </w:tcBorders>
            <w:shd w:val="clear" w:color="auto" w:fill="auto"/>
            <w:noWrap/>
            <w:vAlign w:val="center"/>
            <w:hideMark/>
          </w:tcPr>
          <w:p w14:paraId="65343CA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219,011,353.42</w:t>
            </w:r>
          </w:p>
        </w:tc>
      </w:tr>
      <w:tr w:rsidR="00C6733C" w14:paraId="36A9DDB7" w14:textId="77777777">
        <w:trPr>
          <w:trHeight w:val="630"/>
          <w:jc w:val="center"/>
        </w:trPr>
        <w:tc>
          <w:tcPr>
            <w:tcW w:w="6640" w:type="dxa"/>
            <w:tcBorders>
              <w:top w:val="nil"/>
              <w:left w:val="nil"/>
              <w:bottom w:val="nil"/>
              <w:right w:val="nil"/>
            </w:tcBorders>
            <w:shd w:val="clear" w:color="auto" w:fill="auto"/>
            <w:vAlign w:val="center"/>
            <w:hideMark/>
          </w:tcPr>
          <w:p w14:paraId="545A1FB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Autónoma "Benito Juárez" de Oaxaca</w:t>
            </w:r>
          </w:p>
        </w:tc>
        <w:tc>
          <w:tcPr>
            <w:tcW w:w="2040" w:type="dxa"/>
            <w:tcBorders>
              <w:top w:val="nil"/>
              <w:left w:val="nil"/>
              <w:bottom w:val="nil"/>
              <w:right w:val="nil"/>
            </w:tcBorders>
            <w:shd w:val="clear" w:color="auto" w:fill="auto"/>
            <w:noWrap/>
            <w:vAlign w:val="center"/>
            <w:hideMark/>
          </w:tcPr>
          <w:p w14:paraId="207EAC6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1,082,938,553.00</w:t>
            </w:r>
          </w:p>
        </w:tc>
      </w:tr>
      <w:tr w:rsidR="00C6733C" w14:paraId="27C34CD9" w14:textId="77777777">
        <w:trPr>
          <w:trHeight w:val="630"/>
          <w:jc w:val="center"/>
        </w:trPr>
        <w:tc>
          <w:tcPr>
            <w:tcW w:w="6640" w:type="dxa"/>
            <w:tcBorders>
              <w:top w:val="nil"/>
              <w:left w:val="nil"/>
              <w:bottom w:val="nil"/>
              <w:right w:val="nil"/>
            </w:tcBorders>
            <w:shd w:val="clear" w:color="auto" w:fill="auto"/>
            <w:vAlign w:val="center"/>
            <w:hideMark/>
          </w:tcPr>
          <w:p w14:paraId="2DAB829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de Arbitraje Médico de Oaxaca</w:t>
            </w:r>
          </w:p>
        </w:tc>
        <w:tc>
          <w:tcPr>
            <w:tcW w:w="2040" w:type="dxa"/>
            <w:tcBorders>
              <w:top w:val="nil"/>
              <w:left w:val="nil"/>
              <w:bottom w:val="nil"/>
              <w:right w:val="nil"/>
            </w:tcBorders>
            <w:shd w:val="clear" w:color="auto" w:fill="auto"/>
            <w:noWrap/>
            <w:vAlign w:val="center"/>
            <w:hideMark/>
          </w:tcPr>
          <w:p w14:paraId="27BD647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12,073,176.00</w:t>
            </w:r>
          </w:p>
        </w:tc>
      </w:tr>
      <w:tr w:rsidR="00C6733C" w14:paraId="4A436DD3" w14:textId="77777777">
        <w:trPr>
          <w:trHeight w:val="630"/>
          <w:jc w:val="center"/>
        </w:trPr>
        <w:tc>
          <w:tcPr>
            <w:tcW w:w="6640" w:type="dxa"/>
            <w:tcBorders>
              <w:top w:val="nil"/>
              <w:left w:val="nil"/>
              <w:bottom w:val="nil"/>
              <w:right w:val="nil"/>
            </w:tcBorders>
            <w:shd w:val="clear" w:color="auto" w:fill="auto"/>
            <w:vAlign w:val="center"/>
            <w:hideMark/>
          </w:tcPr>
          <w:p w14:paraId="0A67D5B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Acceso a la Información Pública y Protección de Dat</w:t>
            </w:r>
            <w:r>
              <w:rPr>
                <w:rFonts w:ascii="Arial" w:eastAsia="Times New Roman" w:hAnsi="Arial" w:cs="Arial"/>
                <w:color w:val="000000"/>
                <w:lang w:bidi="ar-SA"/>
              </w:rPr>
              <w:t>os Personales</w:t>
            </w:r>
          </w:p>
        </w:tc>
        <w:tc>
          <w:tcPr>
            <w:tcW w:w="2040" w:type="dxa"/>
            <w:tcBorders>
              <w:top w:val="nil"/>
              <w:left w:val="nil"/>
              <w:bottom w:val="nil"/>
              <w:right w:val="nil"/>
            </w:tcBorders>
            <w:shd w:val="clear" w:color="auto" w:fill="auto"/>
            <w:noWrap/>
            <w:vAlign w:val="center"/>
            <w:hideMark/>
          </w:tcPr>
          <w:p w14:paraId="4C7F49E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28,212,990.00</w:t>
            </w:r>
          </w:p>
        </w:tc>
      </w:tr>
      <w:tr w:rsidR="00C6733C" w14:paraId="7BAE7D5C" w14:textId="77777777">
        <w:trPr>
          <w:trHeight w:val="630"/>
          <w:jc w:val="center"/>
        </w:trPr>
        <w:tc>
          <w:tcPr>
            <w:tcW w:w="6640" w:type="dxa"/>
            <w:tcBorders>
              <w:top w:val="nil"/>
              <w:left w:val="nil"/>
              <w:bottom w:val="nil"/>
              <w:right w:val="nil"/>
            </w:tcBorders>
            <w:shd w:val="clear" w:color="auto" w:fill="auto"/>
            <w:vAlign w:val="center"/>
            <w:hideMark/>
          </w:tcPr>
          <w:p w14:paraId="17D90D0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Fiscalía General del Estado de Oaxaca</w:t>
            </w:r>
          </w:p>
        </w:tc>
        <w:tc>
          <w:tcPr>
            <w:tcW w:w="2040" w:type="dxa"/>
            <w:tcBorders>
              <w:top w:val="nil"/>
              <w:left w:val="nil"/>
              <w:bottom w:val="nil"/>
              <w:right w:val="nil"/>
            </w:tcBorders>
            <w:shd w:val="clear" w:color="auto" w:fill="auto"/>
            <w:noWrap/>
            <w:vAlign w:val="center"/>
            <w:hideMark/>
          </w:tcPr>
          <w:p w14:paraId="7CD4683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723,558,887.11</w:t>
            </w:r>
          </w:p>
        </w:tc>
      </w:tr>
      <w:tr w:rsidR="00C6733C" w14:paraId="321F4A1B" w14:textId="77777777">
        <w:trPr>
          <w:trHeight w:val="630"/>
          <w:jc w:val="center"/>
        </w:trPr>
        <w:tc>
          <w:tcPr>
            <w:tcW w:w="6640" w:type="dxa"/>
            <w:tcBorders>
              <w:top w:val="nil"/>
              <w:left w:val="nil"/>
              <w:bottom w:val="nil"/>
              <w:right w:val="nil"/>
            </w:tcBorders>
            <w:shd w:val="clear" w:color="auto" w:fill="auto"/>
            <w:vAlign w:val="center"/>
            <w:hideMark/>
          </w:tcPr>
          <w:p w14:paraId="700C36F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Tribunal Electoral del Estado de Oaxaca</w:t>
            </w:r>
          </w:p>
        </w:tc>
        <w:tc>
          <w:tcPr>
            <w:tcW w:w="2040" w:type="dxa"/>
            <w:tcBorders>
              <w:top w:val="nil"/>
              <w:left w:val="nil"/>
              <w:bottom w:val="nil"/>
              <w:right w:val="nil"/>
            </w:tcBorders>
            <w:shd w:val="clear" w:color="auto" w:fill="auto"/>
            <w:noWrap/>
            <w:vAlign w:val="center"/>
            <w:hideMark/>
          </w:tcPr>
          <w:p w14:paraId="1FA5AE6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38,469,076.00</w:t>
            </w:r>
          </w:p>
        </w:tc>
      </w:tr>
      <w:tr w:rsidR="00C6733C" w14:paraId="07ACA35B" w14:textId="77777777">
        <w:trPr>
          <w:trHeight w:val="630"/>
          <w:jc w:val="center"/>
        </w:trPr>
        <w:tc>
          <w:tcPr>
            <w:tcW w:w="6640" w:type="dxa"/>
            <w:tcBorders>
              <w:top w:val="nil"/>
              <w:left w:val="nil"/>
              <w:bottom w:val="nil"/>
              <w:right w:val="nil"/>
            </w:tcBorders>
            <w:shd w:val="clear" w:color="auto" w:fill="auto"/>
            <w:vAlign w:val="center"/>
            <w:hideMark/>
          </w:tcPr>
          <w:p w14:paraId="756AAE3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Tribunal de Justicia Administrativa del Estado de Oaxaca</w:t>
            </w:r>
          </w:p>
        </w:tc>
        <w:tc>
          <w:tcPr>
            <w:tcW w:w="2040" w:type="dxa"/>
            <w:tcBorders>
              <w:top w:val="nil"/>
              <w:left w:val="nil"/>
              <w:bottom w:val="nil"/>
              <w:right w:val="nil"/>
            </w:tcBorders>
            <w:shd w:val="clear" w:color="auto" w:fill="auto"/>
            <w:noWrap/>
            <w:vAlign w:val="center"/>
            <w:hideMark/>
          </w:tcPr>
          <w:p w14:paraId="18AB88D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44,665,536.00</w:t>
            </w:r>
          </w:p>
        </w:tc>
      </w:tr>
      <w:tr w:rsidR="00C6733C" w14:paraId="788A689A" w14:textId="77777777">
        <w:trPr>
          <w:trHeight w:val="630"/>
          <w:jc w:val="center"/>
        </w:trPr>
        <w:tc>
          <w:tcPr>
            <w:tcW w:w="6640" w:type="dxa"/>
            <w:tcBorders>
              <w:top w:val="nil"/>
              <w:left w:val="nil"/>
              <w:bottom w:val="nil"/>
              <w:right w:val="nil"/>
            </w:tcBorders>
            <w:shd w:val="clear" w:color="auto" w:fill="auto"/>
            <w:vAlign w:val="center"/>
            <w:hideMark/>
          </w:tcPr>
          <w:p w14:paraId="05037CFB"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Organismos Públicos </w:t>
            </w:r>
            <w:r>
              <w:rPr>
                <w:rFonts w:ascii="Arial" w:eastAsia="Times New Roman" w:hAnsi="Arial" w:cs="Arial"/>
                <w:b/>
                <w:bCs/>
                <w:color w:val="000000"/>
                <w:lang w:bidi="ar-SA"/>
              </w:rPr>
              <w:t>Descentralizados</w:t>
            </w:r>
          </w:p>
        </w:tc>
        <w:tc>
          <w:tcPr>
            <w:tcW w:w="2040" w:type="dxa"/>
            <w:tcBorders>
              <w:top w:val="nil"/>
              <w:left w:val="nil"/>
              <w:bottom w:val="nil"/>
              <w:right w:val="nil"/>
            </w:tcBorders>
            <w:shd w:val="clear" w:color="auto" w:fill="auto"/>
            <w:noWrap/>
            <w:vAlign w:val="center"/>
            <w:hideMark/>
          </w:tcPr>
          <w:p w14:paraId="71DE4F05"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36,938,753,910.86</w:t>
            </w:r>
          </w:p>
        </w:tc>
      </w:tr>
      <w:tr w:rsidR="00C6733C" w14:paraId="196FB676" w14:textId="77777777">
        <w:trPr>
          <w:trHeight w:val="630"/>
          <w:jc w:val="center"/>
        </w:trPr>
        <w:tc>
          <w:tcPr>
            <w:tcW w:w="6640" w:type="dxa"/>
            <w:tcBorders>
              <w:top w:val="nil"/>
              <w:left w:val="nil"/>
              <w:bottom w:val="nil"/>
              <w:right w:val="nil"/>
            </w:tcBorders>
            <w:shd w:val="clear" w:color="auto" w:fill="auto"/>
            <w:vAlign w:val="center"/>
            <w:hideMark/>
          </w:tcPr>
          <w:p w14:paraId="70DBCA7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Caminos y Aeropistas de Oaxaca</w:t>
            </w:r>
          </w:p>
        </w:tc>
        <w:tc>
          <w:tcPr>
            <w:tcW w:w="2040" w:type="dxa"/>
            <w:tcBorders>
              <w:top w:val="nil"/>
              <w:left w:val="nil"/>
              <w:bottom w:val="nil"/>
              <w:right w:val="nil"/>
            </w:tcBorders>
            <w:shd w:val="clear" w:color="auto" w:fill="auto"/>
            <w:noWrap/>
            <w:vAlign w:val="center"/>
            <w:hideMark/>
          </w:tcPr>
          <w:p w14:paraId="3AF30E1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216,181,986.88</w:t>
            </w:r>
          </w:p>
        </w:tc>
      </w:tr>
      <w:tr w:rsidR="00C6733C" w14:paraId="620E25E9" w14:textId="77777777">
        <w:trPr>
          <w:trHeight w:val="630"/>
          <w:jc w:val="center"/>
        </w:trPr>
        <w:tc>
          <w:tcPr>
            <w:tcW w:w="6640" w:type="dxa"/>
            <w:tcBorders>
              <w:top w:val="nil"/>
              <w:left w:val="nil"/>
              <w:bottom w:val="nil"/>
              <w:right w:val="nil"/>
            </w:tcBorders>
            <w:shd w:val="clear" w:color="auto" w:fill="auto"/>
            <w:vAlign w:val="center"/>
            <w:hideMark/>
          </w:tcPr>
          <w:p w14:paraId="6DB7924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Casa de la Cultura Oaxaqueña</w:t>
            </w:r>
          </w:p>
        </w:tc>
        <w:tc>
          <w:tcPr>
            <w:tcW w:w="2040" w:type="dxa"/>
            <w:tcBorders>
              <w:top w:val="nil"/>
              <w:left w:val="nil"/>
              <w:bottom w:val="nil"/>
              <w:right w:val="nil"/>
            </w:tcBorders>
            <w:shd w:val="clear" w:color="auto" w:fill="auto"/>
            <w:noWrap/>
            <w:vAlign w:val="center"/>
            <w:hideMark/>
          </w:tcPr>
          <w:p w14:paraId="367282B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28,114,538.72</w:t>
            </w:r>
          </w:p>
        </w:tc>
      </w:tr>
      <w:tr w:rsidR="00C6733C" w14:paraId="61132D50" w14:textId="77777777">
        <w:trPr>
          <w:trHeight w:val="630"/>
          <w:jc w:val="center"/>
        </w:trPr>
        <w:tc>
          <w:tcPr>
            <w:tcW w:w="6640" w:type="dxa"/>
            <w:tcBorders>
              <w:top w:val="nil"/>
              <w:left w:val="nil"/>
              <w:bottom w:val="nil"/>
              <w:right w:val="nil"/>
            </w:tcBorders>
            <w:shd w:val="clear" w:color="auto" w:fill="auto"/>
            <w:vAlign w:val="center"/>
            <w:hideMark/>
          </w:tcPr>
          <w:p w14:paraId="53D13DA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Centro de las Artes de San Agustín</w:t>
            </w:r>
          </w:p>
        </w:tc>
        <w:tc>
          <w:tcPr>
            <w:tcW w:w="2040" w:type="dxa"/>
            <w:tcBorders>
              <w:top w:val="nil"/>
              <w:left w:val="nil"/>
              <w:bottom w:val="nil"/>
              <w:right w:val="nil"/>
            </w:tcBorders>
            <w:shd w:val="clear" w:color="auto" w:fill="auto"/>
            <w:noWrap/>
            <w:vAlign w:val="center"/>
            <w:hideMark/>
          </w:tcPr>
          <w:p w14:paraId="1D36F9A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5,925,713.59</w:t>
            </w:r>
          </w:p>
        </w:tc>
      </w:tr>
      <w:tr w:rsidR="00C6733C" w14:paraId="4324059B" w14:textId="77777777">
        <w:trPr>
          <w:trHeight w:val="630"/>
          <w:jc w:val="center"/>
        </w:trPr>
        <w:tc>
          <w:tcPr>
            <w:tcW w:w="6640" w:type="dxa"/>
            <w:tcBorders>
              <w:top w:val="nil"/>
              <w:left w:val="nil"/>
              <w:bottom w:val="nil"/>
              <w:right w:val="nil"/>
            </w:tcBorders>
            <w:shd w:val="clear" w:color="auto" w:fill="auto"/>
            <w:vAlign w:val="center"/>
            <w:hideMark/>
          </w:tcPr>
          <w:p w14:paraId="37BE4D2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Colegio de Bachilleres del Estado de Oaxaca</w:t>
            </w:r>
          </w:p>
        </w:tc>
        <w:tc>
          <w:tcPr>
            <w:tcW w:w="2040" w:type="dxa"/>
            <w:tcBorders>
              <w:top w:val="nil"/>
              <w:left w:val="nil"/>
              <w:bottom w:val="nil"/>
              <w:right w:val="nil"/>
            </w:tcBorders>
            <w:shd w:val="clear" w:color="auto" w:fill="auto"/>
            <w:noWrap/>
            <w:vAlign w:val="center"/>
            <w:hideMark/>
          </w:tcPr>
          <w:p w14:paraId="1AA1902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1,038,483,582.38</w:t>
            </w:r>
          </w:p>
        </w:tc>
      </w:tr>
      <w:tr w:rsidR="00C6733C" w14:paraId="2567DF60" w14:textId="77777777">
        <w:trPr>
          <w:trHeight w:val="630"/>
          <w:jc w:val="center"/>
        </w:trPr>
        <w:tc>
          <w:tcPr>
            <w:tcW w:w="6640" w:type="dxa"/>
            <w:tcBorders>
              <w:top w:val="nil"/>
              <w:left w:val="nil"/>
              <w:bottom w:val="nil"/>
              <w:right w:val="nil"/>
            </w:tcBorders>
            <w:shd w:val="clear" w:color="auto" w:fill="auto"/>
            <w:vAlign w:val="center"/>
            <w:hideMark/>
          </w:tcPr>
          <w:p w14:paraId="57F7D23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Colegio de </w:t>
            </w:r>
            <w:r>
              <w:rPr>
                <w:rFonts w:ascii="Arial" w:eastAsia="Times New Roman" w:hAnsi="Arial" w:cs="Arial"/>
                <w:color w:val="000000"/>
                <w:lang w:bidi="ar-SA"/>
              </w:rPr>
              <w:t>Estudios Científicos y Tecnológicos del Estado de Oaxaca</w:t>
            </w:r>
          </w:p>
        </w:tc>
        <w:tc>
          <w:tcPr>
            <w:tcW w:w="2040" w:type="dxa"/>
            <w:tcBorders>
              <w:top w:val="nil"/>
              <w:left w:val="nil"/>
              <w:bottom w:val="nil"/>
              <w:right w:val="nil"/>
            </w:tcBorders>
            <w:shd w:val="clear" w:color="auto" w:fill="auto"/>
            <w:noWrap/>
            <w:vAlign w:val="center"/>
            <w:hideMark/>
          </w:tcPr>
          <w:p w14:paraId="5947753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727,812,508.29</w:t>
            </w:r>
          </w:p>
        </w:tc>
      </w:tr>
      <w:tr w:rsidR="00C6733C" w14:paraId="32E6E1DB" w14:textId="77777777">
        <w:trPr>
          <w:trHeight w:val="630"/>
          <w:jc w:val="center"/>
        </w:trPr>
        <w:tc>
          <w:tcPr>
            <w:tcW w:w="6640" w:type="dxa"/>
            <w:tcBorders>
              <w:top w:val="nil"/>
              <w:left w:val="nil"/>
              <w:bottom w:val="nil"/>
              <w:right w:val="nil"/>
            </w:tcBorders>
            <w:shd w:val="clear" w:color="auto" w:fill="auto"/>
            <w:vAlign w:val="center"/>
            <w:hideMark/>
          </w:tcPr>
          <w:p w14:paraId="1CF1220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Colegio Superior para la Educación Integral Intercultural de Oaxaca</w:t>
            </w:r>
          </w:p>
        </w:tc>
        <w:tc>
          <w:tcPr>
            <w:tcW w:w="2040" w:type="dxa"/>
            <w:tcBorders>
              <w:top w:val="nil"/>
              <w:left w:val="nil"/>
              <w:bottom w:val="nil"/>
              <w:right w:val="nil"/>
            </w:tcBorders>
            <w:shd w:val="clear" w:color="auto" w:fill="auto"/>
            <w:noWrap/>
            <w:vAlign w:val="center"/>
            <w:hideMark/>
          </w:tcPr>
          <w:p w14:paraId="69B3D45D"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208,825,342.91</w:t>
            </w:r>
          </w:p>
        </w:tc>
      </w:tr>
      <w:tr w:rsidR="00C6733C" w14:paraId="1AB0D67A" w14:textId="77777777">
        <w:trPr>
          <w:trHeight w:val="630"/>
          <w:jc w:val="center"/>
        </w:trPr>
        <w:tc>
          <w:tcPr>
            <w:tcW w:w="6640" w:type="dxa"/>
            <w:tcBorders>
              <w:top w:val="nil"/>
              <w:left w:val="nil"/>
              <w:bottom w:val="nil"/>
              <w:right w:val="nil"/>
            </w:tcBorders>
            <w:shd w:val="clear" w:color="auto" w:fill="auto"/>
            <w:vAlign w:val="center"/>
            <w:hideMark/>
          </w:tcPr>
          <w:p w14:paraId="5E7361E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de Cultura Física y Deporte</w:t>
            </w:r>
          </w:p>
        </w:tc>
        <w:tc>
          <w:tcPr>
            <w:tcW w:w="2040" w:type="dxa"/>
            <w:tcBorders>
              <w:top w:val="nil"/>
              <w:left w:val="nil"/>
              <w:bottom w:val="nil"/>
              <w:right w:val="nil"/>
            </w:tcBorders>
            <w:shd w:val="clear" w:color="auto" w:fill="auto"/>
            <w:noWrap/>
            <w:vAlign w:val="center"/>
            <w:hideMark/>
          </w:tcPr>
          <w:p w14:paraId="0B7ECDF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59,100,353.87</w:t>
            </w:r>
          </w:p>
        </w:tc>
      </w:tr>
      <w:tr w:rsidR="00C6733C" w14:paraId="4F71C693" w14:textId="77777777">
        <w:trPr>
          <w:trHeight w:val="630"/>
          <w:jc w:val="center"/>
        </w:trPr>
        <w:tc>
          <w:tcPr>
            <w:tcW w:w="6640" w:type="dxa"/>
            <w:tcBorders>
              <w:top w:val="nil"/>
              <w:left w:val="nil"/>
              <w:bottom w:val="nil"/>
              <w:right w:val="nil"/>
            </w:tcBorders>
            <w:shd w:val="clear" w:color="auto" w:fill="auto"/>
            <w:vAlign w:val="center"/>
            <w:hideMark/>
          </w:tcPr>
          <w:p w14:paraId="0D20B3F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de Vivienda</w:t>
            </w:r>
          </w:p>
        </w:tc>
        <w:tc>
          <w:tcPr>
            <w:tcW w:w="2040" w:type="dxa"/>
            <w:tcBorders>
              <w:top w:val="nil"/>
              <w:left w:val="nil"/>
              <w:bottom w:val="nil"/>
              <w:right w:val="nil"/>
            </w:tcBorders>
            <w:shd w:val="clear" w:color="auto" w:fill="auto"/>
            <w:noWrap/>
            <w:vAlign w:val="center"/>
            <w:hideMark/>
          </w:tcPr>
          <w:p w14:paraId="3AA462D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86,611,575.72</w:t>
            </w:r>
          </w:p>
        </w:tc>
      </w:tr>
      <w:tr w:rsidR="00C6733C" w14:paraId="1299642A" w14:textId="77777777">
        <w:trPr>
          <w:trHeight w:val="630"/>
          <w:jc w:val="center"/>
        </w:trPr>
        <w:tc>
          <w:tcPr>
            <w:tcW w:w="6640" w:type="dxa"/>
            <w:tcBorders>
              <w:top w:val="nil"/>
              <w:left w:val="nil"/>
              <w:bottom w:val="nil"/>
              <w:right w:val="nil"/>
            </w:tcBorders>
            <w:shd w:val="clear" w:color="auto" w:fill="auto"/>
            <w:vAlign w:val="center"/>
            <w:hideMark/>
          </w:tcPr>
          <w:p w14:paraId="5ADBCCC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del Agua</w:t>
            </w:r>
          </w:p>
        </w:tc>
        <w:tc>
          <w:tcPr>
            <w:tcW w:w="2040" w:type="dxa"/>
            <w:tcBorders>
              <w:top w:val="nil"/>
              <w:left w:val="nil"/>
              <w:bottom w:val="nil"/>
              <w:right w:val="nil"/>
            </w:tcBorders>
            <w:shd w:val="clear" w:color="auto" w:fill="auto"/>
            <w:noWrap/>
            <w:vAlign w:val="center"/>
            <w:hideMark/>
          </w:tcPr>
          <w:p w14:paraId="3D4B737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249,129,774.10</w:t>
            </w:r>
          </w:p>
        </w:tc>
      </w:tr>
      <w:tr w:rsidR="00C6733C" w14:paraId="2C01B97E" w14:textId="77777777">
        <w:trPr>
          <w:trHeight w:val="630"/>
          <w:jc w:val="center"/>
        </w:trPr>
        <w:tc>
          <w:tcPr>
            <w:tcW w:w="6640" w:type="dxa"/>
            <w:tcBorders>
              <w:top w:val="nil"/>
              <w:left w:val="nil"/>
              <w:bottom w:val="nil"/>
              <w:right w:val="nil"/>
            </w:tcBorders>
            <w:shd w:val="clear" w:color="auto" w:fill="auto"/>
            <w:vAlign w:val="center"/>
            <w:hideMark/>
          </w:tcPr>
          <w:p w14:paraId="21A4611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Forestal</w:t>
            </w:r>
          </w:p>
        </w:tc>
        <w:tc>
          <w:tcPr>
            <w:tcW w:w="2040" w:type="dxa"/>
            <w:tcBorders>
              <w:top w:val="nil"/>
              <w:left w:val="nil"/>
              <w:bottom w:val="nil"/>
              <w:right w:val="nil"/>
            </w:tcBorders>
            <w:shd w:val="clear" w:color="auto" w:fill="auto"/>
            <w:noWrap/>
            <w:vAlign w:val="center"/>
            <w:hideMark/>
          </w:tcPr>
          <w:p w14:paraId="3A2EAF2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8,973,480.29</w:t>
            </w:r>
          </w:p>
        </w:tc>
      </w:tr>
      <w:tr w:rsidR="00C6733C" w14:paraId="73B8CB16" w14:textId="77777777">
        <w:trPr>
          <w:trHeight w:val="630"/>
          <w:jc w:val="center"/>
        </w:trPr>
        <w:tc>
          <w:tcPr>
            <w:tcW w:w="6640" w:type="dxa"/>
            <w:tcBorders>
              <w:top w:val="nil"/>
              <w:left w:val="nil"/>
              <w:bottom w:val="nil"/>
              <w:right w:val="nil"/>
            </w:tcBorders>
            <w:shd w:val="clear" w:color="auto" w:fill="auto"/>
            <w:vAlign w:val="center"/>
            <w:hideMark/>
          </w:tcPr>
          <w:p w14:paraId="5935E03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para la Planeación de la Educación Superior en el Estado de Oaxaca</w:t>
            </w:r>
          </w:p>
        </w:tc>
        <w:tc>
          <w:tcPr>
            <w:tcW w:w="2040" w:type="dxa"/>
            <w:tcBorders>
              <w:top w:val="nil"/>
              <w:left w:val="nil"/>
              <w:bottom w:val="nil"/>
              <w:right w:val="nil"/>
            </w:tcBorders>
            <w:shd w:val="clear" w:color="auto" w:fill="auto"/>
            <w:noWrap/>
            <w:vAlign w:val="center"/>
            <w:hideMark/>
          </w:tcPr>
          <w:p w14:paraId="02E7050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1,851,011.52</w:t>
            </w:r>
          </w:p>
        </w:tc>
      </w:tr>
      <w:tr w:rsidR="00C6733C" w14:paraId="0CAC3E24" w14:textId="77777777">
        <w:trPr>
          <w:trHeight w:val="630"/>
          <w:jc w:val="center"/>
        </w:trPr>
        <w:tc>
          <w:tcPr>
            <w:tcW w:w="6640" w:type="dxa"/>
            <w:tcBorders>
              <w:top w:val="nil"/>
              <w:left w:val="nil"/>
              <w:bottom w:val="nil"/>
              <w:right w:val="nil"/>
            </w:tcBorders>
            <w:shd w:val="clear" w:color="auto" w:fill="auto"/>
            <w:vAlign w:val="center"/>
            <w:hideMark/>
          </w:tcPr>
          <w:p w14:paraId="1353FA4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Comisión Estatal para la Planeación y </w:t>
            </w:r>
            <w:r>
              <w:rPr>
                <w:rFonts w:ascii="Arial" w:eastAsia="Times New Roman" w:hAnsi="Arial" w:cs="Arial"/>
                <w:color w:val="000000"/>
                <w:lang w:bidi="ar-SA"/>
              </w:rPr>
              <w:t>Programación de la Educación Media Superior del Estado de Oaxaca</w:t>
            </w:r>
          </w:p>
        </w:tc>
        <w:tc>
          <w:tcPr>
            <w:tcW w:w="2040" w:type="dxa"/>
            <w:tcBorders>
              <w:top w:val="nil"/>
              <w:left w:val="nil"/>
              <w:bottom w:val="nil"/>
              <w:right w:val="nil"/>
            </w:tcBorders>
            <w:shd w:val="clear" w:color="auto" w:fill="auto"/>
            <w:noWrap/>
            <w:vAlign w:val="center"/>
            <w:hideMark/>
          </w:tcPr>
          <w:p w14:paraId="17B4C31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1,160,501.76</w:t>
            </w:r>
          </w:p>
        </w:tc>
      </w:tr>
      <w:tr w:rsidR="00C6733C" w14:paraId="50FA3FB8" w14:textId="77777777">
        <w:trPr>
          <w:trHeight w:val="630"/>
          <w:jc w:val="center"/>
        </w:trPr>
        <w:tc>
          <w:tcPr>
            <w:tcW w:w="6640" w:type="dxa"/>
            <w:tcBorders>
              <w:top w:val="nil"/>
              <w:left w:val="nil"/>
              <w:bottom w:val="nil"/>
              <w:right w:val="nil"/>
            </w:tcBorders>
            <w:shd w:val="clear" w:color="auto" w:fill="auto"/>
            <w:vAlign w:val="center"/>
            <w:hideMark/>
          </w:tcPr>
          <w:p w14:paraId="46D8B22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para la Regularización de la Tenencia de la Tierra Urbana del Estado de Oaxaca</w:t>
            </w:r>
          </w:p>
        </w:tc>
        <w:tc>
          <w:tcPr>
            <w:tcW w:w="2040" w:type="dxa"/>
            <w:tcBorders>
              <w:top w:val="nil"/>
              <w:left w:val="nil"/>
              <w:bottom w:val="nil"/>
              <w:right w:val="nil"/>
            </w:tcBorders>
            <w:shd w:val="clear" w:color="auto" w:fill="auto"/>
            <w:noWrap/>
            <w:vAlign w:val="center"/>
            <w:hideMark/>
          </w:tcPr>
          <w:p w14:paraId="02389D6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4,591,832.05</w:t>
            </w:r>
          </w:p>
        </w:tc>
      </w:tr>
      <w:tr w:rsidR="00C6733C" w14:paraId="76F5F83F" w14:textId="77777777">
        <w:trPr>
          <w:trHeight w:val="630"/>
          <w:jc w:val="center"/>
        </w:trPr>
        <w:tc>
          <w:tcPr>
            <w:tcW w:w="6640" w:type="dxa"/>
            <w:tcBorders>
              <w:top w:val="nil"/>
              <w:left w:val="nil"/>
              <w:bottom w:val="nil"/>
              <w:right w:val="nil"/>
            </w:tcBorders>
            <w:shd w:val="clear" w:color="auto" w:fill="auto"/>
            <w:vAlign w:val="center"/>
            <w:hideMark/>
          </w:tcPr>
          <w:p w14:paraId="2B6B598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Consejo Estatal para la Prevención y Control del SIDA</w:t>
            </w:r>
          </w:p>
        </w:tc>
        <w:tc>
          <w:tcPr>
            <w:tcW w:w="2040" w:type="dxa"/>
            <w:tcBorders>
              <w:top w:val="nil"/>
              <w:left w:val="nil"/>
              <w:bottom w:val="nil"/>
              <w:right w:val="nil"/>
            </w:tcBorders>
            <w:shd w:val="clear" w:color="auto" w:fill="auto"/>
            <w:noWrap/>
            <w:vAlign w:val="center"/>
            <w:hideMark/>
          </w:tcPr>
          <w:p w14:paraId="5055644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9,897,296.18</w:t>
            </w:r>
          </w:p>
        </w:tc>
      </w:tr>
      <w:tr w:rsidR="00C6733C" w14:paraId="756780C8" w14:textId="77777777">
        <w:trPr>
          <w:trHeight w:val="630"/>
          <w:jc w:val="center"/>
        </w:trPr>
        <w:tc>
          <w:tcPr>
            <w:tcW w:w="6640" w:type="dxa"/>
            <w:tcBorders>
              <w:top w:val="nil"/>
              <w:left w:val="nil"/>
              <w:bottom w:val="nil"/>
              <w:right w:val="nil"/>
            </w:tcBorders>
            <w:shd w:val="clear" w:color="auto" w:fill="auto"/>
            <w:vAlign w:val="center"/>
            <w:hideMark/>
          </w:tcPr>
          <w:p w14:paraId="5541890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Consejo Oaxaqueño de Ciencia, Tecnología e Innovación</w:t>
            </w:r>
          </w:p>
        </w:tc>
        <w:tc>
          <w:tcPr>
            <w:tcW w:w="2040" w:type="dxa"/>
            <w:tcBorders>
              <w:top w:val="nil"/>
              <w:left w:val="nil"/>
              <w:bottom w:val="nil"/>
              <w:right w:val="nil"/>
            </w:tcBorders>
            <w:shd w:val="clear" w:color="auto" w:fill="auto"/>
            <w:noWrap/>
            <w:vAlign w:val="center"/>
            <w:hideMark/>
          </w:tcPr>
          <w:p w14:paraId="4E32294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3,814,778.60</w:t>
            </w:r>
          </w:p>
        </w:tc>
      </w:tr>
      <w:tr w:rsidR="00C6733C" w14:paraId="35350F00" w14:textId="77777777">
        <w:trPr>
          <w:trHeight w:val="630"/>
          <w:jc w:val="center"/>
        </w:trPr>
        <w:tc>
          <w:tcPr>
            <w:tcW w:w="6640" w:type="dxa"/>
            <w:tcBorders>
              <w:top w:val="nil"/>
              <w:left w:val="nil"/>
              <w:bottom w:val="nil"/>
              <w:right w:val="nil"/>
            </w:tcBorders>
            <w:shd w:val="clear" w:color="auto" w:fill="auto"/>
            <w:vAlign w:val="center"/>
            <w:hideMark/>
          </w:tcPr>
          <w:p w14:paraId="1EC464A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Estatal de Protección Civil de Oaxaca</w:t>
            </w:r>
          </w:p>
        </w:tc>
        <w:tc>
          <w:tcPr>
            <w:tcW w:w="2040" w:type="dxa"/>
            <w:tcBorders>
              <w:top w:val="nil"/>
              <w:left w:val="nil"/>
              <w:bottom w:val="nil"/>
              <w:right w:val="nil"/>
            </w:tcBorders>
            <w:shd w:val="clear" w:color="auto" w:fill="auto"/>
            <w:noWrap/>
            <w:vAlign w:val="center"/>
            <w:hideMark/>
          </w:tcPr>
          <w:p w14:paraId="6F55449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14,412,179.94</w:t>
            </w:r>
          </w:p>
        </w:tc>
      </w:tr>
      <w:tr w:rsidR="00C6733C" w14:paraId="4E4FAF4E" w14:textId="77777777">
        <w:trPr>
          <w:trHeight w:val="630"/>
          <w:jc w:val="center"/>
        </w:trPr>
        <w:tc>
          <w:tcPr>
            <w:tcW w:w="6640" w:type="dxa"/>
            <w:tcBorders>
              <w:top w:val="nil"/>
              <w:left w:val="nil"/>
              <w:bottom w:val="nil"/>
              <w:right w:val="nil"/>
            </w:tcBorders>
            <w:shd w:val="clear" w:color="auto" w:fill="auto"/>
            <w:vAlign w:val="center"/>
            <w:hideMark/>
          </w:tcPr>
          <w:p w14:paraId="4F8D4B0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Corporación Oaxaqueña de Radio y Televisión</w:t>
            </w:r>
          </w:p>
        </w:tc>
        <w:tc>
          <w:tcPr>
            <w:tcW w:w="2040" w:type="dxa"/>
            <w:tcBorders>
              <w:top w:val="nil"/>
              <w:left w:val="nil"/>
              <w:bottom w:val="nil"/>
              <w:right w:val="nil"/>
            </w:tcBorders>
            <w:shd w:val="clear" w:color="auto" w:fill="auto"/>
            <w:noWrap/>
            <w:vAlign w:val="center"/>
            <w:hideMark/>
          </w:tcPr>
          <w:p w14:paraId="7A84A8E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57,859,970.35</w:t>
            </w:r>
          </w:p>
        </w:tc>
      </w:tr>
      <w:tr w:rsidR="00C6733C" w14:paraId="3D6C202F" w14:textId="77777777">
        <w:trPr>
          <w:trHeight w:val="630"/>
          <w:jc w:val="center"/>
        </w:trPr>
        <w:tc>
          <w:tcPr>
            <w:tcW w:w="6640" w:type="dxa"/>
            <w:tcBorders>
              <w:top w:val="nil"/>
              <w:left w:val="nil"/>
              <w:bottom w:val="nil"/>
              <w:right w:val="nil"/>
            </w:tcBorders>
            <w:shd w:val="clear" w:color="auto" w:fill="auto"/>
            <w:vAlign w:val="center"/>
            <w:hideMark/>
          </w:tcPr>
          <w:p w14:paraId="62052F0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Dirección General de Población de Oaxaca</w:t>
            </w:r>
          </w:p>
        </w:tc>
        <w:tc>
          <w:tcPr>
            <w:tcW w:w="2040" w:type="dxa"/>
            <w:tcBorders>
              <w:top w:val="nil"/>
              <w:left w:val="nil"/>
              <w:bottom w:val="nil"/>
              <w:right w:val="nil"/>
            </w:tcBorders>
            <w:shd w:val="clear" w:color="auto" w:fill="auto"/>
            <w:noWrap/>
            <w:vAlign w:val="center"/>
            <w:hideMark/>
          </w:tcPr>
          <w:p w14:paraId="7BE93A3D"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4,370,70</w:t>
            </w:r>
            <w:r>
              <w:rPr>
                <w:rFonts w:ascii="Arial" w:eastAsia="Times New Roman" w:hAnsi="Arial" w:cs="Arial"/>
                <w:color w:val="000000"/>
                <w:lang w:bidi="ar-SA"/>
              </w:rPr>
              <w:t>8.41</w:t>
            </w:r>
          </w:p>
        </w:tc>
      </w:tr>
      <w:tr w:rsidR="00C6733C" w14:paraId="5C73A170" w14:textId="77777777">
        <w:trPr>
          <w:trHeight w:val="630"/>
          <w:jc w:val="center"/>
        </w:trPr>
        <w:tc>
          <w:tcPr>
            <w:tcW w:w="6640" w:type="dxa"/>
            <w:tcBorders>
              <w:top w:val="nil"/>
              <w:left w:val="nil"/>
              <w:bottom w:val="nil"/>
              <w:right w:val="nil"/>
            </w:tcBorders>
            <w:shd w:val="clear" w:color="auto" w:fill="auto"/>
            <w:vAlign w:val="center"/>
            <w:hideMark/>
          </w:tcPr>
          <w:p w14:paraId="781B85C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Hospital de la Niñez Oaxaqueña</w:t>
            </w:r>
          </w:p>
        </w:tc>
        <w:tc>
          <w:tcPr>
            <w:tcW w:w="2040" w:type="dxa"/>
            <w:tcBorders>
              <w:top w:val="nil"/>
              <w:left w:val="nil"/>
              <w:bottom w:val="nil"/>
              <w:right w:val="nil"/>
            </w:tcBorders>
            <w:shd w:val="clear" w:color="auto" w:fill="auto"/>
            <w:noWrap/>
            <w:vAlign w:val="center"/>
            <w:hideMark/>
          </w:tcPr>
          <w:p w14:paraId="52E9552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31,042,071.69</w:t>
            </w:r>
          </w:p>
        </w:tc>
      </w:tr>
      <w:tr w:rsidR="00C6733C" w14:paraId="70E19CEB" w14:textId="77777777">
        <w:trPr>
          <w:trHeight w:val="630"/>
          <w:jc w:val="center"/>
        </w:trPr>
        <w:tc>
          <w:tcPr>
            <w:tcW w:w="6640" w:type="dxa"/>
            <w:tcBorders>
              <w:top w:val="nil"/>
              <w:left w:val="nil"/>
              <w:bottom w:val="nil"/>
              <w:right w:val="nil"/>
            </w:tcBorders>
            <w:shd w:val="clear" w:color="auto" w:fill="auto"/>
            <w:vAlign w:val="center"/>
            <w:hideMark/>
          </w:tcPr>
          <w:p w14:paraId="5B05265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Capacitación y Productividad para el Trabajo del Estado de Oaxaca</w:t>
            </w:r>
          </w:p>
        </w:tc>
        <w:tc>
          <w:tcPr>
            <w:tcW w:w="2040" w:type="dxa"/>
            <w:tcBorders>
              <w:top w:val="nil"/>
              <w:left w:val="nil"/>
              <w:bottom w:val="nil"/>
              <w:right w:val="nil"/>
            </w:tcBorders>
            <w:shd w:val="clear" w:color="auto" w:fill="auto"/>
            <w:noWrap/>
            <w:vAlign w:val="center"/>
            <w:hideMark/>
          </w:tcPr>
          <w:p w14:paraId="6F9CE3F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72,915,474.61</w:t>
            </w:r>
          </w:p>
        </w:tc>
      </w:tr>
      <w:tr w:rsidR="00C6733C" w14:paraId="555FF157" w14:textId="77777777">
        <w:trPr>
          <w:trHeight w:val="630"/>
          <w:jc w:val="center"/>
        </w:trPr>
        <w:tc>
          <w:tcPr>
            <w:tcW w:w="6640" w:type="dxa"/>
            <w:tcBorders>
              <w:top w:val="nil"/>
              <w:left w:val="nil"/>
              <w:bottom w:val="nil"/>
              <w:right w:val="nil"/>
            </w:tcBorders>
            <w:shd w:val="clear" w:color="auto" w:fill="auto"/>
            <w:vAlign w:val="center"/>
            <w:hideMark/>
          </w:tcPr>
          <w:p w14:paraId="1A4DD3B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Estudios de Bachillerato del Estado de Oaxaca</w:t>
            </w:r>
          </w:p>
        </w:tc>
        <w:tc>
          <w:tcPr>
            <w:tcW w:w="2040" w:type="dxa"/>
            <w:tcBorders>
              <w:top w:val="nil"/>
              <w:left w:val="nil"/>
              <w:bottom w:val="nil"/>
              <w:right w:val="nil"/>
            </w:tcBorders>
            <w:shd w:val="clear" w:color="auto" w:fill="auto"/>
            <w:noWrap/>
            <w:vAlign w:val="center"/>
            <w:hideMark/>
          </w:tcPr>
          <w:p w14:paraId="36BEEB9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362,236,672.07</w:t>
            </w:r>
          </w:p>
        </w:tc>
      </w:tr>
      <w:tr w:rsidR="00C6733C" w14:paraId="7D73074B" w14:textId="77777777">
        <w:trPr>
          <w:trHeight w:val="630"/>
          <w:jc w:val="center"/>
        </w:trPr>
        <w:tc>
          <w:tcPr>
            <w:tcW w:w="6640" w:type="dxa"/>
            <w:tcBorders>
              <w:top w:val="nil"/>
              <w:left w:val="nil"/>
              <w:bottom w:val="nil"/>
              <w:right w:val="nil"/>
            </w:tcBorders>
            <w:shd w:val="clear" w:color="auto" w:fill="auto"/>
            <w:vAlign w:val="center"/>
            <w:hideMark/>
          </w:tcPr>
          <w:p w14:paraId="5CBA846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Instituto de la Juventud del </w:t>
            </w:r>
            <w:r>
              <w:rPr>
                <w:rFonts w:ascii="Arial" w:eastAsia="Times New Roman" w:hAnsi="Arial" w:cs="Arial"/>
                <w:color w:val="000000"/>
                <w:lang w:bidi="ar-SA"/>
              </w:rPr>
              <w:t>Estado de Oaxaca</w:t>
            </w:r>
          </w:p>
        </w:tc>
        <w:tc>
          <w:tcPr>
            <w:tcW w:w="2040" w:type="dxa"/>
            <w:tcBorders>
              <w:top w:val="nil"/>
              <w:left w:val="nil"/>
              <w:bottom w:val="nil"/>
              <w:right w:val="nil"/>
            </w:tcBorders>
            <w:shd w:val="clear" w:color="auto" w:fill="auto"/>
            <w:noWrap/>
            <w:vAlign w:val="center"/>
            <w:hideMark/>
          </w:tcPr>
          <w:p w14:paraId="7A7534A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22,077,517.41</w:t>
            </w:r>
          </w:p>
        </w:tc>
      </w:tr>
      <w:tr w:rsidR="00C6733C" w14:paraId="2890956C" w14:textId="77777777">
        <w:trPr>
          <w:trHeight w:val="630"/>
          <w:jc w:val="center"/>
        </w:trPr>
        <w:tc>
          <w:tcPr>
            <w:tcW w:w="6640" w:type="dxa"/>
            <w:tcBorders>
              <w:top w:val="nil"/>
              <w:left w:val="nil"/>
              <w:bottom w:val="nil"/>
              <w:right w:val="nil"/>
            </w:tcBorders>
            <w:shd w:val="clear" w:color="auto" w:fill="auto"/>
            <w:vAlign w:val="center"/>
            <w:hideMark/>
          </w:tcPr>
          <w:p w14:paraId="40EBD3D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del Patrimonio Cultural del Estado de Oaxaca</w:t>
            </w:r>
          </w:p>
        </w:tc>
        <w:tc>
          <w:tcPr>
            <w:tcW w:w="2040" w:type="dxa"/>
            <w:tcBorders>
              <w:top w:val="nil"/>
              <w:left w:val="nil"/>
              <w:bottom w:val="nil"/>
              <w:right w:val="nil"/>
            </w:tcBorders>
            <w:shd w:val="clear" w:color="auto" w:fill="auto"/>
            <w:noWrap/>
            <w:vAlign w:val="center"/>
            <w:hideMark/>
          </w:tcPr>
          <w:p w14:paraId="322AA1D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6,841,467.02</w:t>
            </w:r>
          </w:p>
        </w:tc>
      </w:tr>
      <w:tr w:rsidR="00C6733C" w14:paraId="135B8C9F" w14:textId="77777777">
        <w:trPr>
          <w:trHeight w:val="630"/>
          <w:jc w:val="center"/>
        </w:trPr>
        <w:tc>
          <w:tcPr>
            <w:tcW w:w="6640" w:type="dxa"/>
            <w:tcBorders>
              <w:top w:val="nil"/>
              <w:left w:val="nil"/>
              <w:bottom w:val="nil"/>
              <w:right w:val="nil"/>
            </w:tcBorders>
            <w:shd w:val="clear" w:color="auto" w:fill="auto"/>
            <w:vAlign w:val="center"/>
            <w:hideMark/>
          </w:tcPr>
          <w:p w14:paraId="4DC1068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de Educación para Adultos</w:t>
            </w:r>
          </w:p>
        </w:tc>
        <w:tc>
          <w:tcPr>
            <w:tcW w:w="2040" w:type="dxa"/>
            <w:tcBorders>
              <w:top w:val="nil"/>
              <w:left w:val="nil"/>
              <w:bottom w:val="nil"/>
              <w:right w:val="nil"/>
            </w:tcBorders>
            <w:shd w:val="clear" w:color="auto" w:fill="auto"/>
            <w:noWrap/>
            <w:vAlign w:val="center"/>
            <w:hideMark/>
          </w:tcPr>
          <w:p w14:paraId="012569E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157,183,987.00</w:t>
            </w:r>
          </w:p>
        </w:tc>
      </w:tr>
      <w:tr w:rsidR="00C6733C" w14:paraId="14613721" w14:textId="77777777">
        <w:trPr>
          <w:trHeight w:val="630"/>
          <w:jc w:val="center"/>
        </w:trPr>
        <w:tc>
          <w:tcPr>
            <w:tcW w:w="6640" w:type="dxa"/>
            <w:tcBorders>
              <w:top w:val="nil"/>
              <w:left w:val="nil"/>
              <w:bottom w:val="nil"/>
              <w:right w:val="nil"/>
            </w:tcBorders>
            <w:shd w:val="clear" w:color="auto" w:fill="auto"/>
            <w:vAlign w:val="center"/>
            <w:hideMark/>
          </w:tcPr>
          <w:p w14:paraId="3A2E65D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de Educación Pública de Oaxaca</w:t>
            </w:r>
          </w:p>
        </w:tc>
        <w:tc>
          <w:tcPr>
            <w:tcW w:w="2040" w:type="dxa"/>
            <w:tcBorders>
              <w:top w:val="nil"/>
              <w:left w:val="nil"/>
              <w:bottom w:val="nil"/>
              <w:right w:val="nil"/>
            </w:tcBorders>
            <w:shd w:val="clear" w:color="auto" w:fill="auto"/>
            <w:noWrap/>
            <w:vAlign w:val="center"/>
            <w:hideMark/>
          </w:tcPr>
          <w:p w14:paraId="210693C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23,668,537,149.00</w:t>
            </w:r>
          </w:p>
        </w:tc>
      </w:tr>
      <w:tr w:rsidR="00C6733C" w14:paraId="5CB71198" w14:textId="77777777">
        <w:trPr>
          <w:trHeight w:val="630"/>
          <w:jc w:val="center"/>
        </w:trPr>
        <w:tc>
          <w:tcPr>
            <w:tcW w:w="6640" w:type="dxa"/>
            <w:tcBorders>
              <w:top w:val="nil"/>
              <w:left w:val="nil"/>
              <w:bottom w:val="nil"/>
              <w:right w:val="nil"/>
            </w:tcBorders>
            <w:shd w:val="clear" w:color="auto" w:fill="auto"/>
            <w:vAlign w:val="center"/>
            <w:hideMark/>
          </w:tcPr>
          <w:p w14:paraId="708CB90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Instituto </w:t>
            </w:r>
            <w:r>
              <w:rPr>
                <w:rFonts w:ascii="Arial" w:eastAsia="Times New Roman" w:hAnsi="Arial" w:cs="Arial"/>
                <w:color w:val="000000"/>
                <w:lang w:bidi="ar-SA"/>
              </w:rPr>
              <w:t>Oaxaqueño Constructor de Infraestructura Física Educativa</w:t>
            </w:r>
          </w:p>
        </w:tc>
        <w:tc>
          <w:tcPr>
            <w:tcW w:w="2040" w:type="dxa"/>
            <w:tcBorders>
              <w:top w:val="nil"/>
              <w:left w:val="nil"/>
              <w:bottom w:val="nil"/>
              <w:right w:val="nil"/>
            </w:tcBorders>
            <w:shd w:val="clear" w:color="auto" w:fill="auto"/>
            <w:noWrap/>
            <w:vAlign w:val="center"/>
            <w:hideMark/>
          </w:tcPr>
          <w:p w14:paraId="61A39C7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30,165,077.70</w:t>
            </w:r>
          </w:p>
        </w:tc>
      </w:tr>
      <w:tr w:rsidR="00C6733C" w14:paraId="66E440F7" w14:textId="77777777">
        <w:trPr>
          <w:trHeight w:val="630"/>
          <w:jc w:val="center"/>
        </w:trPr>
        <w:tc>
          <w:tcPr>
            <w:tcW w:w="6640" w:type="dxa"/>
            <w:tcBorders>
              <w:top w:val="nil"/>
              <w:left w:val="nil"/>
              <w:bottom w:val="nil"/>
              <w:right w:val="nil"/>
            </w:tcBorders>
            <w:shd w:val="clear" w:color="auto" w:fill="auto"/>
            <w:vAlign w:val="center"/>
            <w:hideMark/>
          </w:tcPr>
          <w:p w14:paraId="762AD82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Oaxaqueño de Atención al Migrante</w:t>
            </w:r>
          </w:p>
        </w:tc>
        <w:tc>
          <w:tcPr>
            <w:tcW w:w="2040" w:type="dxa"/>
            <w:tcBorders>
              <w:top w:val="nil"/>
              <w:left w:val="nil"/>
              <w:bottom w:val="nil"/>
              <w:right w:val="nil"/>
            </w:tcBorders>
            <w:shd w:val="clear" w:color="auto" w:fill="auto"/>
            <w:noWrap/>
            <w:vAlign w:val="center"/>
            <w:hideMark/>
          </w:tcPr>
          <w:p w14:paraId="64B3F5A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24,580,099.62</w:t>
            </w:r>
          </w:p>
        </w:tc>
      </w:tr>
      <w:tr w:rsidR="00C6733C" w14:paraId="40BB5577" w14:textId="77777777">
        <w:trPr>
          <w:trHeight w:val="630"/>
          <w:jc w:val="center"/>
        </w:trPr>
        <w:tc>
          <w:tcPr>
            <w:tcW w:w="6640" w:type="dxa"/>
            <w:tcBorders>
              <w:top w:val="nil"/>
              <w:left w:val="nil"/>
              <w:bottom w:val="nil"/>
              <w:right w:val="nil"/>
            </w:tcBorders>
            <w:shd w:val="clear" w:color="auto" w:fill="auto"/>
            <w:vAlign w:val="center"/>
            <w:hideMark/>
          </w:tcPr>
          <w:p w14:paraId="5D9D252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Oaxaqueño de las Artesanías</w:t>
            </w:r>
          </w:p>
        </w:tc>
        <w:tc>
          <w:tcPr>
            <w:tcW w:w="2040" w:type="dxa"/>
            <w:tcBorders>
              <w:top w:val="nil"/>
              <w:left w:val="nil"/>
              <w:bottom w:val="nil"/>
              <w:right w:val="nil"/>
            </w:tcBorders>
            <w:shd w:val="clear" w:color="auto" w:fill="auto"/>
            <w:noWrap/>
            <w:vAlign w:val="center"/>
            <w:hideMark/>
          </w:tcPr>
          <w:p w14:paraId="70A68EA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11,323,158.25</w:t>
            </w:r>
          </w:p>
        </w:tc>
      </w:tr>
      <w:tr w:rsidR="00C6733C" w14:paraId="01A8C6A8" w14:textId="77777777">
        <w:trPr>
          <w:trHeight w:val="630"/>
          <w:jc w:val="center"/>
        </w:trPr>
        <w:tc>
          <w:tcPr>
            <w:tcW w:w="6640" w:type="dxa"/>
            <w:tcBorders>
              <w:top w:val="nil"/>
              <w:left w:val="nil"/>
              <w:bottom w:val="nil"/>
              <w:right w:val="nil"/>
            </w:tcBorders>
            <w:shd w:val="clear" w:color="auto" w:fill="auto"/>
            <w:vAlign w:val="center"/>
            <w:hideMark/>
          </w:tcPr>
          <w:p w14:paraId="6DCA841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Tecnológico Superior de San Miguel el Grande</w:t>
            </w:r>
          </w:p>
        </w:tc>
        <w:tc>
          <w:tcPr>
            <w:tcW w:w="2040" w:type="dxa"/>
            <w:tcBorders>
              <w:top w:val="nil"/>
              <w:left w:val="nil"/>
              <w:bottom w:val="nil"/>
              <w:right w:val="nil"/>
            </w:tcBorders>
            <w:shd w:val="clear" w:color="auto" w:fill="auto"/>
            <w:noWrap/>
            <w:vAlign w:val="center"/>
            <w:hideMark/>
          </w:tcPr>
          <w:p w14:paraId="0D39E8E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28,440,958.00</w:t>
            </w:r>
          </w:p>
        </w:tc>
      </w:tr>
      <w:tr w:rsidR="00C6733C" w14:paraId="089B6883" w14:textId="77777777">
        <w:trPr>
          <w:trHeight w:val="630"/>
          <w:jc w:val="center"/>
        </w:trPr>
        <w:tc>
          <w:tcPr>
            <w:tcW w:w="6640" w:type="dxa"/>
            <w:tcBorders>
              <w:top w:val="nil"/>
              <w:left w:val="nil"/>
              <w:bottom w:val="nil"/>
              <w:right w:val="nil"/>
            </w:tcBorders>
            <w:shd w:val="clear" w:color="auto" w:fill="auto"/>
            <w:vAlign w:val="center"/>
            <w:hideMark/>
          </w:tcPr>
          <w:p w14:paraId="42D9BB4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w:t>
            </w:r>
            <w:r>
              <w:rPr>
                <w:rFonts w:ascii="Arial" w:eastAsia="Times New Roman" w:hAnsi="Arial" w:cs="Arial"/>
                <w:color w:val="000000"/>
                <w:lang w:bidi="ar-SA"/>
              </w:rPr>
              <w:t>nstituto Tecnológico Superior de Teposcolula</w:t>
            </w:r>
          </w:p>
        </w:tc>
        <w:tc>
          <w:tcPr>
            <w:tcW w:w="2040" w:type="dxa"/>
            <w:tcBorders>
              <w:top w:val="nil"/>
              <w:left w:val="nil"/>
              <w:bottom w:val="nil"/>
              <w:right w:val="nil"/>
            </w:tcBorders>
            <w:shd w:val="clear" w:color="auto" w:fill="auto"/>
            <w:noWrap/>
            <w:vAlign w:val="center"/>
            <w:hideMark/>
          </w:tcPr>
          <w:p w14:paraId="35F1642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28,725,328.00</w:t>
            </w:r>
          </w:p>
        </w:tc>
      </w:tr>
      <w:tr w:rsidR="00C6733C" w14:paraId="5CF65F6C" w14:textId="77777777">
        <w:trPr>
          <w:trHeight w:val="630"/>
          <w:jc w:val="center"/>
        </w:trPr>
        <w:tc>
          <w:tcPr>
            <w:tcW w:w="6640" w:type="dxa"/>
            <w:tcBorders>
              <w:top w:val="nil"/>
              <w:left w:val="nil"/>
              <w:bottom w:val="nil"/>
              <w:right w:val="nil"/>
            </w:tcBorders>
            <w:shd w:val="clear" w:color="auto" w:fill="auto"/>
            <w:vAlign w:val="center"/>
            <w:hideMark/>
          </w:tcPr>
          <w:p w14:paraId="4D051C3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Novauniversitas</w:t>
            </w:r>
          </w:p>
        </w:tc>
        <w:tc>
          <w:tcPr>
            <w:tcW w:w="2040" w:type="dxa"/>
            <w:tcBorders>
              <w:top w:val="nil"/>
              <w:left w:val="nil"/>
              <w:bottom w:val="nil"/>
              <w:right w:val="nil"/>
            </w:tcBorders>
            <w:shd w:val="clear" w:color="auto" w:fill="auto"/>
            <w:noWrap/>
            <w:vAlign w:val="center"/>
            <w:hideMark/>
          </w:tcPr>
          <w:p w14:paraId="5819484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29,336,393.00</w:t>
            </w:r>
          </w:p>
        </w:tc>
      </w:tr>
      <w:tr w:rsidR="00C6733C" w14:paraId="629979C5" w14:textId="77777777">
        <w:trPr>
          <w:trHeight w:val="630"/>
          <w:jc w:val="center"/>
        </w:trPr>
        <w:tc>
          <w:tcPr>
            <w:tcW w:w="6640" w:type="dxa"/>
            <w:tcBorders>
              <w:top w:val="nil"/>
              <w:left w:val="nil"/>
              <w:bottom w:val="nil"/>
              <w:right w:val="nil"/>
            </w:tcBorders>
            <w:shd w:val="clear" w:color="auto" w:fill="auto"/>
            <w:vAlign w:val="center"/>
            <w:hideMark/>
          </w:tcPr>
          <w:p w14:paraId="72B7A2B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Agua Potable y Alcantarillado de Oaxaca</w:t>
            </w:r>
          </w:p>
        </w:tc>
        <w:tc>
          <w:tcPr>
            <w:tcW w:w="2040" w:type="dxa"/>
            <w:tcBorders>
              <w:top w:val="nil"/>
              <w:left w:val="nil"/>
              <w:bottom w:val="nil"/>
              <w:right w:val="nil"/>
            </w:tcBorders>
            <w:shd w:val="clear" w:color="auto" w:fill="auto"/>
            <w:noWrap/>
            <w:vAlign w:val="center"/>
            <w:hideMark/>
          </w:tcPr>
          <w:p w14:paraId="09E99F8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246,325,077.47</w:t>
            </w:r>
          </w:p>
        </w:tc>
      </w:tr>
      <w:tr w:rsidR="00C6733C" w14:paraId="4CB38457" w14:textId="77777777">
        <w:trPr>
          <w:trHeight w:val="630"/>
          <w:jc w:val="center"/>
        </w:trPr>
        <w:tc>
          <w:tcPr>
            <w:tcW w:w="6640" w:type="dxa"/>
            <w:tcBorders>
              <w:top w:val="nil"/>
              <w:left w:val="nil"/>
              <w:bottom w:val="nil"/>
              <w:right w:val="nil"/>
            </w:tcBorders>
            <w:shd w:val="clear" w:color="auto" w:fill="auto"/>
            <w:vAlign w:val="center"/>
            <w:hideMark/>
          </w:tcPr>
          <w:p w14:paraId="34E16D3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Salud de Oaxaca</w:t>
            </w:r>
          </w:p>
        </w:tc>
        <w:tc>
          <w:tcPr>
            <w:tcW w:w="2040" w:type="dxa"/>
            <w:tcBorders>
              <w:top w:val="nil"/>
              <w:left w:val="nil"/>
              <w:bottom w:val="nil"/>
              <w:right w:val="nil"/>
            </w:tcBorders>
            <w:shd w:val="clear" w:color="auto" w:fill="auto"/>
            <w:noWrap/>
            <w:vAlign w:val="center"/>
            <w:hideMark/>
          </w:tcPr>
          <w:p w14:paraId="472760A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6,312,574,564.68</w:t>
            </w:r>
          </w:p>
        </w:tc>
      </w:tr>
      <w:tr w:rsidR="00C6733C" w14:paraId="2EDBFB52" w14:textId="77777777">
        <w:trPr>
          <w:trHeight w:val="630"/>
          <w:jc w:val="center"/>
        </w:trPr>
        <w:tc>
          <w:tcPr>
            <w:tcW w:w="6640" w:type="dxa"/>
            <w:tcBorders>
              <w:top w:val="nil"/>
              <w:left w:val="nil"/>
              <w:bottom w:val="nil"/>
              <w:right w:val="nil"/>
            </w:tcBorders>
            <w:shd w:val="clear" w:color="auto" w:fill="auto"/>
            <w:vAlign w:val="center"/>
            <w:hideMark/>
          </w:tcPr>
          <w:p w14:paraId="1DE8D4C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Sistema para el Desarrollo Integral de la </w:t>
            </w:r>
            <w:r>
              <w:rPr>
                <w:rFonts w:ascii="Arial" w:eastAsia="Times New Roman" w:hAnsi="Arial" w:cs="Arial"/>
                <w:color w:val="000000"/>
                <w:lang w:bidi="ar-SA"/>
              </w:rPr>
              <w:t>Familia del Estado de Oaxaca</w:t>
            </w:r>
          </w:p>
        </w:tc>
        <w:tc>
          <w:tcPr>
            <w:tcW w:w="2040" w:type="dxa"/>
            <w:tcBorders>
              <w:top w:val="nil"/>
              <w:left w:val="nil"/>
              <w:bottom w:val="nil"/>
              <w:right w:val="nil"/>
            </w:tcBorders>
            <w:shd w:val="clear" w:color="auto" w:fill="auto"/>
            <w:noWrap/>
            <w:vAlign w:val="center"/>
            <w:hideMark/>
          </w:tcPr>
          <w:p w14:paraId="083686B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298,783,822.08</w:t>
            </w:r>
          </w:p>
        </w:tc>
      </w:tr>
      <w:tr w:rsidR="00C6733C" w14:paraId="3F3DB8EA" w14:textId="77777777">
        <w:trPr>
          <w:trHeight w:val="630"/>
          <w:jc w:val="center"/>
        </w:trPr>
        <w:tc>
          <w:tcPr>
            <w:tcW w:w="6640" w:type="dxa"/>
            <w:tcBorders>
              <w:top w:val="nil"/>
              <w:left w:val="nil"/>
              <w:bottom w:val="nil"/>
              <w:right w:val="nil"/>
            </w:tcBorders>
            <w:shd w:val="clear" w:color="auto" w:fill="auto"/>
            <w:vAlign w:val="center"/>
            <w:hideMark/>
          </w:tcPr>
          <w:p w14:paraId="4845398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Chalcatongo</w:t>
            </w:r>
          </w:p>
        </w:tc>
        <w:tc>
          <w:tcPr>
            <w:tcW w:w="2040" w:type="dxa"/>
            <w:tcBorders>
              <w:top w:val="nil"/>
              <w:left w:val="nil"/>
              <w:bottom w:val="nil"/>
              <w:right w:val="nil"/>
            </w:tcBorders>
            <w:shd w:val="clear" w:color="auto" w:fill="auto"/>
            <w:noWrap/>
            <w:vAlign w:val="center"/>
            <w:hideMark/>
          </w:tcPr>
          <w:p w14:paraId="22BCC77D"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15,878,580.00</w:t>
            </w:r>
          </w:p>
        </w:tc>
      </w:tr>
      <w:tr w:rsidR="00C6733C" w14:paraId="7AD42265" w14:textId="77777777">
        <w:trPr>
          <w:trHeight w:val="630"/>
          <w:jc w:val="center"/>
        </w:trPr>
        <w:tc>
          <w:tcPr>
            <w:tcW w:w="6640" w:type="dxa"/>
            <w:tcBorders>
              <w:top w:val="nil"/>
              <w:left w:val="nil"/>
              <w:bottom w:val="nil"/>
              <w:right w:val="nil"/>
            </w:tcBorders>
            <w:shd w:val="clear" w:color="auto" w:fill="auto"/>
            <w:vAlign w:val="center"/>
            <w:hideMark/>
          </w:tcPr>
          <w:p w14:paraId="3DEBACD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Cañada</w:t>
            </w:r>
          </w:p>
        </w:tc>
        <w:tc>
          <w:tcPr>
            <w:tcW w:w="2040" w:type="dxa"/>
            <w:tcBorders>
              <w:top w:val="nil"/>
              <w:left w:val="nil"/>
              <w:bottom w:val="nil"/>
              <w:right w:val="nil"/>
            </w:tcBorders>
            <w:shd w:val="clear" w:color="auto" w:fill="auto"/>
            <w:noWrap/>
            <w:vAlign w:val="center"/>
            <w:hideMark/>
          </w:tcPr>
          <w:p w14:paraId="1551B68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25,461,992.00</w:t>
            </w:r>
          </w:p>
        </w:tc>
      </w:tr>
      <w:tr w:rsidR="00C6733C" w14:paraId="36C99D26" w14:textId="77777777">
        <w:trPr>
          <w:trHeight w:val="630"/>
          <w:jc w:val="center"/>
        </w:trPr>
        <w:tc>
          <w:tcPr>
            <w:tcW w:w="6640" w:type="dxa"/>
            <w:tcBorders>
              <w:top w:val="nil"/>
              <w:left w:val="nil"/>
              <w:bottom w:val="nil"/>
              <w:right w:val="nil"/>
            </w:tcBorders>
            <w:shd w:val="clear" w:color="auto" w:fill="auto"/>
            <w:vAlign w:val="center"/>
            <w:hideMark/>
          </w:tcPr>
          <w:p w14:paraId="3738763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Costa</w:t>
            </w:r>
          </w:p>
        </w:tc>
        <w:tc>
          <w:tcPr>
            <w:tcW w:w="2040" w:type="dxa"/>
            <w:tcBorders>
              <w:top w:val="nil"/>
              <w:left w:val="nil"/>
              <w:bottom w:val="nil"/>
              <w:right w:val="nil"/>
            </w:tcBorders>
            <w:shd w:val="clear" w:color="auto" w:fill="auto"/>
            <w:noWrap/>
            <w:vAlign w:val="center"/>
            <w:hideMark/>
          </w:tcPr>
          <w:p w14:paraId="0C1C5A8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14,336,534.00</w:t>
            </w:r>
          </w:p>
        </w:tc>
      </w:tr>
      <w:tr w:rsidR="00C6733C" w14:paraId="62BA2D12" w14:textId="77777777">
        <w:trPr>
          <w:trHeight w:val="630"/>
          <w:jc w:val="center"/>
        </w:trPr>
        <w:tc>
          <w:tcPr>
            <w:tcW w:w="6640" w:type="dxa"/>
            <w:tcBorders>
              <w:top w:val="nil"/>
              <w:left w:val="nil"/>
              <w:bottom w:val="nil"/>
              <w:right w:val="nil"/>
            </w:tcBorders>
            <w:shd w:val="clear" w:color="auto" w:fill="auto"/>
            <w:vAlign w:val="center"/>
            <w:hideMark/>
          </w:tcPr>
          <w:p w14:paraId="6F9E85C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Juárez</w:t>
            </w:r>
          </w:p>
        </w:tc>
        <w:tc>
          <w:tcPr>
            <w:tcW w:w="2040" w:type="dxa"/>
            <w:tcBorders>
              <w:top w:val="nil"/>
              <w:left w:val="nil"/>
              <w:bottom w:val="nil"/>
              <w:right w:val="nil"/>
            </w:tcBorders>
            <w:shd w:val="clear" w:color="auto" w:fill="auto"/>
            <w:noWrap/>
            <w:vAlign w:val="center"/>
            <w:hideMark/>
          </w:tcPr>
          <w:p w14:paraId="2F80293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29,959,486.00</w:t>
            </w:r>
          </w:p>
        </w:tc>
      </w:tr>
      <w:tr w:rsidR="00C6733C" w14:paraId="1662FE49" w14:textId="77777777">
        <w:trPr>
          <w:trHeight w:val="630"/>
          <w:jc w:val="center"/>
        </w:trPr>
        <w:tc>
          <w:tcPr>
            <w:tcW w:w="6640" w:type="dxa"/>
            <w:tcBorders>
              <w:top w:val="nil"/>
              <w:left w:val="nil"/>
              <w:bottom w:val="nil"/>
              <w:right w:val="nil"/>
            </w:tcBorders>
            <w:shd w:val="clear" w:color="auto" w:fill="auto"/>
            <w:vAlign w:val="center"/>
            <w:hideMark/>
          </w:tcPr>
          <w:p w14:paraId="1B6002A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Sur</w:t>
            </w:r>
          </w:p>
        </w:tc>
        <w:tc>
          <w:tcPr>
            <w:tcW w:w="2040" w:type="dxa"/>
            <w:tcBorders>
              <w:top w:val="nil"/>
              <w:left w:val="nil"/>
              <w:bottom w:val="nil"/>
              <w:right w:val="nil"/>
            </w:tcBorders>
            <w:shd w:val="clear" w:color="auto" w:fill="auto"/>
            <w:noWrap/>
            <w:vAlign w:val="center"/>
            <w:hideMark/>
          </w:tcPr>
          <w:p w14:paraId="4D53795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71,916,445.00</w:t>
            </w:r>
          </w:p>
        </w:tc>
      </w:tr>
      <w:tr w:rsidR="00C6733C" w14:paraId="3EB4BC60" w14:textId="77777777">
        <w:trPr>
          <w:trHeight w:val="630"/>
          <w:jc w:val="center"/>
        </w:trPr>
        <w:tc>
          <w:tcPr>
            <w:tcW w:w="6640" w:type="dxa"/>
            <w:tcBorders>
              <w:top w:val="nil"/>
              <w:left w:val="nil"/>
              <w:bottom w:val="nil"/>
              <w:right w:val="nil"/>
            </w:tcBorders>
            <w:shd w:val="clear" w:color="auto" w:fill="auto"/>
            <w:vAlign w:val="center"/>
            <w:hideMark/>
          </w:tcPr>
          <w:p w14:paraId="6EC1FDC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Istmo</w:t>
            </w:r>
          </w:p>
        </w:tc>
        <w:tc>
          <w:tcPr>
            <w:tcW w:w="2040" w:type="dxa"/>
            <w:tcBorders>
              <w:top w:val="nil"/>
              <w:left w:val="nil"/>
              <w:bottom w:val="nil"/>
              <w:right w:val="nil"/>
            </w:tcBorders>
            <w:shd w:val="clear" w:color="auto" w:fill="auto"/>
            <w:noWrap/>
            <w:vAlign w:val="center"/>
            <w:hideMark/>
          </w:tcPr>
          <w:p w14:paraId="23318B2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80,725,582.00</w:t>
            </w:r>
          </w:p>
        </w:tc>
      </w:tr>
      <w:tr w:rsidR="00C6733C" w14:paraId="491879C9" w14:textId="77777777">
        <w:trPr>
          <w:trHeight w:val="630"/>
          <w:jc w:val="center"/>
        </w:trPr>
        <w:tc>
          <w:tcPr>
            <w:tcW w:w="6640" w:type="dxa"/>
            <w:tcBorders>
              <w:top w:val="nil"/>
              <w:left w:val="nil"/>
              <w:bottom w:val="nil"/>
              <w:right w:val="nil"/>
            </w:tcBorders>
            <w:shd w:val="clear" w:color="auto" w:fill="auto"/>
            <w:vAlign w:val="center"/>
            <w:hideMark/>
          </w:tcPr>
          <w:p w14:paraId="36AB7AD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Mar</w:t>
            </w:r>
          </w:p>
        </w:tc>
        <w:tc>
          <w:tcPr>
            <w:tcW w:w="2040" w:type="dxa"/>
            <w:tcBorders>
              <w:top w:val="nil"/>
              <w:left w:val="nil"/>
              <w:bottom w:val="nil"/>
              <w:right w:val="nil"/>
            </w:tcBorders>
            <w:shd w:val="clear" w:color="auto" w:fill="auto"/>
            <w:noWrap/>
            <w:vAlign w:val="center"/>
            <w:hideMark/>
          </w:tcPr>
          <w:p w14:paraId="6B94DE1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181,144,950.00</w:t>
            </w:r>
          </w:p>
        </w:tc>
      </w:tr>
      <w:tr w:rsidR="00C6733C" w14:paraId="040B90BC" w14:textId="77777777">
        <w:trPr>
          <w:trHeight w:val="630"/>
          <w:jc w:val="center"/>
        </w:trPr>
        <w:tc>
          <w:tcPr>
            <w:tcW w:w="6640" w:type="dxa"/>
            <w:tcBorders>
              <w:top w:val="nil"/>
              <w:left w:val="nil"/>
              <w:bottom w:val="nil"/>
              <w:right w:val="nil"/>
            </w:tcBorders>
            <w:shd w:val="clear" w:color="auto" w:fill="auto"/>
            <w:vAlign w:val="center"/>
            <w:hideMark/>
          </w:tcPr>
          <w:p w14:paraId="4B04E9A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Papaloapan</w:t>
            </w:r>
          </w:p>
        </w:tc>
        <w:tc>
          <w:tcPr>
            <w:tcW w:w="2040" w:type="dxa"/>
            <w:tcBorders>
              <w:top w:val="nil"/>
              <w:left w:val="nil"/>
              <w:bottom w:val="nil"/>
              <w:right w:val="nil"/>
            </w:tcBorders>
            <w:shd w:val="clear" w:color="auto" w:fill="auto"/>
            <w:noWrap/>
            <w:vAlign w:val="center"/>
            <w:hideMark/>
          </w:tcPr>
          <w:p w14:paraId="1684E9D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86,277,846.00</w:t>
            </w:r>
          </w:p>
        </w:tc>
      </w:tr>
      <w:tr w:rsidR="00C6733C" w14:paraId="20C316EB" w14:textId="77777777">
        <w:trPr>
          <w:trHeight w:val="630"/>
          <w:jc w:val="center"/>
        </w:trPr>
        <w:tc>
          <w:tcPr>
            <w:tcW w:w="6640" w:type="dxa"/>
            <w:tcBorders>
              <w:top w:val="nil"/>
              <w:left w:val="nil"/>
              <w:bottom w:val="nil"/>
              <w:right w:val="nil"/>
            </w:tcBorders>
            <w:shd w:val="clear" w:color="auto" w:fill="auto"/>
            <w:vAlign w:val="center"/>
            <w:hideMark/>
          </w:tcPr>
          <w:p w14:paraId="4ABC358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Mixteca</w:t>
            </w:r>
          </w:p>
        </w:tc>
        <w:tc>
          <w:tcPr>
            <w:tcW w:w="2040" w:type="dxa"/>
            <w:tcBorders>
              <w:top w:val="nil"/>
              <w:left w:val="nil"/>
              <w:bottom w:val="nil"/>
              <w:right w:val="nil"/>
            </w:tcBorders>
            <w:shd w:val="clear" w:color="auto" w:fill="auto"/>
            <w:noWrap/>
            <w:vAlign w:val="center"/>
            <w:hideMark/>
          </w:tcPr>
          <w:p w14:paraId="315EE6A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156,481,113.00</w:t>
            </w:r>
          </w:p>
        </w:tc>
      </w:tr>
      <w:tr w:rsidR="00C6733C" w14:paraId="45FFB71B" w14:textId="77777777">
        <w:trPr>
          <w:trHeight w:val="630"/>
          <w:jc w:val="center"/>
        </w:trPr>
        <w:tc>
          <w:tcPr>
            <w:tcW w:w="6640" w:type="dxa"/>
            <w:tcBorders>
              <w:top w:val="nil"/>
              <w:left w:val="nil"/>
              <w:bottom w:val="nil"/>
              <w:right w:val="nil"/>
            </w:tcBorders>
            <w:shd w:val="clear" w:color="auto" w:fill="auto"/>
            <w:vAlign w:val="center"/>
            <w:hideMark/>
          </w:tcPr>
          <w:p w14:paraId="7752FA1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Sierra Sur de Oaxaca</w:t>
            </w:r>
          </w:p>
        </w:tc>
        <w:tc>
          <w:tcPr>
            <w:tcW w:w="2040" w:type="dxa"/>
            <w:tcBorders>
              <w:top w:val="nil"/>
              <w:left w:val="nil"/>
              <w:bottom w:val="nil"/>
              <w:right w:val="nil"/>
            </w:tcBorders>
            <w:shd w:val="clear" w:color="auto" w:fill="auto"/>
            <w:noWrap/>
            <w:vAlign w:val="center"/>
            <w:hideMark/>
          </w:tcPr>
          <w:p w14:paraId="4550C0C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12,452,276.00</w:t>
            </w:r>
          </w:p>
        </w:tc>
      </w:tr>
      <w:tr w:rsidR="00C6733C" w14:paraId="207AFE75" w14:textId="77777777">
        <w:trPr>
          <w:trHeight w:val="630"/>
          <w:jc w:val="center"/>
        </w:trPr>
        <w:tc>
          <w:tcPr>
            <w:tcW w:w="6640" w:type="dxa"/>
            <w:tcBorders>
              <w:top w:val="nil"/>
              <w:left w:val="nil"/>
              <w:bottom w:val="nil"/>
              <w:right w:val="nil"/>
            </w:tcBorders>
            <w:shd w:val="clear" w:color="auto" w:fill="auto"/>
            <w:vAlign w:val="center"/>
            <w:hideMark/>
          </w:tcPr>
          <w:p w14:paraId="7E205E7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los Valles Centrales de Oaxaca</w:t>
            </w:r>
          </w:p>
        </w:tc>
        <w:tc>
          <w:tcPr>
            <w:tcW w:w="2040" w:type="dxa"/>
            <w:tcBorders>
              <w:top w:val="nil"/>
              <w:left w:val="nil"/>
              <w:bottom w:val="nil"/>
              <w:right w:val="nil"/>
            </w:tcBorders>
            <w:shd w:val="clear" w:color="auto" w:fill="auto"/>
            <w:noWrap/>
            <w:vAlign w:val="center"/>
            <w:hideMark/>
          </w:tcPr>
          <w:p w14:paraId="3AD535B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38,196,444.00</w:t>
            </w:r>
          </w:p>
        </w:tc>
      </w:tr>
      <w:tr w:rsidR="00C6733C" w14:paraId="0EDA129B" w14:textId="77777777">
        <w:trPr>
          <w:trHeight w:val="630"/>
          <w:jc w:val="center"/>
        </w:trPr>
        <w:tc>
          <w:tcPr>
            <w:tcW w:w="6640" w:type="dxa"/>
            <w:tcBorders>
              <w:top w:val="nil"/>
              <w:left w:val="nil"/>
              <w:bottom w:val="nil"/>
              <w:right w:val="nil"/>
            </w:tcBorders>
            <w:shd w:val="clear" w:color="auto" w:fill="auto"/>
            <w:vAlign w:val="center"/>
            <w:hideMark/>
          </w:tcPr>
          <w:p w14:paraId="298098D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Régimen Estatal de Protección Social en Salud del Estado de Oaxaca</w:t>
            </w:r>
          </w:p>
        </w:tc>
        <w:tc>
          <w:tcPr>
            <w:tcW w:w="2040" w:type="dxa"/>
            <w:tcBorders>
              <w:top w:val="nil"/>
              <w:left w:val="nil"/>
              <w:bottom w:val="nil"/>
              <w:right w:val="nil"/>
            </w:tcBorders>
            <w:shd w:val="clear" w:color="auto" w:fill="auto"/>
            <w:noWrap/>
            <w:vAlign w:val="center"/>
            <w:hideMark/>
          </w:tcPr>
          <w:p w14:paraId="4574046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2,000,000,000.00</w:t>
            </w:r>
          </w:p>
        </w:tc>
      </w:tr>
      <w:tr w:rsidR="00C6733C" w14:paraId="7E3854D6" w14:textId="77777777">
        <w:trPr>
          <w:trHeight w:val="630"/>
          <w:jc w:val="center"/>
        </w:trPr>
        <w:tc>
          <w:tcPr>
            <w:tcW w:w="6640" w:type="dxa"/>
            <w:tcBorders>
              <w:top w:val="nil"/>
              <w:left w:val="nil"/>
              <w:bottom w:val="nil"/>
              <w:right w:val="nil"/>
            </w:tcBorders>
            <w:shd w:val="clear" w:color="auto" w:fill="auto"/>
            <w:vAlign w:val="center"/>
            <w:hideMark/>
          </w:tcPr>
          <w:p w14:paraId="5F086B5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Defensoría Pública del Estado de Oaxaca</w:t>
            </w:r>
          </w:p>
        </w:tc>
        <w:tc>
          <w:tcPr>
            <w:tcW w:w="2040" w:type="dxa"/>
            <w:tcBorders>
              <w:top w:val="nil"/>
              <w:left w:val="nil"/>
              <w:bottom w:val="nil"/>
              <w:right w:val="nil"/>
            </w:tcBorders>
            <w:shd w:val="clear" w:color="auto" w:fill="auto"/>
            <w:noWrap/>
            <w:vAlign w:val="center"/>
            <w:hideMark/>
          </w:tcPr>
          <w:p w14:paraId="610B012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62,449,119.94</w:t>
            </w:r>
          </w:p>
        </w:tc>
      </w:tr>
      <w:tr w:rsidR="00C6733C" w14:paraId="117ED35D" w14:textId="77777777">
        <w:trPr>
          <w:trHeight w:val="630"/>
          <w:jc w:val="center"/>
        </w:trPr>
        <w:tc>
          <w:tcPr>
            <w:tcW w:w="6640" w:type="dxa"/>
            <w:tcBorders>
              <w:top w:val="nil"/>
              <w:left w:val="nil"/>
              <w:bottom w:val="nil"/>
              <w:right w:val="nil"/>
            </w:tcBorders>
            <w:shd w:val="clear" w:color="auto" w:fill="auto"/>
            <w:vAlign w:val="center"/>
            <w:hideMark/>
          </w:tcPr>
          <w:p w14:paraId="521B98D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Instituto Oaxaqueño del </w:t>
            </w:r>
            <w:r>
              <w:rPr>
                <w:rFonts w:ascii="Arial" w:eastAsia="Times New Roman" w:hAnsi="Arial" w:cs="Arial"/>
                <w:color w:val="000000"/>
                <w:lang w:bidi="ar-SA"/>
              </w:rPr>
              <w:t>Emprendedor y de la Competitividad</w:t>
            </w:r>
          </w:p>
        </w:tc>
        <w:tc>
          <w:tcPr>
            <w:tcW w:w="2040" w:type="dxa"/>
            <w:tcBorders>
              <w:top w:val="nil"/>
              <w:left w:val="nil"/>
              <w:bottom w:val="nil"/>
              <w:right w:val="nil"/>
            </w:tcBorders>
            <w:shd w:val="clear" w:color="auto" w:fill="auto"/>
            <w:noWrap/>
            <w:vAlign w:val="center"/>
            <w:hideMark/>
          </w:tcPr>
          <w:p w14:paraId="07C451B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12,258,692.74</w:t>
            </w:r>
          </w:p>
        </w:tc>
      </w:tr>
      <w:tr w:rsidR="00C6733C" w14:paraId="14555E23" w14:textId="77777777">
        <w:trPr>
          <w:trHeight w:val="630"/>
          <w:jc w:val="center"/>
        </w:trPr>
        <w:tc>
          <w:tcPr>
            <w:tcW w:w="6640" w:type="dxa"/>
            <w:tcBorders>
              <w:top w:val="nil"/>
              <w:left w:val="nil"/>
              <w:bottom w:val="nil"/>
              <w:right w:val="nil"/>
            </w:tcBorders>
            <w:shd w:val="clear" w:color="auto" w:fill="auto"/>
            <w:vAlign w:val="center"/>
            <w:hideMark/>
          </w:tcPr>
          <w:p w14:paraId="497F450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la Función Registral del Estado de Oaxaca</w:t>
            </w:r>
          </w:p>
        </w:tc>
        <w:tc>
          <w:tcPr>
            <w:tcW w:w="2040" w:type="dxa"/>
            <w:tcBorders>
              <w:top w:val="nil"/>
              <w:left w:val="nil"/>
              <w:bottom w:val="nil"/>
              <w:right w:val="nil"/>
            </w:tcBorders>
            <w:shd w:val="clear" w:color="auto" w:fill="auto"/>
            <w:noWrap/>
            <w:vAlign w:val="center"/>
            <w:hideMark/>
          </w:tcPr>
          <w:p w14:paraId="3287871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16,388,217.47</w:t>
            </w:r>
          </w:p>
        </w:tc>
      </w:tr>
      <w:tr w:rsidR="00C6733C" w14:paraId="13509D96" w14:textId="77777777">
        <w:trPr>
          <w:trHeight w:val="630"/>
          <w:jc w:val="center"/>
        </w:trPr>
        <w:tc>
          <w:tcPr>
            <w:tcW w:w="6640" w:type="dxa"/>
            <w:tcBorders>
              <w:top w:val="nil"/>
              <w:left w:val="nil"/>
              <w:bottom w:val="nil"/>
              <w:right w:val="nil"/>
            </w:tcBorders>
            <w:shd w:val="clear" w:color="auto" w:fill="auto"/>
            <w:vAlign w:val="center"/>
            <w:hideMark/>
          </w:tcPr>
          <w:p w14:paraId="2A0918B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Ejecutiva del Sistema Estatal de Combate a la Corrupción</w:t>
            </w:r>
          </w:p>
        </w:tc>
        <w:tc>
          <w:tcPr>
            <w:tcW w:w="2040" w:type="dxa"/>
            <w:tcBorders>
              <w:top w:val="nil"/>
              <w:left w:val="nil"/>
              <w:bottom w:val="nil"/>
              <w:right w:val="nil"/>
            </w:tcBorders>
            <w:shd w:val="clear" w:color="auto" w:fill="auto"/>
            <w:noWrap/>
            <w:vAlign w:val="center"/>
            <w:hideMark/>
          </w:tcPr>
          <w:p w14:paraId="3A06009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17,323,113.15</w:t>
            </w:r>
          </w:p>
        </w:tc>
      </w:tr>
      <w:tr w:rsidR="00C6733C" w14:paraId="52A52AB6" w14:textId="77777777">
        <w:trPr>
          <w:trHeight w:val="630"/>
          <w:jc w:val="center"/>
        </w:trPr>
        <w:tc>
          <w:tcPr>
            <w:tcW w:w="6640" w:type="dxa"/>
            <w:tcBorders>
              <w:top w:val="nil"/>
              <w:left w:val="nil"/>
              <w:bottom w:val="nil"/>
              <w:right w:val="nil"/>
            </w:tcBorders>
            <w:shd w:val="clear" w:color="auto" w:fill="auto"/>
            <w:vAlign w:val="center"/>
            <w:hideMark/>
          </w:tcPr>
          <w:p w14:paraId="16BA2DF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Organismo Operador Encargado de la Gestión y Manejo I</w:t>
            </w:r>
            <w:r>
              <w:rPr>
                <w:rFonts w:ascii="Arial" w:eastAsia="Times New Roman" w:hAnsi="Arial" w:cs="Arial"/>
                <w:color w:val="000000"/>
                <w:lang w:bidi="ar-SA"/>
              </w:rPr>
              <w:t>ntegral de los Residuos Sólidos Urbanos y de Manejo Especial del Estado de Oaxaca</w:t>
            </w:r>
          </w:p>
        </w:tc>
        <w:tc>
          <w:tcPr>
            <w:tcW w:w="2040" w:type="dxa"/>
            <w:tcBorders>
              <w:top w:val="nil"/>
              <w:left w:val="nil"/>
              <w:bottom w:val="nil"/>
              <w:right w:val="nil"/>
            </w:tcBorders>
            <w:shd w:val="clear" w:color="auto" w:fill="auto"/>
            <w:noWrap/>
            <w:vAlign w:val="center"/>
            <w:hideMark/>
          </w:tcPr>
          <w:p w14:paraId="7F82A94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3,344,463.98</w:t>
            </w:r>
          </w:p>
        </w:tc>
      </w:tr>
      <w:tr w:rsidR="00C6733C" w14:paraId="7B0605B6" w14:textId="77777777">
        <w:trPr>
          <w:trHeight w:val="630"/>
          <w:jc w:val="center"/>
        </w:trPr>
        <w:tc>
          <w:tcPr>
            <w:tcW w:w="6640" w:type="dxa"/>
            <w:tcBorders>
              <w:top w:val="nil"/>
              <w:left w:val="nil"/>
              <w:bottom w:val="nil"/>
              <w:right w:val="nil"/>
            </w:tcBorders>
            <w:shd w:val="clear" w:color="auto" w:fill="auto"/>
            <w:vAlign w:val="center"/>
            <w:hideMark/>
          </w:tcPr>
          <w:p w14:paraId="2564763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Atención Regional</w:t>
            </w:r>
          </w:p>
        </w:tc>
        <w:tc>
          <w:tcPr>
            <w:tcW w:w="2040" w:type="dxa"/>
            <w:tcBorders>
              <w:top w:val="nil"/>
              <w:left w:val="nil"/>
              <w:bottom w:val="nil"/>
              <w:right w:val="nil"/>
            </w:tcBorders>
            <w:shd w:val="clear" w:color="auto" w:fill="auto"/>
            <w:noWrap/>
            <w:vAlign w:val="center"/>
            <w:hideMark/>
          </w:tcPr>
          <w:p w14:paraId="1A16E2C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27,394,891.00</w:t>
            </w:r>
          </w:p>
        </w:tc>
      </w:tr>
      <w:tr w:rsidR="00C6733C" w14:paraId="58A0E14D" w14:textId="77777777">
        <w:trPr>
          <w:trHeight w:val="630"/>
          <w:jc w:val="center"/>
        </w:trPr>
        <w:tc>
          <w:tcPr>
            <w:tcW w:w="6640" w:type="dxa"/>
            <w:tcBorders>
              <w:top w:val="nil"/>
              <w:left w:val="nil"/>
              <w:bottom w:val="nil"/>
              <w:right w:val="nil"/>
            </w:tcBorders>
            <w:shd w:val="clear" w:color="auto" w:fill="auto"/>
            <w:vAlign w:val="center"/>
            <w:hideMark/>
          </w:tcPr>
          <w:p w14:paraId="3116242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Telebachillerato Comunitario del Estado de Oaxaca</w:t>
            </w:r>
          </w:p>
        </w:tc>
        <w:tc>
          <w:tcPr>
            <w:tcW w:w="2040" w:type="dxa"/>
            <w:tcBorders>
              <w:top w:val="nil"/>
              <w:left w:val="nil"/>
              <w:bottom w:val="nil"/>
              <w:right w:val="nil"/>
            </w:tcBorders>
            <w:shd w:val="clear" w:color="auto" w:fill="auto"/>
            <w:noWrap/>
            <w:vAlign w:val="center"/>
            <w:hideMark/>
          </w:tcPr>
          <w:p w14:paraId="3975007F"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15,047,783.97</w:t>
            </w:r>
          </w:p>
        </w:tc>
      </w:tr>
      <w:tr w:rsidR="00C6733C" w14:paraId="1D3C23A9" w14:textId="77777777">
        <w:trPr>
          <w:trHeight w:val="630"/>
          <w:jc w:val="center"/>
        </w:trPr>
        <w:tc>
          <w:tcPr>
            <w:tcW w:w="6640" w:type="dxa"/>
            <w:tcBorders>
              <w:top w:val="nil"/>
              <w:left w:val="nil"/>
              <w:bottom w:val="nil"/>
              <w:right w:val="nil"/>
            </w:tcBorders>
            <w:shd w:val="clear" w:color="auto" w:fill="auto"/>
            <w:vAlign w:val="center"/>
            <w:hideMark/>
          </w:tcPr>
          <w:p w14:paraId="2EF026A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Coordinación General de </w:t>
            </w:r>
            <w:r>
              <w:rPr>
                <w:rFonts w:ascii="Arial" w:eastAsia="Times New Roman" w:hAnsi="Arial" w:cs="Arial"/>
                <w:color w:val="000000"/>
                <w:lang w:bidi="ar-SA"/>
              </w:rPr>
              <w:t>Unidades y Caravanas Móviles de Servicios Gratuitos</w:t>
            </w:r>
          </w:p>
        </w:tc>
        <w:tc>
          <w:tcPr>
            <w:tcW w:w="2040" w:type="dxa"/>
            <w:tcBorders>
              <w:top w:val="nil"/>
              <w:left w:val="nil"/>
              <w:bottom w:val="nil"/>
              <w:right w:val="nil"/>
            </w:tcBorders>
            <w:shd w:val="clear" w:color="auto" w:fill="auto"/>
            <w:noWrap/>
            <w:vAlign w:val="center"/>
            <w:hideMark/>
          </w:tcPr>
          <w:p w14:paraId="4E07D32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13,510,427.45</w:t>
            </w:r>
          </w:p>
        </w:tc>
      </w:tr>
      <w:tr w:rsidR="00C6733C" w14:paraId="564B7845" w14:textId="77777777">
        <w:trPr>
          <w:trHeight w:val="630"/>
          <w:jc w:val="center"/>
        </w:trPr>
        <w:tc>
          <w:tcPr>
            <w:tcW w:w="6640" w:type="dxa"/>
            <w:tcBorders>
              <w:top w:val="nil"/>
              <w:left w:val="nil"/>
              <w:bottom w:val="nil"/>
              <w:right w:val="nil"/>
            </w:tcBorders>
            <w:shd w:val="clear" w:color="auto" w:fill="auto"/>
            <w:vAlign w:val="center"/>
            <w:hideMark/>
          </w:tcPr>
          <w:p w14:paraId="2730CF7B"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Fideicomisos Públicos</w:t>
            </w:r>
          </w:p>
        </w:tc>
        <w:tc>
          <w:tcPr>
            <w:tcW w:w="2040" w:type="dxa"/>
            <w:tcBorders>
              <w:top w:val="nil"/>
              <w:left w:val="nil"/>
              <w:bottom w:val="nil"/>
              <w:right w:val="nil"/>
            </w:tcBorders>
            <w:shd w:val="clear" w:color="auto" w:fill="auto"/>
            <w:noWrap/>
            <w:vAlign w:val="center"/>
            <w:hideMark/>
          </w:tcPr>
          <w:p w14:paraId="1694674B"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 xml:space="preserve">16,134,894.86 </w:t>
            </w:r>
          </w:p>
        </w:tc>
      </w:tr>
      <w:tr w:rsidR="00C6733C" w14:paraId="135CEB78" w14:textId="77777777">
        <w:trPr>
          <w:trHeight w:val="630"/>
          <w:jc w:val="center"/>
        </w:trPr>
        <w:tc>
          <w:tcPr>
            <w:tcW w:w="6640" w:type="dxa"/>
            <w:tcBorders>
              <w:top w:val="nil"/>
              <w:left w:val="nil"/>
              <w:bottom w:val="nil"/>
              <w:right w:val="nil"/>
            </w:tcBorders>
            <w:shd w:val="clear" w:color="auto" w:fill="auto"/>
            <w:vAlign w:val="center"/>
            <w:hideMark/>
          </w:tcPr>
          <w:p w14:paraId="2851C89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Fideicomiso para el Desarrollo Logístico del Estado de Oaxaca</w:t>
            </w:r>
          </w:p>
        </w:tc>
        <w:tc>
          <w:tcPr>
            <w:tcW w:w="2040" w:type="dxa"/>
            <w:tcBorders>
              <w:top w:val="nil"/>
              <w:left w:val="nil"/>
              <w:bottom w:val="nil"/>
              <w:right w:val="nil"/>
            </w:tcBorders>
            <w:shd w:val="clear" w:color="auto" w:fill="auto"/>
            <w:noWrap/>
            <w:vAlign w:val="center"/>
            <w:hideMark/>
          </w:tcPr>
          <w:p w14:paraId="6489BE7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7,024,815.58</w:t>
            </w:r>
          </w:p>
        </w:tc>
      </w:tr>
      <w:tr w:rsidR="00C6733C" w14:paraId="14B4483D" w14:textId="77777777">
        <w:trPr>
          <w:trHeight w:val="630"/>
          <w:jc w:val="center"/>
        </w:trPr>
        <w:tc>
          <w:tcPr>
            <w:tcW w:w="6640" w:type="dxa"/>
            <w:tcBorders>
              <w:top w:val="nil"/>
              <w:left w:val="nil"/>
              <w:bottom w:val="nil"/>
              <w:right w:val="nil"/>
            </w:tcBorders>
            <w:shd w:val="clear" w:color="auto" w:fill="auto"/>
            <w:vAlign w:val="center"/>
            <w:hideMark/>
          </w:tcPr>
          <w:p w14:paraId="6EC2275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Fideicomiso de Fomento para el Estado de Oaxaca</w:t>
            </w:r>
          </w:p>
        </w:tc>
        <w:tc>
          <w:tcPr>
            <w:tcW w:w="2040" w:type="dxa"/>
            <w:tcBorders>
              <w:top w:val="nil"/>
              <w:left w:val="nil"/>
              <w:bottom w:val="nil"/>
              <w:right w:val="nil"/>
            </w:tcBorders>
            <w:shd w:val="clear" w:color="auto" w:fill="auto"/>
            <w:noWrap/>
            <w:vAlign w:val="center"/>
            <w:hideMark/>
          </w:tcPr>
          <w:p w14:paraId="296B4EA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5,796,156.46</w:t>
            </w:r>
          </w:p>
        </w:tc>
      </w:tr>
      <w:tr w:rsidR="00C6733C" w14:paraId="5D7E9757" w14:textId="77777777">
        <w:trPr>
          <w:trHeight w:val="630"/>
          <w:jc w:val="center"/>
        </w:trPr>
        <w:tc>
          <w:tcPr>
            <w:tcW w:w="6640" w:type="dxa"/>
            <w:tcBorders>
              <w:top w:val="nil"/>
              <w:left w:val="nil"/>
              <w:bottom w:val="nil"/>
              <w:right w:val="nil"/>
            </w:tcBorders>
            <w:shd w:val="clear" w:color="auto" w:fill="auto"/>
            <w:vAlign w:val="center"/>
            <w:hideMark/>
          </w:tcPr>
          <w:p w14:paraId="6344062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Oficina de Convenciones y Visitantes de Oaxaca “OCV OAXACA”</w:t>
            </w:r>
          </w:p>
        </w:tc>
        <w:tc>
          <w:tcPr>
            <w:tcW w:w="2040" w:type="dxa"/>
            <w:tcBorders>
              <w:top w:val="nil"/>
              <w:left w:val="nil"/>
              <w:bottom w:val="nil"/>
              <w:right w:val="nil"/>
            </w:tcBorders>
            <w:shd w:val="clear" w:color="auto" w:fill="auto"/>
            <w:noWrap/>
            <w:vAlign w:val="center"/>
            <w:hideMark/>
          </w:tcPr>
          <w:p w14:paraId="43ACF6A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3,313,922.82</w:t>
            </w:r>
          </w:p>
        </w:tc>
      </w:tr>
      <w:tr w:rsidR="00C6733C" w14:paraId="71960FC4" w14:textId="77777777">
        <w:trPr>
          <w:trHeight w:val="630"/>
          <w:jc w:val="center"/>
        </w:trPr>
        <w:tc>
          <w:tcPr>
            <w:tcW w:w="6640" w:type="dxa"/>
            <w:tcBorders>
              <w:top w:val="nil"/>
              <w:left w:val="nil"/>
              <w:bottom w:val="nil"/>
              <w:right w:val="nil"/>
            </w:tcBorders>
            <w:shd w:val="clear" w:color="auto" w:fill="auto"/>
            <w:vAlign w:val="center"/>
            <w:hideMark/>
          </w:tcPr>
          <w:p w14:paraId="5C80D36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Instituciones Públicas de Seguridad Social</w:t>
            </w:r>
          </w:p>
        </w:tc>
        <w:tc>
          <w:tcPr>
            <w:tcW w:w="2040" w:type="dxa"/>
            <w:tcBorders>
              <w:top w:val="nil"/>
              <w:left w:val="nil"/>
              <w:bottom w:val="nil"/>
              <w:right w:val="nil"/>
            </w:tcBorders>
            <w:shd w:val="clear" w:color="auto" w:fill="auto"/>
            <w:noWrap/>
            <w:vAlign w:val="center"/>
            <w:hideMark/>
          </w:tcPr>
          <w:p w14:paraId="553BC8E0"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165,749,361.89</w:t>
            </w:r>
          </w:p>
        </w:tc>
      </w:tr>
      <w:tr w:rsidR="00C6733C" w14:paraId="1FBD2A59" w14:textId="77777777">
        <w:trPr>
          <w:trHeight w:val="630"/>
          <w:jc w:val="center"/>
        </w:trPr>
        <w:tc>
          <w:tcPr>
            <w:tcW w:w="6640" w:type="dxa"/>
            <w:tcBorders>
              <w:top w:val="nil"/>
              <w:left w:val="nil"/>
              <w:bottom w:val="nil"/>
              <w:right w:val="nil"/>
            </w:tcBorders>
            <w:shd w:val="clear" w:color="auto" w:fill="auto"/>
            <w:vAlign w:val="center"/>
            <w:hideMark/>
          </w:tcPr>
          <w:p w14:paraId="24E7BC9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Oficina de Pensiones del Estado de Oaxaca</w:t>
            </w:r>
          </w:p>
        </w:tc>
        <w:tc>
          <w:tcPr>
            <w:tcW w:w="2040" w:type="dxa"/>
            <w:tcBorders>
              <w:top w:val="nil"/>
              <w:left w:val="nil"/>
              <w:bottom w:val="nil"/>
              <w:right w:val="nil"/>
            </w:tcBorders>
            <w:shd w:val="clear" w:color="auto" w:fill="auto"/>
            <w:noWrap/>
            <w:vAlign w:val="center"/>
            <w:hideMark/>
          </w:tcPr>
          <w:p w14:paraId="693B371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165,749,361.89</w:t>
            </w:r>
          </w:p>
        </w:tc>
      </w:tr>
      <w:tr w:rsidR="00C6733C" w14:paraId="64F01182" w14:textId="77777777">
        <w:trPr>
          <w:trHeight w:val="630"/>
          <w:jc w:val="center"/>
        </w:trPr>
        <w:tc>
          <w:tcPr>
            <w:tcW w:w="6640" w:type="dxa"/>
            <w:tcBorders>
              <w:top w:val="nil"/>
              <w:left w:val="nil"/>
              <w:bottom w:val="nil"/>
              <w:right w:val="nil"/>
            </w:tcBorders>
            <w:shd w:val="clear" w:color="auto" w:fill="auto"/>
            <w:vAlign w:val="center"/>
            <w:hideMark/>
          </w:tcPr>
          <w:p w14:paraId="370E6CA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Municipios</w:t>
            </w:r>
          </w:p>
        </w:tc>
        <w:tc>
          <w:tcPr>
            <w:tcW w:w="2040" w:type="dxa"/>
            <w:tcBorders>
              <w:top w:val="nil"/>
              <w:left w:val="nil"/>
              <w:bottom w:val="nil"/>
              <w:right w:val="nil"/>
            </w:tcBorders>
            <w:shd w:val="clear" w:color="auto" w:fill="auto"/>
            <w:noWrap/>
            <w:vAlign w:val="center"/>
            <w:hideMark/>
          </w:tcPr>
          <w:p w14:paraId="3F6A1D3A"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15,809,748,388.27</w:t>
            </w:r>
          </w:p>
        </w:tc>
      </w:tr>
      <w:tr w:rsidR="00C6733C" w14:paraId="49ECA0AA" w14:textId="77777777">
        <w:trPr>
          <w:trHeight w:val="630"/>
          <w:jc w:val="center"/>
        </w:trPr>
        <w:tc>
          <w:tcPr>
            <w:tcW w:w="6640" w:type="dxa"/>
            <w:tcBorders>
              <w:top w:val="nil"/>
              <w:left w:val="nil"/>
              <w:bottom w:val="nil"/>
              <w:right w:val="nil"/>
            </w:tcBorders>
            <w:shd w:val="clear" w:color="auto" w:fill="auto"/>
            <w:vAlign w:val="center"/>
            <w:hideMark/>
          </w:tcPr>
          <w:p w14:paraId="68DCA77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Municipios - Participaciones y Apor</w:t>
            </w:r>
            <w:r>
              <w:rPr>
                <w:rFonts w:ascii="Arial" w:eastAsia="Times New Roman" w:hAnsi="Arial" w:cs="Arial"/>
                <w:color w:val="000000"/>
                <w:lang w:bidi="ar-SA"/>
              </w:rPr>
              <w:t>taciones</w:t>
            </w:r>
          </w:p>
        </w:tc>
        <w:tc>
          <w:tcPr>
            <w:tcW w:w="2040" w:type="dxa"/>
            <w:tcBorders>
              <w:top w:val="nil"/>
              <w:left w:val="nil"/>
              <w:bottom w:val="nil"/>
              <w:right w:val="nil"/>
            </w:tcBorders>
            <w:shd w:val="clear" w:color="auto" w:fill="auto"/>
            <w:noWrap/>
            <w:vAlign w:val="center"/>
            <w:hideMark/>
          </w:tcPr>
          <w:p w14:paraId="7410F75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15,809,748,388.27</w:t>
            </w:r>
          </w:p>
        </w:tc>
      </w:tr>
      <w:tr w:rsidR="00C6733C" w14:paraId="38E7450F" w14:textId="77777777">
        <w:trPr>
          <w:trHeight w:val="630"/>
          <w:jc w:val="center"/>
        </w:trPr>
        <w:tc>
          <w:tcPr>
            <w:tcW w:w="6640" w:type="dxa"/>
            <w:tcBorders>
              <w:top w:val="nil"/>
              <w:left w:val="nil"/>
              <w:bottom w:val="nil"/>
              <w:right w:val="nil"/>
            </w:tcBorders>
            <w:shd w:val="clear" w:color="auto" w:fill="auto"/>
            <w:vAlign w:val="center"/>
            <w:hideMark/>
          </w:tcPr>
          <w:p w14:paraId="15DC631E"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040" w:type="dxa"/>
            <w:tcBorders>
              <w:top w:val="nil"/>
              <w:left w:val="nil"/>
              <w:bottom w:val="nil"/>
              <w:right w:val="nil"/>
            </w:tcBorders>
            <w:shd w:val="clear" w:color="auto" w:fill="auto"/>
            <w:noWrap/>
            <w:vAlign w:val="center"/>
            <w:hideMark/>
          </w:tcPr>
          <w:p w14:paraId="42D322B5"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14:paraId="1B5118FB" w14:textId="77777777" w:rsidR="00C6733C" w:rsidRDefault="00C6733C">
      <w:pPr>
        <w:pStyle w:val="Textoindependiente"/>
        <w:rPr>
          <w:sz w:val="22"/>
          <w:szCs w:val="22"/>
        </w:rPr>
      </w:pPr>
    </w:p>
    <w:p w14:paraId="1138286F" w14:textId="77777777" w:rsidR="00C6733C" w:rsidRDefault="006D0638">
      <w:pPr>
        <w:pStyle w:val="Textoindependiente"/>
        <w:ind w:right="-29"/>
        <w:jc w:val="both"/>
        <w:rPr>
          <w:sz w:val="22"/>
          <w:szCs w:val="22"/>
        </w:rPr>
      </w:pPr>
      <w:r>
        <w:rPr>
          <w:b/>
          <w:sz w:val="22"/>
          <w:szCs w:val="22"/>
        </w:rPr>
        <w:t xml:space="preserve">Artículo 46. </w:t>
      </w:r>
      <w:r>
        <w:rPr>
          <w:sz w:val="22"/>
          <w:szCs w:val="22"/>
        </w:rPr>
        <w:t xml:space="preserve">En la Clasificación Económica, el Presupuesto de Egresos tendrá la siguiente conformación, atendiendo al Clasificador por Tipo de Gasto homologado a nivel nacional por el </w:t>
      </w:r>
      <w:r>
        <w:rPr>
          <w:sz w:val="22"/>
          <w:szCs w:val="22"/>
        </w:rPr>
        <w:t>Consejo Nacional de Armonización Contable:</w:t>
      </w:r>
    </w:p>
    <w:p w14:paraId="3273D63C" w14:textId="77777777" w:rsidR="00C6733C" w:rsidRDefault="00C6733C">
      <w:pPr>
        <w:pStyle w:val="Textoindependiente"/>
        <w:ind w:right="-29"/>
        <w:jc w:val="both"/>
        <w:rPr>
          <w:sz w:val="22"/>
          <w:szCs w:val="22"/>
        </w:rPr>
      </w:pPr>
    </w:p>
    <w:tbl>
      <w:tblPr>
        <w:tblW w:w="6099" w:type="dxa"/>
        <w:jc w:val="center"/>
        <w:tblCellMar>
          <w:left w:w="70" w:type="dxa"/>
          <w:right w:w="70" w:type="dxa"/>
        </w:tblCellMar>
        <w:tblLook w:val="04A0" w:firstRow="1" w:lastRow="0" w:firstColumn="1" w:lastColumn="0" w:noHBand="0" w:noVBand="1"/>
      </w:tblPr>
      <w:tblGrid>
        <w:gridCol w:w="4280"/>
        <w:gridCol w:w="1976"/>
      </w:tblGrid>
      <w:tr w:rsidR="00C6733C" w14:paraId="7694141F" w14:textId="77777777">
        <w:trPr>
          <w:trHeight w:val="555"/>
          <w:jc w:val="center"/>
        </w:trPr>
        <w:tc>
          <w:tcPr>
            <w:tcW w:w="4280" w:type="dxa"/>
            <w:tcBorders>
              <w:top w:val="nil"/>
              <w:left w:val="nil"/>
              <w:bottom w:val="nil"/>
              <w:right w:val="nil"/>
            </w:tcBorders>
            <w:shd w:val="clear" w:color="auto" w:fill="auto"/>
            <w:noWrap/>
            <w:vAlign w:val="center"/>
            <w:hideMark/>
          </w:tcPr>
          <w:p w14:paraId="20EE8035" w14:textId="77777777" w:rsidR="00C6733C" w:rsidRDefault="00C6733C">
            <w:pPr>
              <w:widowControl/>
              <w:autoSpaceDE/>
              <w:autoSpaceDN/>
              <w:rPr>
                <w:rFonts w:ascii="Arial" w:eastAsia="Times New Roman" w:hAnsi="Arial" w:cs="Arial"/>
                <w:lang w:bidi="ar-SA"/>
              </w:rPr>
            </w:pPr>
          </w:p>
        </w:tc>
        <w:tc>
          <w:tcPr>
            <w:tcW w:w="1819" w:type="dxa"/>
            <w:tcBorders>
              <w:top w:val="nil"/>
              <w:left w:val="nil"/>
              <w:bottom w:val="nil"/>
              <w:right w:val="nil"/>
            </w:tcBorders>
            <w:shd w:val="clear" w:color="auto" w:fill="auto"/>
            <w:noWrap/>
            <w:vAlign w:val="center"/>
            <w:hideMark/>
          </w:tcPr>
          <w:p w14:paraId="78B944DF"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33F4BB6D" w14:textId="77777777">
        <w:trPr>
          <w:trHeight w:val="555"/>
          <w:jc w:val="center"/>
        </w:trPr>
        <w:tc>
          <w:tcPr>
            <w:tcW w:w="4280" w:type="dxa"/>
            <w:tcBorders>
              <w:top w:val="nil"/>
              <w:left w:val="nil"/>
              <w:bottom w:val="nil"/>
              <w:right w:val="nil"/>
            </w:tcBorders>
            <w:shd w:val="clear" w:color="auto" w:fill="auto"/>
            <w:vAlign w:val="center"/>
            <w:hideMark/>
          </w:tcPr>
          <w:p w14:paraId="29D4E5D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Gasto Corriente </w:t>
            </w:r>
          </w:p>
        </w:tc>
        <w:tc>
          <w:tcPr>
            <w:tcW w:w="1819" w:type="dxa"/>
            <w:tcBorders>
              <w:top w:val="nil"/>
              <w:left w:val="nil"/>
              <w:bottom w:val="nil"/>
              <w:right w:val="nil"/>
            </w:tcBorders>
            <w:shd w:val="clear" w:color="auto" w:fill="auto"/>
            <w:noWrap/>
            <w:vAlign w:val="center"/>
            <w:hideMark/>
          </w:tcPr>
          <w:p w14:paraId="6783522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53,925,840,894.25</w:t>
            </w:r>
          </w:p>
        </w:tc>
      </w:tr>
      <w:tr w:rsidR="00C6733C" w14:paraId="4C41C808" w14:textId="77777777">
        <w:trPr>
          <w:trHeight w:val="555"/>
          <w:jc w:val="center"/>
        </w:trPr>
        <w:tc>
          <w:tcPr>
            <w:tcW w:w="4280" w:type="dxa"/>
            <w:tcBorders>
              <w:top w:val="nil"/>
              <w:left w:val="nil"/>
              <w:bottom w:val="nil"/>
              <w:right w:val="nil"/>
            </w:tcBorders>
            <w:shd w:val="clear" w:color="auto" w:fill="auto"/>
            <w:vAlign w:val="center"/>
            <w:hideMark/>
          </w:tcPr>
          <w:p w14:paraId="4EC7231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Gasto de Capital </w:t>
            </w:r>
          </w:p>
        </w:tc>
        <w:tc>
          <w:tcPr>
            <w:tcW w:w="1819" w:type="dxa"/>
            <w:tcBorders>
              <w:top w:val="nil"/>
              <w:left w:val="nil"/>
              <w:bottom w:val="nil"/>
              <w:right w:val="nil"/>
            </w:tcBorders>
            <w:shd w:val="clear" w:color="auto" w:fill="auto"/>
            <w:noWrap/>
            <w:vAlign w:val="center"/>
            <w:hideMark/>
          </w:tcPr>
          <w:p w14:paraId="4899B85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12,169,466,381.21</w:t>
            </w:r>
          </w:p>
        </w:tc>
      </w:tr>
      <w:tr w:rsidR="00C6733C" w14:paraId="2EF196E5" w14:textId="77777777">
        <w:trPr>
          <w:trHeight w:val="555"/>
          <w:jc w:val="center"/>
        </w:trPr>
        <w:tc>
          <w:tcPr>
            <w:tcW w:w="4280" w:type="dxa"/>
            <w:tcBorders>
              <w:top w:val="nil"/>
              <w:left w:val="nil"/>
              <w:bottom w:val="nil"/>
              <w:right w:val="nil"/>
            </w:tcBorders>
            <w:shd w:val="clear" w:color="auto" w:fill="auto"/>
            <w:vAlign w:val="center"/>
            <w:hideMark/>
          </w:tcPr>
          <w:p w14:paraId="12A3C05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Amortización de la Deuda y Disminución de Pasivos </w:t>
            </w:r>
          </w:p>
        </w:tc>
        <w:tc>
          <w:tcPr>
            <w:tcW w:w="1819" w:type="dxa"/>
            <w:tcBorders>
              <w:top w:val="nil"/>
              <w:left w:val="nil"/>
              <w:bottom w:val="nil"/>
              <w:right w:val="nil"/>
            </w:tcBorders>
            <w:shd w:val="clear" w:color="auto" w:fill="auto"/>
            <w:noWrap/>
            <w:vAlign w:val="center"/>
            <w:hideMark/>
          </w:tcPr>
          <w:p w14:paraId="2F17610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3,887,656,538.97</w:t>
            </w:r>
          </w:p>
        </w:tc>
      </w:tr>
      <w:tr w:rsidR="00C6733C" w14:paraId="06631055" w14:textId="77777777">
        <w:trPr>
          <w:trHeight w:val="555"/>
          <w:jc w:val="center"/>
        </w:trPr>
        <w:tc>
          <w:tcPr>
            <w:tcW w:w="4280" w:type="dxa"/>
            <w:tcBorders>
              <w:top w:val="nil"/>
              <w:left w:val="nil"/>
              <w:bottom w:val="nil"/>
              <w:right w:val="nil"/>
            </w:tcBorders>
            <w:shd w:val="clear" w:color="auto" w:fill="auto"/>
            <w:noWrap/>
            <w:vAlign w:val="center"/>
            <w:hideMark/>
          </w:tcPr>
          <w:p w14:paraId="05368AC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Pensiones y Jubilaciones </w:t>
            </w:r>
          </w:p>
        </w:tc>
        <w:tc>
          <w:tcPr>
            <w:tcW w:w="1819" w:type="dxa"/>
            <w:tcBorders>
              <w:top w:val="nil"/>
              <w:left w:val="nil"/>
              <w:bottom w:val="nil"/>
              <w:right w:val="nil"/>
            </w:tcBorders>
            <w:shd w:val="clear" w:color="auto" w:fill="auto"/>
            <w:noWrap/>
            <w:vAlign w:val="center"/>
            <w:hideMark/>
          </w:tcPr>
          <w:p w14:paraId="18761DD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514,739,181.30</w:t>
            </w:r>
          </w:p>
        </w:tc>
      </w:tr>
      <w:tr w:rsidR="00C6733C" w14:paraId="7F26BB35" w14:textId="77777777">
        <w:trPr>
          <w:trHeight w:val="555"/>
          <w:jc w:val="center"/>
        </w:trPr>
        <w:tc>
          <w:tcPr>
            <w:tcW w:w="4280" w:type="dxa"/>
            <w:tcBorders>
              <w:top w:val="nil"/>
              <w:left w:val="nil"/>
              <w:bottom w:val="nil"/>
              <w:right w:val="nil"/>
            </w:tcBorders>
            <w:shd w:val="clear" w:color="auto" w:fill="auto"/>
            <w:noWrap/>
            <w:vAlign w:val="center"/>
            <w:hideMark/>
          </w:tcPr>
          <w:p w14:paraId="217636D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Participaciones </w:t>
            </w:r>
          </w:p>
        </w:tc>
        <w:tc>
          <w:tcPr>
            <w:tcW w:w="1819" w:type="dxa"/>
            <w:tcBorders>
              <w:top w:val="nil"/>
              <w:left w:val="nil"/>
              <w:bottom w:val="nil"/>
              <w:right w:val="nil"/>
            </w:tcBorders>
            <w:shd w:val="clear" w:color="auto" w:fill="auto"/>
            <w:noWrap/>
            <w:vAlign w:val="center"/>
            <w:hideMark/>
          </w:tcPr>
          <w:p w14:paraId="4F22A527"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5,510,973,028.27</w:t>
            </w:r>
          </w:p>
        </w:tc>
      </w:tr>
      <w:tr w:rsidR="00C6733C" w14:paraId="1D3A0C02" w14:textId="77777777">
        <w:trPr>
          <w:trHeight w:val="555"/>
          <w:jc w:val="center"/>
        </w:trPr>
        <w:tc>
          <w:tcPr>
            <w:tcW w:w="4280" w:type="dxa"/>
            <w:tcBorders>
              <w:top w:val="nil"/>
              <w:left w:val="nil"/>
              <w:bottom w:val="nil"/>
              <w:right w:val="nil"/>
            </w:tcBorders>
            <w:shd w:val="clear" w:color="auto" w:fill="auto"/>
            <w:noWrap/>
            <w:vAlign w:val="center"/>
            <w:hideMark/>
          </w:tcPr>
          <w:p w14:paraId="0BE8CBA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819" w:type="dxa"/>
            <w:tcBorders>
              <w:top w:val="nil"/>
              <w:left w:val="nil"/>
              <w:bottom w:val="nil"/>
              <w:right w:val="nil"/>
            </w:tcBorders>
            <w:shd w:val="clear" w:color="auto" w:fill="auto"/>
            <w:noWrap/>
            <w:vAlign w:val="center"/>
            <w:hideMark/>
          </w:tcPr>
          <w:p w14:paraId="7CD89E33"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14:paraId="56EB5768" w14:textId="77777777" w:rsidR="00C6733C" w:rsidRDefault="00C6733C">
      <w:pPr>
        <w:pStyle w:val="Textoindependiente"/>
        <w:rPr>
          <w:sz w:val="22"/>
          <w:szCs w:val="22"/>
        </w:rPr>
      </w:pPr>
    </w:p>
    <w:p w14:paraId="1D8510D7" w14:textId="77777777" w:rsidR="00C6733C" w:rsidRDefault="006D0638">
      <w:pPr>
        <w:pStyle w:val="Textoindependiente"/>
        <w:ind w:right="-29"/>
        <w:jc w:val="both"/>
        <w:rPr>
          <w:sz w:val="22"/>
          <w:szCs w:val="22"/>
        </w:rPr>
      </w:pPr>
      <w:r>
        <w:rPr>
          <w:b/>
          <w:sz w:val="22"/>
          <w:szCs w:val="22"/>
        </w:rPr>
        <w:t xml:space="preserve">Artículo 47. </w:t>
      </w:r>
      <w:r>
        <w:rPr>
          <w:sz w:val="22"/>
          <w:szCs w:val="22"/>
        </w:rPr>
        <w:t xml:space="preserve">Como parte de la Clasificación Económica, el Presupuesto de Egresos tendrá la siguiente conformación, atendiendo al Clasificador por Objeto del Gasto homologado a nivel </w:t>
      </w:r>
      <w:r>
        <w:rPr>
          <w:sz w:val="22"/>
          <w:szCs w:val="22"/>
        </w:rPr>
        <w:t>nacional por el Consejo Nacional de Armonización Contable:</w:t>
      </w:r>
    </w:p>
    <w:p w14:paraId="14E3DCB4" w14:textId="77777777" w:rsidR="00C6733C" w:rsidRDefault="00C6733C">
      <w:pPr>
        <w:pStyle w:val="Textoindependiente"/>
        <w:ind w:right="-29"/>
        <w:jc w:val="both"/>
        <w:rPr>
          <w:sz w:val="22"/>
          <w:szCs w:val="22"/>
        </w:rPr>
      </w:pPr>
    </w:p>
    <w:tbl>
      <w:tblPr>
        <w:tblW w:w="6219" w:type="dxa"/>
        <w:jc w:val="center"/>
        <w:tblCellMar>
          <w:left w:w="70" w:type="dxa"/>
          <w:right w:w="70" w:type="dxa"/>
        </w:tblCellMar>
        <w:tblLook w:val="04A0" w:firstRow="1" w:lastRow="0" w:firstColumn="1" w:lastColumn="0" w:noHBand="0" w:noVBand="1"/>
      </w:tblPr>
      <w:tblGrid>
        <w:gridCol w:w="4400"/>
        <w:gridCol w:w="1976"/>
      </w:tblGrid>
      <w:tr w:rsidR="00C6733C" w14:paraId="72BDC721" w14:textId="77777777">
        <w:trPr>
          <w:trHeight w:val="570"/>
          <w:jc w:val="center"/>
        </w:trPr>
        <w:tc>
          <w:tcPr>
            <w:tcW w:w="4400" w:type="dxa"/>
            <w:tcBorders>
              <w:top w:val="nil"/>
              <w:left w:val="nil"/>
              <w:bottom w:val="nil"/>
              <w:right w:val="nil"/>
            </w:tcBorders>
            <w:shd w:val="clear" w:color="auto" w:fill="auto"/>
            <w:noWrap/>
            <w:vAlign w:val="center"/>
            <w:hideMark/>
          </w:tcPr>
          <w:p w14:paraId="04969BA5" w14:textId="77777777" w:rsidR="00C6733C" w:rsidRDefault="00C6733C">
            <w:pPr>
              <w:widowControl/>
              <w:autoSpaceDE/>
              <w:autoSpaceDN/>
              <w:rPr>
                <w:rFonts w:ascii="Arial" w:eastAsia="Times New Roman" w:hAnsi="Arial" w:cs="Arial"/>
                <w:sz w:val="24"/>
                <w:szCs w:val="24"/>
                <w:lang w:bidi="ar-SA"/>
              </w:rPr>
            </w:pPr>
          </w:p>
        </w:tc>
        <w:tc>
          <w:tcPr>
            <w:tcW w:w="1819" w:type="dxa"/>
            <w:tcBorders>
              <w:top w:val="nil"/>
              <w:left w:val="nil"/>
              <w:bottom w:val="nil"/>
              <w:right w:val="nil"/>
            </w:tcBorders>
            <w:shd w:val="clear" w:color="auto" w:fill="auto"/>
            <w:noWrap/>
            <w:vAlign w:val="center"/>
            <w:hideMark/>
          </w:tcPr>
          <w:p w14:paraId="20DDA98A"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70B90E02" w14:textId="77777777">
        <w:trPr>
          <w:trHeight w:val="570"/>
          <w:jc w:val="center"/>
        </w:trPr>
        <w:tc>
          <w:tcPr>
            <w:tcW w:w="4400" w:type="dxa"/>
            <w:tcBorders>
              <w:top w:val="nil"/>
              <w:left w:val="nil"/>
              <w:bottom w:val="nil"/>
              <w:right w:val="nil"/>
            </w:tcBorders>
            <w:shd w:val="clear" w:color="auto" w:fill="auto"/>
            <w:vAlign w:val="center"/>
            <w:hideMark/>
          </w:tcPr>
          <w:p w14:paraId="758D3F6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Servicios Personales </w:t>
            </w:r>
          </w:p>
        </w:tc>
        <w:tc>
          <w:tcPr>
            <w:tcW w:w="1819" w:type="dxa"/>
            <w:tcBorders>
              <w:top w:val="nil"/>
              <w:left w:val="nil"/>
              <w:bottom w:val="nil"/>
              <w:right w:val="nil"/>
            </w:tcBorders>
            <w:shd w:val="clear" w:color="auto" w:fill="auto"/>
            <w:noWrap/>
            <w:vAlign w:val="center"/>
            <w:hideMark/>
          </w:tcPr>
          <w:p w14:paraId="46C78EA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4,555,575,353.11</w:t>
            </w:r>
          </w:p>
        </w:tc>
      </w:tr>
      <w:tr w:rsidR="00C6733C" w14:paraId="78449621" w14:textId="77777777">
        <w:trPr>
          <w:trHeight w:val="570"/>
          <w:jc w:val="center"/>
        </w:trPr>
        <w:tc>
          <w:tcPr>
            <w:tcW w:w="4400" w:type="dxa"/>
            <w:tcBorders>
              <w:top w:val="nil"/>
              <w:left w:val="nil"/>
              <w:bottom w:val="nil"/>
              <w:right w:val="nil"/>
            </w:tcBorders>
            <w:shd w:val="clear" w:color="auto" w:fill="auto"/>
            <w:vAlign w:val="center"/>
            <w:hideMark/>
          </w:tcPr>
          <w:p w14:paraId="065B656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Materiales y Suministros </w:t>
            </w:r>
          </w:p>
        </w:tc>
        <w:tc>
          <w:tcPr>
            <w:tcW w:w="1819" w:type="dxa"/>
            <w:tcBorders>
              <w:top w:val="nil"/>
              <w:left w:val="nil"/>
              <w:bottom w:val="nil"/>
              <w:right w:val="nil"/>
            </w:tcBorders>
            <w:shd w:val="clear" w:color="auto" w:fill="auto"/>
            <w:noWrap/>
            <w:vAlign w:val="center"/>
            <w:hideMark/>
          </w:tcPr>
          <w:p w14:paraId="7B4DF1D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410,566,040.86</w:t>
            </w:r>
          </w:p>
        </w:tc>
      </w:tr>
      <w:tr w:rsidR="00C6733C" w14:paraId="3A1FA6FB" w14:textId="77777777">
        <w:trPr>
          <w:trHeight w:val="570"/>
          <w:jc w:val="center"/>
        </w:trPr>
        <w:tc>
          <w:tcPr>
            <w:tcW w:w="4400" w:type="dxa"/>
            <w:tcBorders>
              <w:top w:val="nil"/>
              <w:left w:val="nil"/>
              <w:bottom w:val="nil"/>
              <w:right w:val="nil"/>
            </w:tcBorders>
            <w:shd w:val="clear" w:color="auto" w:fill="auto"/>
            <w:vAlign w:val="center"/>
            <w:hideMark/>
          </w:tcPr>
          <w:p w14:paraId="7A40711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Servicios Generales </w:t>
            </w:r>
          </w:p>
        </w:tc>
        <w:tc>
          <w:tcPr>
            <w:tcW w:w="1819" w:type="dxa"/>
            <w:tcBorders>
              <w:top w:val="nil"/>
              <w:left w:val="nil"/>
              <w:bottom w:val="nil"/>
              <w:right w:val="nil"/>
            </w:tcBorders>
            <w:shd w:val="clear" w:color="auto" w:fill="auto"/>
            <w:noWrap/>
            <w:vAlign w:val="center"/>
            <w:hideMark/>
          </w:tcPr>
          <w:p w14:paraId="153F580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1,053,035,867.71</w:t>
            </w:r>
          </w:p>
        </w:tc>
      </w:tr>
      <w:tr w:rsidR="00C6733C" w14:paraId="7E6E18E3" w14:textId="77777777">
        <w:trPr>
          <w:trHeight w:val="570"/>
          <w:jc w:val="center"/>
        </w:trPr>
        <w:tc>
          <w:tcPr>
            <w:tcW w:w="4400" w:type="dxa"/>
            <w:tcBorders>
              <w:top w:val="nil"/>
              <w:left w:val="nil"/>
              <w:bottom w:val="nil"/>
              <w:right w:val="nil"/>
            </w:tcBorders>
            <w:shd w:val="clear" w:color="auto" w:fill="auto"/>
            <w:vAlign w:val="center"/>
            <w:hideMark/>
          </w:tcPr>
          <w:p w14:paraId="6B55C0C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Transferencias, Asignaciones, Subsidios y Otras Ayudas </w:t>
            </w:r>
          </w:p>
        </w:tc>
        <w:tc>
          <w:tcPr>
            <w:tcW w:w="1819" w:type="dxa"/>
            <w:tcBorders>
              <w:top w:val="nil"/>
              <w:left w:val="nil"/>
              <w:bottom w:val="nil"/>
              <w:right w:val="nil"/>
            </w:tcBorders>
            <w:shd w:val="clear" w:color="auto" w:fill="auto"/>
            <w:noWrap/>
            <w:vAlign w:val="center"/>
            <w:hideMark/>
          </w:tcPr>
          <w:p w14:paraId="53D0703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45,630,840,069.87</w:t>
            </w:r>
          </w:p>
        </w:tc>
      </w:tr>
      <w:tr w:rsidR="00C6733C" w14:paraId="0D0F2E19" w14:textId="77777777">
        <w:trPr>
          <w:trHeight w:val="570"/>
          <w:jc w:val="center"/>
        </w:trPr>
        <w:tc>
          <w:tcPr>
            <w:tcW w:w="4400" w:type="dxa"/>
            <w:tcBorders>
              <w:top w:val="nil"/>
              <w:left w:val="nil"/>
              <w:bottom w:val="nil"/>
              <w:right w:val="nil"/>
            </w:tcBorders>
            <w:shd w:val="clear" w:color="auto" w:fill="auto"/>
            <w:vAlign w:val="center"/>
            <w:hideMark/>
          </w:tcPr>
          <w:p w14:paraId="60BDC90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Bienes Muebles, Inmuebles e Intangibles </w:t>
            </w:r>
          </w:p>
        </w:tc>
        <w:tc>
          <w:tcPr>
            <w:tcW w:w="1819" w:type="dxa"/>
            <w:tcBorders>
              <w:top w:val="nil"/>
              <w:left w:val="nil"/>
              <w:bottom w:val="nil"/>
              <w:right w:val="nil"/>
            </w:tcBorders>
            <w:shd w:val="clear" w:color="auto" w:fill="auto"/>
            <w:noWrap/>
            <w:vAlign w:val="center"/>
            <w:hideMark/>
          </w:tcPr>
          <w:p w14:paraId="6BD6087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270,675,255.15</w:t>
            </w:r>
          </w:p>
        </w:tc>
      </w:tr>
      <w:tr w:rsidR="00C6733C" w14:paraId="714126A8" w14:textId="77777777">
        <w:trPr>
          <w:trHeight w:val="570"/>
          <w:jc w:val="center"/>
        </w:trPr>
        <w:tc>
          <w:tcPr>
            <w:tcW w:w="4400" w:type="dxa"/>
            <w:tcBorders>
              <w:top w:val="nil"/>
              <w:left w:val="nil"/>
              <w:bottom w:val="nil"/>
              <w:right w:val="nil"/>
            </w:tcBorders>
            <w:shd w:val="clear" w:color="auto" w:fill="auto"/>
            <w:vAlign w:val="center"/>
            <w:hideMark/>
          </w:tcPr>
          <w:p w14:paraId="1A68348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Inversión Pública </w:t>
            </w:r>
          </w:p>
        </w:tc>
        <w:tc>
          <w:tcPr>
            <w:tcW w:w="1819" w:type="dxa"/>
            <w:tcBorders>
              <w:top w:val="nil"/>
              <w:left w:val="nil"/>
              <w:bottom w:val="nil"/>
              <w:right w:val="nil"/>
            </w:tcBorders>
            <w:shd w:val="clear" w:color="auto" w:fill="auto"/>
            <w:noWrap/>
            <w:vAlign w:val="center"/>
            <w:hideMark/>
          </w:tcPr>
          <w:p w14:paraId="2AB4B2E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4,390,578,510.06</w:t>
            </w:r>
          </w:p>
        </w:tc>
      </w:tr>
      <w:tr w:rsidR="00C6733C" w14:paraId="6DAE567F" w14:textId="77777777">
        <w:trPr>
          <w:trHeight w:val="570"/>
          <w:jc w:val="center"/>
        </w:trPr>
        <w:tc>
          <w:tcPr>
            <w:tcW w:w="4400" w:type="dxa"/>
            <w:tcBorders>
              <w:top w:val="nil"/>
              <w:left w:val="nil"/>
              <w:bottom w:val="nil"/>
              <w:right w:val="nil"/>
            </w:tcBorders>
            <w:shd w:val="clear" w:color="auto" w:fill="auto"/>
            <w:vAlign w:val="center"/>
            <w:hideMark/>
          </w:tcPr>
          <w:p w14:paraId="6B74DED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y Aportaciones</w:t>
            </w:r>
          </w:p>
        </w:tc>
        <w:tc>
          <w:tcPr>
            <w:tcW w:w="1819" w:type="dxa"/>
            <w:tcBorders>
              <w:top w:val="nil"/>
              <w:left w:val="nil"/>
              <w:bottom w:val="nil"/>
              <w:right w:val="nil"/>
            </w:tcBorders>
            <w:shd w:val="clear" w:color="auto" w:fill="auto"/>
            <w:noWrap/>
            <w:vAlign w:val="center"/>
            <w:hideMark/>
          </w:tcPr>
          <w:p w14:paraId="7D958F7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15,809,748,388.27</w:t>
            </w:r>
          </w:p>
        </w:tc>
      </w:tr>
      <w:tr w:rsidR="00C6733C" w14:paraId="022127FB" w14:textId="77777777">
        <w:trPr>
          <w:trHeight w:val="570"/>
          <w:jc w:val="center"/>
        </w:trPr>
        <w:tc>
          <w:tcPr>
            <w:tcW w:w="4400" w:type="dxa"/>
            <w:tcBorders>
              <w:top w:val="nil"/>
              <w:left w:val="nil"/>
              <w:bottom w:val="nil"/>
              <w:right w:val="nil"/>
            </w:tcBorders>
            <w:shd w:val="clear" w:color="auto" w:fill="auto"/>
            <w:vAlign w:val="center"/>
            <w:hideMark/>
          </w:tcPr>
          <w:p w14:paraId="543926D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Deuda Pública</w:t>
            </w:r>
          </w:p>
        </w:tc>
        <w:tc>
          <w:tcPr>
            <w:tcW w:w="1819" w:type="dxa"/>
            <w:tcBorders>
              <w:top w:val="nil"/>
              <w:left w:val="nil"/>
              <w:bottom w:val="nil"/>
              <w:right w:val="nil"/>
            </w:tcBorders>
            <w:shd w:val="clear" w:color="auto" w:fill="auto"/>
            <w:noWrap/>
            <w:vAlign w:val="center"/>
            <w:hideMark/>
          </w:tcPr>
          <w:p w14:paraId="2F94FFA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3,887,656,538.97</w:t>
            </w:r>
          </w:p>
        </w:tc>
      </w:tr>
      <w:tr w:rsidR="00C6733C" w14:paraId="0B072138" w14:textId="77777777">
        <w:trPr>
          <w:trHeight w:val="570"/>
          <w:jc w:val="center"/>
        </w:trPr>
        <w:tc>
          <w:tcPr>
            <w:tcW w:w="4400" w:type="dxa"/>
            <w:tcBorders>
              <w:top w:val="nil"/>
              <w:left w:val="nil"/>
              <w:bottom w:val="nil"/>
              <w:right w:val="nil"/>
            </w:tcBorders>
            <w:shd w:val="clear" w:color="auto" w:fill="auto"/>
            <w:vAlign w:val="center"/>
            <w:hideMark/>
          </w:tcPr>
          <w:p w14:paraId="4D07680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819" w:type="dxa"/>
            <w:tcBorders>
              <w:top w:val="nil"/>
              <w:left w:val="nil"/>
              <w:bottom w:val="nil"/>
              <w:right w:val="nil"/>
            </w:tcBorders>
            <w:shd w:val="clear" w:color="auto" w:fill="auto"/>
            <w:noWrap/>
            <w:vAlign w:val="center"/>
            <w:hideMark/>
          </w:tcPr>
          <w:p w14:paraId="302EB5F4"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14:paraId="2B921113" w14:textId="77777777" w:rsidR="00C6733C" w:rsidRDefault="00C6733C">
      <w:pPr>
        <w:pStyle w:val="Textoindependiente"/>
        <w:rPr>
          <w:sz w:val="22"/>
          <w:szCs w:val="22"/>
        </w:rPr>
      </w:pPr>
    </w:p>
    <w:p w14:paraId="1DA5D46E" w14:textId="77777777" w:rsidR="00C6733C" w:rsidRDefault="006D0638">
      <w:pPr>
        <w:pStyle w:val="Textoindependiente"/>
        <w:jc w:val="both"/>
        <w:rPr>
          <w:sz w:val="22"/>
          <w:szCs w:val="22"/>
        </w:rPr>
      </w:pPr>
      <w:r>
        <w:rPr>
          <w:b/>
          <w:sz w:val="22"/>
          <w:szCs w:val="22"/>
        </w:rPr>
        <w:t xml:space="preserve">Artículo 48. </w:t>
      </w:r>
      <w:r>
        <w:rPr>
          <w:sz w:val="22"/>
          <w:szCs w:val="22"/>
        </w:rPr>
        <w:t>El Presupuesto de Egresos tendrá la siguiente conformación, atendiendo a la Clasificación por Objeto del Gasto a nivel de capítulo, concepto y partida genérica.</w:t>
      </w:r>
    </w:p>
    <w:p w14:paraId="7DD34138" w14:textId="77777777" w:rsidR="00C6733C" w:rsidRDefault="00C6733C">
      <w:pPr>
        <w:pStyle w:val="Textoindependiente"/>
        <w:jc w:val="both"/>
        <w:rPr>
          <w:sz w:val="22"/>
          <w:szCs w:val="22"/>
        </w:rPr>
      </w:pPr>
    </w:p>
    <w:tbl>
      <w:tblPr>
        <w:tblW w:w="7900" w:type="dxa"/>
        <w:jc w:val="center"/>
        <w:tblCellMar>
          <w:left w:w="70" w:type="dxa"/>
          <w:right w:w="70" w:type="dxa"/>
        </w:tblCellMar>
        <w:tblLook w:val="04A0" w:firstRow="1" w:lastRow="0" w:firstColumn="1" w:lastColumn="0" w:noHBand="0" w:noVBand="1"/>
      </w:tblPr>
      <w:tblGrid>
        <w:gridCol w:w="5924"/>
        <w:gridCol w:w="1976"/>
      </w:tblGrid>
      <w:tr w:rsidR="00C6733C" w14:paraId="4FAC21D6" w14:textId="77777777">
        <w:trPr>
          <w:trHeight w:val="555"/>
          <w:jc w:val="center"/>
        </w:trPr>
        <w:tc>
          <w:tcPr>
            <w:tcW w:w="6081" w:type="dxa"/>
            <w:tcBorders>
              <w:top w:val="nil"/>
              <w:left w:val="nil"/>
              <w:bottom w:val="nil"/>
              <w:right w:val="nil"/>
            </w:tcBorders>
            <w:shd w:val="clear" w:color="auto" w:fill="auto"/>
            <w:vAlign w:val="center"/>
            <w:hideMark/>
          </w:tcPr>
          <w:p w14:paraId="2C7A0991" w14:textId="77777777" w:rsidR="00C6733C" w:rsidRDefault="00C6733C">
            <w:pPr>
              <w:widowControl/>
              <w:autoSpaceDE/>
              <w:autoSpaceDN/>
              <w:rPr>
                <w:rFonts w:ascii="Arial" w:eastAsia="Times New Roman" w:hAnsi="Arial" w:cs="Arial"/>
                <w:lang w:bidi="ar-SA"/>
              </w:rPr>
            </w:pPr>
          </w:p>
        </w:tc>
        <w:tc>
          <w:tcPr>
            <w:tcW w:w="1819" w:type="dxa"/>
            <w:tcBorders>
              <w:top w:val="nil"/>
              <w:left w:val="nil"/>
              <w:bottom w:val="nil"/>
              <w:right w:val="nil"/>
            </w:tcBorders>
            <w:shd w:val="clear" w:color="auto" w:fill="auto"/>
            <w:vAlign w:val="center"/>
            <w:hideMark/>
          </w:tcPr>
          <w:p w14:paraId="60CDBBD7"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0C99D958" w14:textId="77777777">
        <w:trPr>
          <w:trHeight w:val="555"/>
          <w:jc w:val="center"/>
        </w:trPr>
        <w:tc>
          <w:tcPr>
            <w:tcW w:w="6081" w:type="dxa"/>
            <w:tcBorders>
              <w:top w:val="nil"/>
              <w:left w:val="nil"/>
              <w:bottom w:val="nil"/>
              <w:right w:val="nil"/>
            </w:tcBorders>
            <w:shd w:val="clear" w:color="auto" w:fill="auto"/>
            <w:vAlign w:val="center"/>
            <w:hideMark/>
          </w:tcPr>
          <w:p w14:paraId="199AFCD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PERSONALES</w:t>
            </w:r>
          </w:p>
        </w:tc>
        <w:tc>
          <w:tcPr>
            <w:tcW w:w="1819" w:type="dxa"/>
            <w:tcBorders>
              <w:top w:val="nil"/>
              <w:left w:val="nil"/>
              <w:bottom w:val="nil"/>
              <w:right w:val="nil"/>
            </w:tcBorders>
            <w:shd w:val="clear" w:color="auto" w:fill="auto"/>
            <w:vAlign w:val="center"/>
            <w:hideMark/>
          </w:tcPr>
          <w:p w14:paraId="69E18AE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4,555,575,353.11</w:t>
            </w:r>
          </w:p>
        </w:tc>
      </w:tr>
      <w:tr w:rsidR="00C6733C" w14:paraId="1AB343B0" w14:textId="77777777">
        <w:trPr>
          <w:trHeight w:val="555"/>
          <w:jc w:val="center"/>
        </w:trPr>
        <w:tc>
          <w:tcPr>
            <w:tcW w:w="6081" w:type="dxa"/>
            <w:tcBorders>
              <w:top w:val="nil"/>
              <w:left w:val="nil"/>
              <w:bottom w:val="nil"/>
              <w:right w:val="nil"/>
            </w:tcBorders>
            <w:shd w:val="clear" w:color="auto" w:fill="auto"/>
            <w:vAlign w:val="center"/>
            <w:hideMark/>
          </w:tcPr>
          <w:p w14:paraId="0533C54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Remuneraciones al personal de carácter permanente</w:t>
            </w:r>
          </w:p>
        </w:tc>
        <w:tc>
          <w:tcPr>
            <w:tcW w:w="1819" w:type="dxa"/>
            <w:tcBorders>
              <w:top w:val="nil"/>
              <w:left w:val="nil"/>
              <w:bottom w:val="nil"/>
              <w:right w:val="nil"/>
            </w:tcBorders>
            <w:shd w:val="clear" w:color="auto" w:fill="auto"/>
            <w:vAlign w:val="center"/>
            <w:hideMark/>
          </w:tcPr>
          <w:p w14:paraId="2E2348F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1,668,305,862.38</w:t>
            </w:r>
          </w:p>
        </w:tc>
      </w:tr>
      <w:tr w:rsidR="00C6733C" w14:paraId="557C1F8B" w14:textId="77777777">
        <w:trPr>
          <w:trHeight w:val="555"/>
          <w:jc w:val="center"/>
        </w:trPr>
        <w:tc>
          <w:tcPr>
            <w:tcW w:w="6081" w:type="dxa"/>
            <w:tcBorders>
              <w:top w:val="nil"/>
              <w:left w:val="nil"/>
              <w:bottom w:val="nil"/>
              <w:right w:val="nil"/>
            </w:tcBorders>
            <w:shd w:val="clear" w:color="auto" w:fill="auto"/>
            <w:vAlign w:val="center"/>
            <w:hideMark/>
          </w:tcPr>
          <w:p w14:paraId="6A38787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Haberes</w:t>
            </w:r>
          </w:p>
        </w:tc>
        <w:tc>
          <w:tcPr>
            <w:tcW w:w="1819" w:type="dxa"/>
            <w:tcBorders>
              <w:top w:val="nil"/>
              <w:left w:val="nil"/>
              <w:bottom w:val="nil"/>
              <w:right w:val="nil"/>
            </w:tcBorders>
            <w:shd w:val="clear" w:color="auto" w:fill="auto"/>
            <w:vAlign w:val="center"/>
            <w:hideMark/>
          </w:tcPr>
          <w:p w14:paraId="13739DD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241,692,706.68</w:t>
            </w:r>
          </w:p>
        </w:tc>
      </w:tr>
      <w:tr w:rsidR="00C6733C" w14:paraId="0AE1738D" w14:textId="77777777">
        <w:trPr>
          <w:trHeight w:val="555"/>
          <w:jc w:val="center"/>
        </w:trPr>
        <w:tc>
          <w:tcPr>
            <w:tcW w:w="6081" w:type="dxa"/>
            <w:tcBorders>
              <w:top w:val="nil"/>
              <w:left w:val="nil"/>
              <w:bottom w:val="nil"/>
              <w:right w:val="nil"/>
            </w:tcBorders>
            <w:shd w:val="clear" w:color="auto" w:fill="auto"/>
            <w:vAlign w:val="center"/>
            <w:hideMark/>
          </w:tcPr>
          <w:p w14:paraId="15D305C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Sueldos base al personal permanente</w:t>
            </w:r>
          </w:p>
        </w:tc>
        <w:tc>
          <w:tcPr>
            <w:tcW w:w="1819" w:type="dxa"/>
            <w:tcBorders>
              <w:top w:val="nil"/>
              <w:left w:val="nil"/>
              <w:bottom w:val="nil"/>
              <w:right w:val="nil"/>
            </w:tcBorders>
            <w:shd w:val="clear" w:color="auto" w:fill="auto"/>
            <w:vAlign w:val="center"/>
            <w:hideMark/>
          </w:tcPr>
          <w:p w14:paraId="5B91FE9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1,426,613,155.70</w:t>
            </w:r>
          </w:p>
        </w:tc>
      </w:tr>
      <w:tr w:rsidR="00C6733C" w14:paraId="0E61E315" w14:textId="77777777">
        <w:trPr>
          <w:trHeight w:val="555"/>
          <w:jc w:val="center"/>
        </w:trPr>
        <w:tc>
          <w:tcPr>
            <w:tcW w:w="6081" w:type="dxa"/>
            <w:tcBorders>
              <w:top w:val="nil"/>
              <w:left w:val="nil"/>
              <w:bottom w:val="nil"/>
              <w:right w:val="nil"/>
            </w:tcBorders>
            <w:shd w:val="clear" w:color="auto" w:fill="auto"/>
            <w:vAlign w:val="center"/>
            <w:hideMark/>
          </w:tcPr>
          <w:p w14:paraId="061AA9A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Remuneraciones al personal de carácter transitorio</w:t>
            </w:r>
          </w:p>
        </w:tc>
        <w:tc>
          <w:tcPr>
            <w:tcW w:w="1819" w:type="dxa"/>
            <w:tcBorders>
              <w:top w:val="nil"/>
              <w:left w:val="nil"/>
              <w:bottom w:val="nil"/>
              <w:right w:val="nil"/>
            </w:tcBorders>
            <w:shd w:val="clear" w:color="auto" w:fill="auto"/>
            <w:vAlign w:val="center"/>
            <w:hideMark/>
          </w:tcPr>
          <w:p w14:paraId="47EA9BA5"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268,831,608.75</w:t>
            </w:r>
          </w:p>
        </w:tc>
      </w:tr>
      <w:tr w:rsidR="00C6733C" w14:paraId="6F4C2A51" w14:textId="77777777">
        <w:trPr>
          <w:trHeight w:val="555"/>
          <w:jc w:val="center"/>
        </w:trPr>
        <w:tc>
          <w:tcPr>
            <w:tcW w:w="6081" w:type="dxa"/>
            <w:tcBorders>
              <w:top w:val="nil"/>
              <w:left w:val="nil"/>
              <w:bottom w:val="nil"/>
              <w:right w:val="nil"/>
            </w:tcBorders>
            <w:shd w:val="clear" w:color="auto" w:fill="auto"/>
            <w:vAlign w:val="center"/>
            <w:hideMark/>
          </w:tcPr>
          <w:p w14:paraId="5C5163C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Honorarios asimilables a </w:t>
            </w:r>
            <w:r>
              <w:rPr>
                <w:rFonts w:ascii="Arial" w:eastAsia="Times New Roman" w:hAnsi="Arial" w:cs="Arial"/>
                <w:color w:val="000000"/>
                <w:lang w:bidi="ar-SA"/>
              </w:rPr>
              <w:t>salarios</w:t>
            </w:r>
          </w:p>
        </w:tc>
        <w:tc>
          <w:tcPr>
            <w:tcW w:w="1819" w:type="dxa"/>
            <w:tcBorders>
              <w:top w:val="nil"/>
              <w:left w:val="nil"/>
              <w:bottom w:val="nil"/>
              <w:right w:val="nil"/>
            </w:tcBorders>
            <w:shd w:val="clear" w:color="auto" w:fill="auto"/>
            <w:vAlign w:val="center"/>
            <w:hideMark/>
          </w:tcPr>
          <w:p w14:paraId="396EEB7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88,544,860.12</w:t>
            </w:r>
          </w:p>
        </w:tc>
      </w:tr>
      <w:tr w:rsidR="00C6733C" w14:paraId="39E28E44" w14:textId="77777777">
        <w:trPr>
          <w:trHeight w:val="555"/>
          <w:jc w:val="center"/>
        </w:trPr>
        <w:tc>
          <w:tcPr>
            <w:tcW w:w="6081" w:type="dxa"/>
            <w:tcBorders>
              <w:top w:val="nil"/>
              <w:left w:val="nil"/>
              <w:bottom w:val="nil"/>
              <w:right w:val="nil"/>
            </w:tcBorders>
            <w:shd w:val="clear" w:color="auto" w:fill="auto"/>
            <w:vAlign w:val="center"/>
            <w:hideMark/>
          </w:tcPr>
          <w:p w14:paraId="5800497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Sueldos base al personal eventual</w:t>
            </w:r>
          </w:p>
        </w:tc>
        <w:tc>
          <w:tcPr>
            <w:tcW w:w="1819" w:type="dxa"/>
            <w:tcBorders>
              <w:top w:val="nil"/>
              <w:left w:val="nil"/>
              <w:bottom w:val="nil"/>
              <w:right w:val="nil"/>
            </w:tcBorders>
            <w:shd w:val="clear" w:color="auto" w:fill="auto"/>
            <w:vAlign w:val="center"/>
            <w:hideMark/>
          </w:tcPr>
          <w:p w14:paraId="1E0ED3D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179,633,687.99</w:t>
            </w:r>
          </w:p>
        </w:tc>
      </w:tr>
      <w:tr w:rsidR="00C6733C" w14:paraId="4538D99A" w14:textId="77777777">
        <w:trPr>
          <w:trHeight w:val="555"/>
          <w:jc w:val="center"/>
        </w:trPr>
        <w:tc>
          <w:tcPr>
            <w:tcW w:w="6081" w:type="dxa"/>
            <w:tcBorders>
              <w:top w:val="nil"/>
              <w:left w:val="nil"/>
              <w:bottom w:val="nil"/>
              <w:right w:val="nil"/>
            </w:tcBorders>
            <w:shd w:val="clear" w:color="auto" w:fill="auto"/>
            <w:vAlign w:val="center"/>
            <w:hideMark/>
          </w:tcPr>
          <w:p w14:paraId="43789D6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Retribución a los representantes de los trabajadores y de los patrones  en la junta de conciliación y arbitraje</w:t>
            </w:r>
          </w:p>
        </w:tc>
        <w:tc>
          <w:tcPr>
            <w:tcW w:w="1819" w:type="dxa"/>
            <w:tcBorders>
              <w:top w:val="nil"/>
              <w:left w:val="nil"/>
              <w:bottom w:val="nil"/>
              <w:right w:val="nil"/>
            </w:tcBorders>
            <w:shd w:val="clear" w:color="auto" w:fill="auto"/>
            <w:vAlign w:val="center"/>
            <w:hideMark/>
          </w:tcPr>
          <w:p w14:paraId="053B0B9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653,060.64</w:t>
            </w:r>
          </w:p>
        </w:tc>
      </w:tr>
      <w:tr w:rsidR="00C6733C" w14:paraId="72A1AF9D" w14:textId="77777777">
        <w:trPr>
          <w:trHeight w:val="555"/>
          <w:jc w:val="center"/>
        </w:trPr>
        <w:tc>
          <w:tcPr>
            <w:tcW w:w="6081" w:type="dxa"/>
            <w:tcBorders>
              <w:top w:val="nil"/>
              <w:left w:val="nil"/>
              <w:bottom w:val="nil"/>
              <w:right w:val="nil"/>
            </w:tcBorders>
            <w:shd w:val="clear" w:color="auto" w:fill="auto"/>
            <w:vAlign w:val="center"/>
            <w:hideMark/>
          </w:tcPr>
          <w:p w14:paraId="3100CDCD"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Remuneraciones adicionales y especiales</w:t>
            </w:r>
          </w:p>
        </w:tc>
        <w:tc>
          <w:tcPr>
            <w:tcW w:w="1819" w:type="dxa"/>
            <w:tcBorders>
              <w:top w:val="nil"/>
              <w:left w:val="nil"/>
              <w:bottom w:val="nil"/>
              <w:right w:val="nil"/>
            </w:tcBorders>
            <w:shd w:val="clear" w:color="auto" w:fill="auto"/>
            <w:vAlign w:val="center"/>
            <w:hideMark/>
          </w:tcPr>
          <w:p w14:paraId="06E3F7AF"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1,032,018,481.74</w:t>
            </w:r>
          </w:p>
        </w:tc>
      </w:tr>
      <w:tr w:rsidR="00C6733C" w14:paraId="4A753034" w14:textId="77777777">
        <w:trPr>
          <w:trHeight w:val="555"/>
          <w:jc w:val="center"/>
        </w:trPr>
        <w:tc>
          <w:tcPr>
            <w:tcW w:w="6081" w:type="dxa"/>
            <w:tcBorders>
              <w:top w:val="nil"/>
              <w:left w:val="nil"/>
              <w:bottom w:val="nil"/>
              <w:right w:val="nil"/>
            </w:tcBorders>
            <w:shd w:val="clear" w:color="auto" w:fill="auto"/>
            <w:vAlign w:val="center"/>
            <w:hideMark/>
          </w:tcPr>
          <w:p w14:paraId="3FDB1F5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Primas por años de servicios efectivos prestados</w:t>
            </w:r>
          </w:p>
        </w:tc>
        <w:tc>
          <w:tcPr>
            <w:tcW w:w="1819" w:type="dxa"/>
            <w:tcBorders>
              <w:top w:val="nil"/>
              <w:left w:val="nil"/>
              <w:bottom w:val="nil"/>
              <w:right w:val="nil"/>
            </w:tcBorders>
            <w:shd w:val="clear" w:color="auto" w:fill="auto"/>
            <w:vAlign w:val="center"/>
            <w:hideMark/>
          </w:tcPr>
          <w:p w14:paraId="544DDF1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245,673,978.02</w:t>
            </w:r>
          </w:p>
        </w:tc>
      </w:tr>
      <w:tr w:rsidR="00C6733C" w14:paraId="76B8A87B" w14:textId="77777777">
        <w:trPr>
          <w:trHeight w:val="555"/>
          <w:jc w:val="center"/>
        </w:trPr>
        <w:tc>
          <w:tcPr>
            <w:tcW w:w="6081" w:type="dxa"/>
            <w:tcBorders>
              <w:top w:val="nil"/>
              <w:left w:val="nil"/>
              <w:bottom w:val="nil"/>
              <w:right w:val="nil"/>
            </w:tcBorders>
            <w:shd w:val="clear" w:color="auto" w:fill="auto"/>
            <w:vAlign w:val="center"/>
            <w:hideMark/>
          </w:tcPr>
          <w:p w14:paraId="0CC71E7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Primas de vacaciones, dominical y gratificación de fin de año</w:t>
            </w:r>
          </w:p>
        </w:tc>
        <w:tc>
          <w:tcPr>
            <w:tcW w:w="1819" w:type="dxa"/>
            <w:tcBorders>
              <w:top w:val="nil"/>
              <w:left w:val="nil"/>
              <w:bottom w:val="nil"/>
              <w:right w:val="nil"/>
            </w:tcBorders>
            <w:shd w:val="clear" w:color="auto" w:fill="auto"/>
            <w:vAlign w:val="center"/>
            <w:hideMark/>
          </w:tcPr>
          <w:p w14:paraId="4DE8CAC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233,034,972.25</w:t>
            </w:r>
          </w:p>
        </w:tc>
      </w:tr>
      <w:tr w:rsidR="00C6733C" w14:paraId="3AF133B4" w14:textId="77777777">
        <w:trPr>
          <w:trHeight w:val="555"/>
          <w:jc w:val="center"/>
        </w:trPr>
        <w:tc>
          <w:tcPr>
            <w:tcW w:w="6081" w:type="dxa"/>
            <w:tcBorders>
              <w:top w:val="nil"/>
              <w:left w:val="nil"/>
              <w:bottom w:val="nil"/>
              <w:right w:val="nil"/>
            </w:tcBorders>
            <w:shd w:val="clear" w:color="auto" w:fill="auto"/>
            <w:vAlign w:val="center"/>
            <w:hideMark/>
          </w:tcPr>
          <w:p w14:paraId="2524759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Horas extraordinarias</w:t>
            </w:r>
          </w:p>
        </w:tc>
        <w:tc>
          <w:tcPr>
            <w:tcW w:w="1819" w:type="dxa"/>
            <w:tcBorders>
              <w:top w:val="nil"/>
              <w:left w:val="nil"/>
              <w:bottom w:val="nil"/>
              <w:right w:val="nil"/>
            </w:tcBorders>
            <w:shd w:val="clear" w:color="auto" w:fill="auto"/>
            <w:vAlign w:val="center"/>
            <w:hideMark/>
          </w:tcPr>
          <w:p w14:paraId="02C0D67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2,422,720.80</w:t>
            </w:r>
          </w:p>
        </w:tc>
      </w:tr>
      <w:tr w:rsidR="00C6733C" w14:paraId="3AA06EC8" w14:textId="77777777">
        <w:trPr>
          <w:trHeight w:val="555"/>
          <w:jc w:val="center"/>
        </w:trPr>
        <w:tc>
          <w:tcPr>
            <w:tcW w:w="6081" w:type="dxa"/>
            <w:tcBorders>
              <w:top w:val="nil"/>
              <w:left w:val="nil"/>
              <w:bottom w:val="nil"/>
              <w:right w:val="nil"/>
            </w:tcBorders>
            <w:shd w:val="clear" w:color="auto" w:fill="auto"/>
            <w:vAlign w:val="center"/>
            <w:hideMark/>
          </w:tcPr>
          <w:p w14:paraId="5259665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Compensaciones</w:t>
            </w:r>
          </w:p>
        </w:tc>
        <w:tc>
          <w:tcPr>
            <w:tcW w:w="1819" w:type="dxa"/>
            <w:tcBorders>
              <w:top w:val="nil"/>
              <w:left w:val="nil"/>
              <w:bottom w:val="nil"/>
              <w:right w:val="nil"/>
            </w:tcBorders>
            <w:shd w:val="clear" w:color="auto" w:fill="auto"/>
            <w:vAlign w:val="center"/>
            <w:hideMark/>
          </w:tcPr>
          <w:p w14:paraId="4AB91D2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76,600,803.51</w:t>
            </w:r>
          </w:p>
        </w:tc>
      </w:tr>
      <w:tr w:rsidR="00C6733C" w14:paraId="4B0A6EC0" w14:textId="77777777">
        <w:trPr>
          <w:trHeight w:val="555"/>
          <w:jc w:val="center"/>
        </w:trPr>
        <w:tc>
          <w:tcPr>
            <w:tcW w:w="6081" w:type="dxa"/>
            <w:tcBorders>
              <w:top w:val="nil"/>
              <w:left w:val="nil"/>
              <w:bottom w:val="nil"/>
              <w:right w:val="nil"/>
            </w:tcBorders>
            <w:shd w:val="clear" w:color="auto" w:fill="auto"/>
            <w:vAlign w:val="center"/>
            <w:hideMark/>
          </w:tcPr>
          <w:p w14:paraId="37C6D40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Sobrehaberes</w:t>
            </w:r>
          </w:p>
        </w:tc>
        <w:tc>
          <w:tcPr>
            <w:tcW w:w="1819" w:type="dxa"/>
            <w:tcBorders>
              <w:top w:val="nil"/>
              <w:left w:val="nil"/>
              <w:bottom w:val="nil"/>
              <w:right w:val="nil"/>
            </w:tcBorders>
            <w:shd w:val="clear" w:color="auto" w:fill="auto"/>
            <w:vAlign w:val="center"/>
            <w:hideMark/>
          </w:tcPr>
          <w:p w14:paraId="61C12DE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374,352,185.04</w:t>
            </w:r>
          </w:p>
        </w:tc>
      </w:tr>
      <w:tr w:rsidR="00C6733C" w14:paraId="0E77162D" w14:textId="77777777">
        <w:trPr>
          <w:trHeight w:val="555"/>
          <w:jc w:val="center"/>
        </w:trPr>
        <w:tc>
          <w:tcPr>
            <w:tcW w:w="6081" w:type="dxa"/>
            <w:tcBorders>
              <w:top w:val="nil"/>
              <w:left w:val="nil"/>
              <w:bottom w:val="nil"/>
              <w:right w:val="nil"/>
            </w:tcBorders>
            <w:shd w:val="clear" w:color="auto" w:fill="auto"/>
            <w:vAlign w:val="center"/>
            <w:hideMark/>
          </w:tcPr>
          <w:p w14:paraId="6A479D4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por vigilancia en el cumplimiento de las leyes y custodia de valores</w:t>
            </w:r>
          </w:p>
        </w:tc>
        <w:tc>
          <w:tcPr>
            <w:tcW w:w="1819" w:type="dxa"/>
            <w:tcBorders>
              <w:top w:val="nil"/>
              <w:left w:val="nil"/>
              <w:bottom w:val="nil"/>
              <w:right w:val="nil"/>
            </w:tcBorders>
            <w:shd w:val="clear" w:color="auto" w:fill="auto"/>
            <w:vAlign w:val="center"/>
            <w:hideMark/>
          </w:tcPr>
          <w:p w14:paraId="586AA63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99,933,822.12</w:t>
            </w:r>
          </w:p>
        </w:tc>
      </w:tr>
      <w:tr w:rsidR="00C6733C" w14:paraId="78434128" w14:textId="77777777">
        <w:trPr>
          <w:trHeight w:val="555"/>
          <w:jc w:val="center"/>
        </w:trPr>
        <w:tc>
          <w:tcPr>
            <w:tcW w:w="6081" w:type="dxa"/>
            <w:tcBorders>
              <w:top w:val="nil"/>
              <w:left w:val="nil"/>
              <w:bottom w:val="nil"/>
              <w:right w:val="nil"/>
            </w:tcBorders>
            <w:shd w:val="clear" w:color="auto" w:fill="auto"/>
            <w:vAlign w:val="center"/>
            <w:hideMark/>
          </w:tcPr>
          <w:p w14:paraId="099A6470"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Seguridad social</w:t>
            </w:r>
          </w:p>
        </w:tc>
        <w:tc>
          <w:tcPr>
            <w:tcW w:w="1819" w:type="dxa"/>
            <w:tcBorders>
              <w:top w:val="nil"/>
              <w:left w:val="nil"/>
              <w:bottom w:val="nil"/>
              <w:right w:val="nil"/>
            </w:tcBorders>
            <w:shd w:val="clear" w:color="auto" w:fill="auto"/>
            <w:vAlign w:val="center"/>
            <w:hideMark/>
          </w:tcPr>
          <w:p w14:paraId="030BD6FC"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189,320,051.08</w:t>
            </w:r>
          </w:p>
        </w:tc>
      </w:tr>
      <w:tr w:rsidR="00C6733C" w14:paraId="469C0DBC" w14:textId="77777777">
        <w:trPr>
          <w:trHeight w:val="555"/>
          <w:jc w:val="center"/>
        </w:trPr>
        <w:tc>
          <w:tcPr>
            <w:tcW w:w="6081" w:type="dxa"/>
            <w:tcBorders>
              <w:top w:val="nil"/>
              <w:left w:val="nil"/>
              <w:bottom w:val="nil"/>
              <w:right w:val="nil"/>
            </w:tcBorders>
            <w:shd w:val="clear" w:color="auto" w:fill="auto"/>
            <w:vAlign w:val="center"/>
            <w:hideMark/>
          </w:tcPr>
          <w:p w14:paraId="4727A3E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Aportaciones de seguridad social</w:t>
            </w:r>
          </w:p>
        </w:tc>
        <w:tc>
          <w:tcPr>
            <w:tcW w:w="1819" w:type="dxa"/>
            <w:tcBorders>
              <w:top w:val="nil"/>
              <w:left w:val="nil"/>
              <w:bottom w:val="nil"/>
              <w:right w:val="nil"/>
            </w:tcBorders>
            <w:shd w:val="clear" w:color="auto" w:fill="auto"/>
            <w:vAlign w:val="center"/>
            <w:hideMark/>
          </w:tcPr>
          <w:p w14:paraId="56C7B5F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166,097,539.62</w:t>
            </w:r>
          </w:p>
        </w:tc>
      </w:tr>
      <w:tr w:rsidR="00C6733C" w14:paraId="363ACC81" w14:textId="77777777">
        <w:trPr>
          <w:trHeight w:val="555"/>
          <w:jc w:val="center"/>
        </w:trPr>
        <w:tc>
          <w:tcPr>
            <w:tcW w:w="6081" w:type="dxa"/>
            <w:tcBorders>
              <w:top w:val="nil"/>
              <w:left w:val="nil"/>
              <w:bottom w:val="nil"/>
              <w:right w:val="nil"/>
            </w:tcBorders>
            <w:shd w:val="clear" w:color="auto" w:fill="auto"/>
            <w:vAlign w:val="center"/>
            <w:hideMark/>
          </w:tcPr>
          <w:p w14:paraId="6BC7B2B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Aportaciones para seguros</w:t>
            </w:r>
          </w:p>
        </w:tc>
        <w:tc>
          <w:tcPr>
            <w:tcW w:w="1819" w:type="dxa"/>
            <w:tcBorders>
              <w:top w:val="nil"/>
              <w:left w:val="nil"/>
              <w:bottom w:val="nil"/>
              <w:right w:val="nil"/>
            </w:tcBorders>
            <w:shd w:val="clear" w:color="auto" w:fill="auto"/>
            <w:vAlign w:val="center"/>
            <w:hideMark/>
          </w:tcPr>
          <w:p w14:paraId="671F48D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23,222,511.46</w:t>
            </w:r>
          </w:p>
        </w:tc>
      </w:tr>
      <w:tr w:rsidR="00C6733C" w14:paraId="302039F0" w14:textId="77777777">
        <w:trPr>
          <w:trHeight w:val="555"/>
          <w:jc w:val="center"/>
        </w:trPr>
        <w:tc>
          <w:tcPr>
            <w:tcW w:w="6081" w:type="dxa"/>
            <w:tcBorders>
              <w:top w:val="nil"/>
              <w:left w:val="nil"/>
              <w:bottom w:val="nil"/>
              <w:right w:val="nil"/>
            </w:tcBorders>
            <w:shd w:val="clear" w:color="auto" w:fill="auto"/>
            <w:vAlign w:val="center"/>
            <w:hideMark/>
          </w:tcPr>
          <w:p w14:paraId="08C44DA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Otras </w:t>
            </w:r>
            <w:r>
              <w:rPr>
                <w:rFonts w:ascii="Arial" w:eastAsia="Times New Roman" w:hAnsi="Arial" w:cs="Arial"/>
                <w:b/>
                <w:bCs/>
                <w:color w:val="000000"/>
                <w:lang w:bidi="ar-SA"/>
              </w:rPr>
              <w:t>prestaciones sociales y económicas</w:t>
            </w:r>
          </w:p>
        </w:tc>
        <w:tc>
          <w:tcPr>
            <w:tcW w:w="1819" w:type="dxa"/>
            <w:tcBorders>
              <w:top w:val="nil"/>
              <w:left w:val="nil"/>
              <w:bottom w:val="nil"/>
              <w:right w:val="nil"/>
            </w:tcBorders>
            <w:shd w:val="clear" w:color="auto" w:fill="auto"/>
            <w:vAlign w:val="center"/>
            <w:hideMark/>
          </w:tcPr>
          <w:p w14:paraId="6DE2C804"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1,029,805,212.92</w:t>
            </w:r>
          </w:p>
        </w:tc>
      </w:tr>
      <w:tr w:rsidR="00C6733C" w14:paraId="23DD7F00" w14:textId="77777777">
        <w:trPr>
          <w:trHeight w:val="555"/>
          <w:jc w:val="center"/>
        </w:trPr>
        <w:tc>
          <w:tcPr>
            <w:tcW w:w="6081" w:type="dxa"/>
            <w:tcBorders>
              <w:top w:val="nil"/>
              <w:left w:val="nil"/>
              <w:bottom w:val="nil"/>
              <w:right w:val="nil"/>
            </w:tcBorders>
            <w:shd w:val="clear" w:color="auto" w:fill="auto"/>
            <w:vAlign w:val="center"/>
            <w:hideMark/>
          </w:tcPr>
          <w:p w14:paraId="5F5B890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Indemnizaciones</w:t>
            </w:r>
          </w:p>
        </w:tc>
        <w:tc>
          <w:tcPr>
            <w:tcW w:w="1819" w:type="dxa"/>
            <w:tcBorders>
              <w:top w:val="nil"/>
              <w:left w:val="nil"/>
              <w:bottom w:val="nil"/>
              <w:right w:val="nil"/>
            </w:tcBorders>
            <w:shd w:val="clear" w:color="auto" w:fill="auto"/>
            <w:vAlign w:val="center"/>
            <w:hideMark/>
          </w:tcPr>
          <w:p w14:paraId="55A4870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5,766,767.56</w:t>
            </w:r>
          </w:p>
        </w:tc>
      </w:tr>
      <w:tr w:rsidR="00C6733C" w14:paraId="0B40A1BF" w14:textId="77777777">
        <w:trPr>
          <w:trHeight w:val="555"/>
          <w:jc w:val="center"/>
        </w:trPr>
        <w:tc>
          <w:tcPr>
            <w:tcW w:w="6081" w:type="dxa"/>
            <w:tcBorders>
              <w:top w:val="nil"/>
              <w:left w:val="nil"/>
              <w:bottom w:val="nil"/>
              <w:right w:val="nil"/>
            </w:tcBorders>
            <w:shd w:val="clear" w:color="auto" w:fill="auto"/>
            <w:vAlign w:val="center"/>
            <w:hideMark/>
          </w:tcPr>
          <w:p w14:paraId="035DD9D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Prestaciones y haberes de retiro</w:t>
            </w:r>
          </w:p>
        </w:tc>
        <w:tc>
          <w:tcPr>
            <w:tcW w:w="1819" w:type="dxa"/>
            <w:tcBorders>
              <w:top w:val="nil"/>
              <w:left w:val="nil"/>
              <w:bottom w:val="nil"/>
              <w:right w:val="nil"/>
            </w:tcBorders>
            <w:shd w:val="clear" w:color="auto" w:fill="auto"/>
            <w:vAlign w:val="center"/>
            <w:hideMark/>
          </w:tcPr>
          <w:p w14:paraId="427B322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4,685,645.88</w:t>
            </w:r>
          </w:p>
        </w:tc>
      </w:tr>
      <w:tr w:rsidR="00C6733C" w14:paraId="5FA2DEBD" w14:textId="77777777">
        <w:trPr>
          <w:trHeight w:val="555"/>
          <w:jc w:val="center"/>
        </w:trPr>
        <w:tc>
          <w:tcPr>
            <w:tcW w:w="6081" w:type="dxa"/>
            <w:tcBorders>
              <w:top w:val="nil"/>
              <w:left w:val="nil"/>
              <w:bottom w:val="nil"/>
              <w:right w:val="nil"/>
            </w:tcBorders>
            <w:shd w:val="clear" w:color="auto" w:fill="auto"/>
            <w:vAlign w:val="center"/>
            <w:hideMark/>
          </w:tcPr>
          <w:p w14:paraId="4989D51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Prestaciones contractuales</w:t>
            </w:r>
          </w:p>
        </w:tc>
        <w:tc>
          <w:tcPr>
            <w:tcW w:w="1819" w:type="dxa"/>
            <w:tcBorders>
              <w:top w:val="nil"/>
              <w:left w:val="nil"/>
              <w:bottom w:val="nil"/>
              <w:right w:val="nil"/>
            </w:tcBorders>
            <w:shd w:val="clear" w:color="auto" w:fill="auto"/>
            <w:vAlign w:val="center"/>
            <w:hideMark/>
          </w:tcPr>
          <w:p w14:paraId="47C159E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817,725,668.15</w:t>
            </w:r>
          </w:p>
        </w:tc>
      </w:tr>
      <w:tr w:rsidR="00C6733C" w14:paraId="57C3FC0D" w14:textId="77777777">
        <w:trPr>
          <w:trHeight w:val="555"/>
          <w:jc w:val="center"/>
        </w:trPr>
        <w:tc>
          <w:tcPr>
            <w:tcW w:w="6081" w:type="dxa"/>
            <w:tcBorders>
              <w:top w:val="nil"/>
              <w:left w:val="nil"/>
              <w:bottom w:val="nil"/>
              <w:right w:val="nil"/>
            </w:tcBorders>
            <w:shd w:val="clear" w:color="auto" w:fill="auto"/>
            <w:vAlign w:val="center"/>
            <w:hideMark/>
          </w:tcPr>
          <w:p w14:paraId="0647E11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Otras prestaciones sociales y económicas</w:t>
            </w:r>
          </w:p>
        </w:tc>
        <w:tc>
          <w:tcPr>
            <w:tcW w:w="1819" w:type="dxa"/>
            <w:tcBorders>
              <w:top w:val="nil"/>
              <w:left w:val="nil"/>
              <w:bottom w:val="nil"/>
              <w:right w:val="nil"/>
            </w:tcBorders>
            <w:shd w:val="clear" w:color="auto" w:fill="auto"/>
            <w:vAlign w:val="center"/>
            <w:hideMark/>
          </w:tcPr>
          <w:p w14:paraId="0E93D0F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201,627,131.33</w:t>
            </w:r>
          </w:p>
        </w:tc>
      </w:tr>
      <w:tr w:rsidR="00C6733C" w14:paraId="2554CC43" w14:textId="77777777">
        <w:trPr>
          <w:trHeight w:val="555"/>
          <w:jc w:val="center"/>
        </w:trPr>
        <w:tc>
          <w:tcPr>
            <w:tcW w:w="6081" w:type="dxa"/>
            <w:tcBorders>
              <w:top w:val="nil"/>
              <w:left w:val="nil"/>
              <w:bottom w:val="nil"/>
              <w:right w:val="nil"/>
            </w:tcBorders>
            <w:shd w:val="clear" w:color="auto" w:fill="auto"/>
            <w:vAlign w:val="center"/>
            <w:hideMark/>
          </w:tcPr>
          <w:p w14:paraId="14A96FA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Previsiones</w:t>
            </w:r>
          </w:p>
        </w:tc>
        <w:tc>
          <w:tcPr>
            <w:tcW w:w="1819" w:type="dxa"/>
            <w:tcBorders>
              <w:top w:val="nil"/>
              <w:left w:val="nil"/>
              <w:bottom w:val="nil"/>
              <w:right w:val="nil"/>
            </w:tcBorders>
            <w:shd w:val="clear" w:color="auto" w:fill="auto"/>
            <w:vAlign w:val="center"/>
            <w:hideMark/>
          </w:tcPr>
          <w:p w14:paraId="432CB627"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300,890,990.36</w:t>
            </w:r>
          </w:p>
        </w:tc>
      </w:tr>
      <w:tr w:rsidR="00C6733C" w14:paraId="38153180" w14:textId="77777777">
        <w:trPr>
          <w:trHeight w:val="555"/>
          <w:jc w:val="center"/>
        </w:trPr>
        <w:tc>
          <w:tcPr>
            <w:tcW w:w="6081" w:type="dxa"/>
            <w:tcBorders>
              <w:top w:val="nil"/>
              <w:left w:val="nil"/>
              <w:bottom w:val="nil"/>
              <w:right w:val="nil"/>
            </w:tcBorders>
            <w:shd w:val="clear" w:color="auto" w:fill="auto"/>
            <w:vAlign w:val="center"/>
            <w:hideMark/>
          </w:tcPr>
          <w:p w14:paraId="412CF4D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Previsiones de carácter laboral, económica y de seguridad social</w:t>
            </w:r>
          </w:p>
        </w:tc>
        <w:tc>
          <w:tcPr>
            <w:tcW w:w="1819" w:type="dxa"/>
            <w:tcBorders>
              <w:top w:val="nil"/>
              <w:left w:val="nil"/>
              <w:bottom w:val="nil"/>
              <w:right w:val="nil"/>
            </w:tcBorders>
            <w:shd w:val="clear" w:color="auto" w:fill="auto"/>
            <w:vAlign w:val="center"/>
            <w:hideMark/>
          </w:tcPr>
          <w:p w14:paraId="74BAA9E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300,890,990.36</w:t>
            </w:r>
          </w:p>
        </w:tc>
      </w:tr>
      <w:tr w:rsidR="00C6733C" w14:paraId="35A64480" w14:textId="77777777">
        <w:trPr>
          <w:trHeight w:val="555"/>
          <w:jc w:val="center"/>
        </w:trPr>
        <w:tc>
          <w:tcPr>
            <w:tcW w:w="6081" w:type="dxa"/>
            <w:tcBorders>
              <w:top w:val="nil"/>
              <w:left w:val="nil"/>
              <w:bottom w:val="nil"/>
              <w:right w:val="nil"/>
            </w:tcBorders>
            <w:shd w:val="clear" w:color="auto" w:fill="auto"/>
            <w:vAlign w:val="center"/>
            <w:hideMark/>
          </w:tcPr>
          <w:p w14:paraId="2018DE0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Pago de estímulos a servidores públicos</w:t>
            </w:r>
          </w:p>
        </w:tc>
        <w:tc>
          <w:tcPr>
            <w:tcW w:w="1819" w:type="dxa"/>
            <w:tcBorders>
              <w:top w:val="nil"/>
              <w:left w:val="nil"/>
              <w:bottom w:val="nil"/>
              <w:right w:val="nil"/>
            </w:tcBorders>
            <w:shd w:val="clear" w:color="auto" w:fill="auto"/>
            <w:vAlign w:val="center"/>
            <w:hideMark/>
          </w:tcPr>
          <w:p w14:paraId="750AAD4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66,403,145.88</w:t>
            </w:r>
          </w:p>
        </w:tc>
      </w:tr>
      <w:tr w:rsidR="00C6733C" w14:paraId="25C41596" w14:textId="77777777">
        <w:trPr>
          <w:trHeight w:val="555"/>
          <w:jc w:val="center"/>
        </w:trPr>
        <w:tc>
          <w:tcPr>
            <w:tcW w:w="6081" w:type="dxa"/>
            <w:tcBorders>
              <w:top w:val="nil"/>
              <w:left w:val="nil"/>
              <w:bottom w:val="nil"/>
              <w:right w:val="nil"/>
            </w:tcBorders>
            <w:shd w:val="clear" w:color="auto" w:fill="auto"/>
            <w:vAlign w:val="center"/>
            <w:hideMark/>
          </w:tcPr>
          <w:p w14:paraId="469EB5E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Estímulos</w:t>
            </w:r>
          </w:p>
        </w:tc>
        <w:tc>
          <w:tcPr>
            <w:tcW w:w="1819" w:type="dxa"/>
            <w:tcBorders>
              <w:top w:val="nil"/>
              <w:left w:val="nil"/>
              <w:bottom w:val="nil"/>
              <w:right w:val="nil"/>
            </w:tcBorders>
            <w:shd w:val="clear" w:color="auto" w:fill="auto"/>
            <w:vAlign w:val="center"/>
            <w:hideMark/>
          </w:tcPr>
          <w:p w14:paraId="51B4F26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66,403,145.88</w:t>
            </w:r>
          </w:p>
        </w:tc>
      </w:tr>
      <w:tr w:rsidR="00C6733C" w14:paraId="1867BBAC" w14:textId="77777777">
        <w:trPr>
          <w:trHeight w:val="555"/>
          <w:jc w:val="center"/>
        </w:trPr>
        <w:tc>
          <w:tcPr>
            <w:tcW w:w="6081" w:type="dxa"/>
            <w:tcBorders>
              <w:top w:val="nil"/>
              <w:left w:val="nil"/>
              <w:right w:val="nil"/>
            </w:tcBorders>
            <w:shd w:val="clear" w:color="auto" w:fill="auto"/>
            <w:vAlign w:val="center"/>
            <w:hideMark/>
          </w:tcPr>
          <w:p w14:paraId="6E7CEFD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MATERIALES Y SUMINISTROS</w:t>
            </w:r>
          </w:p>
        </w:tc>
        <w:tc>
          <w:tcPr>
            <w:tcW w:w="1819" w:type="dxa"/>
            <w:tcBorders>
              <w:top w:val="nil"/>
              <w:left w:val="nil"/>
              <w:right w:val="nil"/>
            </w:tcBorders>
            <w:shd w:val="clear" w:color="auto" w:fill="auto"/>
            <w:vAlign w:val="center"/>
            <w:hideMark/>
          </w:tcPr>
          <w:p w14:paraId="4A0AB8FE"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410,566,040.86</w:t>
            </w:r>
          </w:p>
        </w:tc>
      </w:tr>
      <w:tr w:rsidR="00C6733C" w14:paraId="1E1EBCBB" w14:textId="77777777">
        <w:trPr>
          <w:trHeight w:val="555"/>
          <w:jc w:val="center"/>
        </w:trPr>
        <w:tc>
          <w:tcPr>
            <w:tcW w:w="6081" w:type="dxa"/>
            <w:shd w:val="clear" w:color="auto" w:fill="auto"/>
            <w:vAlign w:val="center"/>
            <w:hideMark/>
          </w:tcPr>
          <w:p w14:paraId="5E976F5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Materiales de </w:t>
            </w:r>
            <w:r>
              <w:rPr>
                <w:rFonts w:ascii="Arial" w:eastAsia="Times New Roman" w:hAnsi="Arial" w:cs="Arial"/>
                <w:b/>
                <w:bCs/>
                <w:color w:val="000000"/>
                <w:lang w:bidi="ar-SA"/>
              </w:rPr>
              <w:t>administración, emisión de documentos y artículos oficiales</w:t>
            </w:r>
          </w:p>
        </w:tc>
        <w:tc>
          <w:tcPr>
            <w:tcW w:w="1819" w:type="dxa"/>
            <w:tcBorders>
              <w:right w:val="nil"/>
            </w:tcBorders>
            <w:shd w:val="clear" w:color="auto" w:fill="auto"/>
            <w:vAlign w:val="center"/>
            <w:hideMark/>
          </w:tcPr>
          <w:p w14:paraId="7296CC0B"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140,258,304.30</w:t>
            </w:r>
          </w:p>
        </w:tc>
      </w:tr>
      <w:tr w:rsidR="00C6733C" w14:paraId="5451D393" w14:textId="77777777">
        <w:trPr>
          <w:trHeight w:val="555"/>
          <w:jc w:val="center"/>
        </w:trPr>
        <w:tc>
          <w:tcPr>
            <w:tcW w:w="6081" w:type="dxa"/>
            <w:tcBorders>
              <w:left w:val="nil"/>
              <w:bottom w:val="nil"/>
              <w:right w:val="nil"/>
            </w:tcBorders>
            <w:shd w:val="clear" w:color="auto" w:fill="auto"/>
            <w:vAlign w:val="center"/>
            <w:hideMark/>
          </w:tcPr>
          <w:p w14:paraId="1C3B19C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útiles y equipos menores de oficina</w:t>
            </w:r>
          </w:p>
        </w:tc>
        <w:tc>
          <w:tcPr>
            <w:tcW w:w="1819" w:type="dxa"/>
            <w:tcBorders>
              <w:left w:val="nil"/>
              <w:bottom w:val="nil"/>
              <w:right w:val="nil"/>
            </w:tcBorders>
            <w:shd w:val="clear" w:color="auto" w:fill="auto"/>
            <w:vAlign w:val="center"/>
            <w:hideMark/>
          </w:tcPr>
          <w:p w14:paraId="22593BA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13,572,717.69</w:t>
            </w:r>
          </w:p>
        </w:tc>
      </w:tr>
      <w:tr w:rsidR="00C6733C" w14:paraId="1AFE29C4" w14:textId="77777777">
        <w:trPr>
          <w:trHeight w:val="555"/>
          <w:jc w:val="center"/>
        </w:trPr>
        <w:tc>
          <w:tcPr>
            <w:tcW w:w="6081" w:type="dxa"/>
            <w:tcBorders>
              <w:top w:val="nil"/>
              <w:left w:val="nil"/>
              <w:bottom w:val="nil"/>
              <w:right w:val="nil"/>
            </w:tcBorders>
            <w:shd w:val="clear" w:color="auto" w:fill="auto"/>
            <w:vAlign w:val="center"/>
            <w:hideMark/>
          </w:tcPr>
          <w:p w14:paraId="622E95C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y útiles de impresión y reproducción</w:t>
            </w:r>
          </w:p>
        </w:tc>
        <w:tc>
          <w:tcPr>
            <w:tcW w:w="1819" w:type="dxa"/>
            <w:tcBorders>
              <w:top w:val="nil"/>
              <w:left w:val="nil"/>
              <w:bottom w:val="nil"/>
              <w:right w:val="nil"/>
            </w:tcBorders>
            <w:shd w:val="clear" w:color="auto" w:fill="auto"/>
            <w:vAlign w:val="center"/>
            <w:hideMark/>
          </w:tcPr>
          <w:p w14:paraId="3035CCC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298,569.00</w:t>
            </w:r>
          </w:p>
        </w:tc>
      </w:tr>
      <w:tr w:rsidR="00C6733C" w14:paraId="76EEEC77" w14:textId="77777777">
        <w:trPr>
          <w:trHeight w:val="555"/>
          <w:jc w:val="center"/>
        </w:trPr>
        <w:tc>
          <w:tcPr>
            <w:tcW w:w="6081" w:type="dxa"/>
            <w:tcBorders>
              <w:top w:val="nil"/>
              <w:left w:val="nil"/>
              <w:bottom w:val="nil"/>
              <w:right w:val="nil"/>
            </w:tcBorders>
            <w:shd w:val="clear" w:color="auto" w:fill="auto"/>
            <w:vAlign w:val="center"/>
            <w:hideMark/>
          </w:tcPr>
          <w:p w14:paraId="2395098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Materiales, útiles y equipos menores de </w:t>
            </w:r>
            <w:r>
              <w:rPr>
                <w:rFonts w:ascii="Arial" w:eastAsia="Times New Roman" w:hAnsi="Arial" w:cs="Arial"/>
                <w:color w:val="000000"/>
                <w:lang w:bidi="ar-SA"/>
              </w:rPr>
              <w:t>tecnologías de la información y comunicaciones</w:t>
            </w:r>
          </w:p>
        </w:tc>
        <w:tc>
          <w:tcPr>
            <w:tcW w:w="1819" w:type="dxa"/>
            <w:tcBorders>
              <w:top w:val="nil"/>
              <w:left w:val="nil"/>
              <w:bottom w:val="nil"/>
              <w:right w:val="nil"/>
            </w:tcBorders>
            <w:shd w:val="clear" w:color="auto" w:fill="auto"/>
            <w:vAlign w:val="center"/>
            <w:hideMark/>
          </w:tcPr>
          <w:p w14:paraId="279AC11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11,866,470.89</w:t>
            </w:r>
          </w:p>
        </w:tc>
      </w:tr>
      <w:tr w:rsidR="00C6733C" w14:paraId="0984FC92" w14:textId="77777777">
        <w:trPr>
          <w:trHeight w:val="555"/>
          <w:jc w:val="center"/>
        </w:trPr>
        <w:tc>
          <w:tcPr>
            <w:tcW w:w="6081" w:type="dxa"/>
            <w:tcBorders>
              <w:top w:val="nil"/>
              <w:left w:val="nil"/>
              <w:bottom w:val="nil"/>
              <w:right w:val="nil"/>
            </w:tcBorders>
            <w:shd w:val="clear" w:color="auto" w:fill="auto"/>
            <w:vAlign w:val="center"/>
            <w:hideMark/>
          </w:tcPr>
          <w:p w14:paraId="46F2924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 impreso e información digital</w:t>
            </w:r>
          </w:p>
        </w:tc>
        <w:tc>
          <w:tcPr>
            <w:tcW w:w="1819" w:type="dxa"/>
            <w:tcBorders>
              <w:top w:val="nil"/>
              <w:left w:val="nil"/>
              <w:bottom w:val="nil"/>
              <w:right w:val="nil"/>
            </w:tcBorders>
            <w:shd w:val="clear" w:color="auto" w:fill="auto"/>
            <w:vAlign w:val="center"/>
            <w:hideMark/>
          </w:tcPr>
          <w:p w14:paraId="62E1BFB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1,257,189.72</w:t>
            </w:r>
          </w:p>
        </w:tc>
      </w:tr>
      <w:tr w:rsidR="00C6733C" w14:paraId="60D2AB79" w14:textId="77777777">
        <w:trPr>
          <w:trHeight w:val="555"/>
          <w:jc w:val="center"/>
        </w:trPr>
        <w:tc>
          <w:tcPr>
            <w:tcW w:w="6081" w:type="dxa"/>
            <w:tcBorders>
              <w:top w:val="nil"/>
              <w:left w:val="nil"/>
              <w:bottom w:val="nil"/>
              <w:right w:val="nil"/>
            </w:tcBorders>
            <w:shd w:val="clear" w:color="auto" w:fill="auto"/>
            <w:vAlign w:val="center"/>
            <w:hideMark/>
          </w:tcPr>
          <w:p w14:paraId="4DDA10C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 de limpieza</w:t>
            </w:r>
          </w:p>
        </w:tc>
        <w:tc>
          <w:tcPr>
            <w:tcW w:w="1819" w:type="dxa"/>
            <w:tcBorders>
              <w:top w:val="nil"/>
              <w:left w:val="nil"/>
              <w:bottom w:val="nil"/>
              <w:right w:val="nil"/>
            </w:tcBorders>
            <w:shd w:val="clear" w:color="auto" w:fill="auto"/>
            <w:vAlign w:val="center"/>
            <w:hideMark/>
          </w:tcPr>
          <w:p w14:paraId="41C294C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13,318,272.16</w:t>
            </w:r>
          </w:p>
        </w:tc>
      </w:tr>
      <w:tr w:rsidR="00C6733C" w14:paraId="5A021CDB" w14:textId="77777777">
        <w:trPr>
          <w:trHeight w:val="555"/>
          <w:jc w:val="center"/>
        </w:trPr>
        <w:tc>
          <w:tcPr>
            <w:tcW w:w="6081" w:type="dxa"/>
            <w:tcBorders>
              <w:top w:val="nil"/>
              <w:left w:val="nil"/>
              <w:bottom w:val="nil"/>
              <w:right w:val="nil"/>
            </w:tcBorders>
            <w:shd w:val="clear" w:color="auto" w:fill="auto"/>
            <w:vAlign w:val="center"/>
            <w:hideMark/>
          </w:tcPr>
          <w:p w14:paraId="0D09339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y útiles de enseñanza</w:t>
            </w:r>
          </w:p>
        </w:tc>
        <w:tc>
          <w:tcPr>
            <w:tcW w:w="1819" w:type="dxa"/>
            <w:tcBorders>
              <w:top w:val="nil"/>
              <w:left w:val="nil"/>
              <w:bottom w:val="nil"/>
              <w:right w:val="nil"/>
            </w:tcBorders>
            <w:shd w:val="clear" w:color="auto" w:fill="auto"/>
            <w:vAlign w:val="center"/>
            <w:hideMark/>
          </w:tcPr>
          <w:p w14:paraId="350D4AF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8,000.00</w:t>
            </w:r>
          </w:p>
        </w:tc>
      </w:tr>
      <w:tr w:rsidR="00C6733C" w14:paraId="3D5815E5" w14:textId="77777777">
        <w:trPr>
          <w:trHeight w:val="555"/>
          <w:jc w:val="center"/>
        </w:trPr>
        <w:tc>
          <w:tcPr>
            <w:tcW w:w="6081" w:type="dxa"/>
            <w:tcBorders>
              <w:top w:val="nil"/>
              <w:left w:val="nil"/>
              <w:bottom w:val="nil"/>
              <w:right w:val="nil"/>
            </w:tcBorders>
            <w:shd w:val="clear" w:color="auto" w:fill="auto"/>
            <w:vAlign w:val="center"/>
            <w:hideMark/>
          </w:tcPr>
          <w:p w14:paraId="1E19D4B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Materiales para el registro e identificación de bienes y </w:t>
            </w:r>
            <w:r>
              <w:rPr>
                <w:rFonts w:ascii="Arial" w:eastAsia="Times New Roman" w:hAnsi="Arial" w:cs="Arial"/>
                <w:color w:val="000000"/>
                <w:lang w:bidi="ar-SA"/>
              </w:rPr>
              <w:t>personas</w:t>
            </w:r>
          </w:p>
        </w:tc>
        <w:tc>
          <w:tcPr>
            <w:tcW w:w="1819" w:type="dxa"/>
            <w:tcBorders>
              <w:top w:val="nil"/>
              <w:left w:val="nil"/>
              <w:bottom w:val="nil"/>
              <w:right w:val="nil"/>
            </w:tcBorders>
            <w:shd w:val="clear" w:color="auto" w:fill="auto"/>
            <w:vAlign w:val="center"/>
            <w:hideMark/>
          </w:tcPr>
          <w:p w14:paraId="6001BA6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99,937,084.84</w:t>
            </w:r>
          </w:p>
        </w:tc>
      </w:tr>
      <w:tr w:rsidR="00C6733C" w14:paraId="5469DDE0" w14:textId="77777777">
        <w:trPr>
          <w:trHeight w:val="555"/>
          <w:jc w:val="center"/>
        </w:trPr>
        <w:tc>
          <w:tcPr>
            <w:tcW w:w="6081" w:type="dxa"/>
            <w:tcBorders>
              <w:top w:val="nil"/>
              <w:left w:val="nil"/>
              <w:bottom w:val="nil"/>
              <w:right w:val="nil"/>
            </w:tcBorders>
            <w:shd w:val="clear" w:color="auto" w:fill="auto"/>
            <w:vAlign w:val="center"/>
            <w:hideMark/>
          </w:tcPr>
          <w:p w14:paraId="774CD94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Alimentos y utensilios</w:t>
            </w:r>
          </w:p>
        </w:tc>
        <w:tc>
          <w:tcPr>
            <w:tcW w:w="1819" w:type="dxa"/>
            <w:tcBorders>
              <w:top w:val="nil"/>
              <w:left w:val="nil"/>
              <w:bottom w:val="nil"/>
              <w:right w:val="nil"/>
            </w:tcBorders>
            <w:shd w:val="clear" w:color="auto" w:fill="auto"/>
            <w:vAlign w:val="center"/>
            <w:hideMark/>
          </w:tcPr>
          <w:p w14:paraId="5A38E9B0"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68,948,874.78</w:t>
            </w:r>
          </w:p>
        </w:tc>
      </w:tr>
      <w:tr w:rsidR="00C6733C" w14:paraId="7CBB4B20" w14:textId="77777777">
        <w:trPr>
          <w:trHeight w:val="555"/>
          <w:jc w:val="center"/>
        </w:trPr>
        <w:tc>
          <w:tcPr>
            <w:tcW w:w="6081" w:type="dxa"/>
            <w:tcBorders>
              <w:top w:val="nil"/>
              <w:left w:val="nil"/>
              <w:bottom w:val="nil"/>
              <w:right w:val="nil"/>
            </w:tcBorders>
            <w:shd w:val="clear" w:color="auto" w:fill="auto"/>
            <w:vAlign w:val="center"/>
            <w:hideMark/>
          </w:tcPr>
          <w:p w14:paraId="7C71CB8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alimenticios para personas</w:t>
            </w:r>
          </w:p>
        </w:tc>
        <w:tc>
          <w:tcPr>
            <w:tcW w:w="1819" w:type="dxa"/>
            <w:tcBorders>
              <w:top w:val="nil"/>
              <w:left w:val="nil"/>
              <w:bottom w:val="nil"/>
              <w:right w:val="nil"/>
            </w:tcBorders>
            <w:shd w:val="clear" w:color="auto" w:fill="auto"/>
            <w:vAlign w:val="center"/>
            <w:hideMark/>
          </w:tcPr>
          <w:p w14:paraId="34996B6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68,443,708.24</w:t>
            </w:r>
          </w:p>
        </w:tc>
      </w:tr>
      <w:tr w:rsidR="00C6733C" w14:paraId="7EE1C806" w14:textId="77777777">
        <w:trPr>
          <w:trHeight w:val="555"/>
          <w:jc w:val="center"/>
        </w:trPr>
        <w:tc>
          <w:tcPr>
            <w:tcW w:w="6081" w:type="dxa"/>
            <w:tcBorders>
              <w:top w:val="nil"/>
              <w:left w:val="nil"/>
              <w:bottom w:val="nil"/>
              <w:right w:val="nil"/>
            </w:tcBorders>
            <w:shd w:val="clear" w:color="auto" w:fill="auto"/>
            <w:vAlign w:val="center"/>
            <w:hideMark/>
          </w:tcPr>
          <w:p w14:paraId="383E079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alimenticios para animales</w:t>
            </w:r>
          </w:p>
        </w:tc>
        <w:tc>
          <w:tcPr>
            <w:tcW w:w="1819" w:type="dxa"/>
            <w:tcBorders>
              <w:top w:val="nil"/>
              <w:left w:val="nil"/>
              <w:bottom w:val="nil"/>
              <w:right w:val="nil"/>
            </w:tcBorders>
            <w:shd w:val="clear" w:color="auto" w:fill="auto"/>
            <w:vAlign w:val="center"/>
            <w:hideMark/>
          </w:tcPr>
          <w:p w14:paraId="3EB69E4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358,000.02</w:t>
            </w:r>
          </w:p>
        </w:tc>
      </w:tr>
      <w:tr w:rsidR="00C6733C" w14:paraId="05AD4E2B" w14:textId="77777777">
        <w:trPr>
          <w:trHeight w:val="555"/>
          <w:jc w:val="center"/>
        </w:trPr>
        <w:tc>
          <w:tcPr>
            <w:tcW w:w="6081" w:type="dxa"/>
            <w:tcBorders>
              <w:top w:val="nil"/>
              <w:left w:val="nil"/>
              <w:bottom w:val="nil"/>
              <w:right w:val="nil"/>
            </w:tcBorders>
            <w:shd w:val="clear" w:color="auto" w:fill="auto"/>
            <w:vAlign w:val="center"/>
            <w:hideMark/>
          </w:tcPr>
          <w:p w14:paraId="36C3990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Utensilios para el servicio de alimentación</w:t>
            </w:r>
          </w:p>
        </w:tc>
        <w:tc>
          <w:tcPr>
            <w:tcW w:w="1819" w:type="dxa"/>
            <w:tcBorders>
              <w:top w:val="nil"/>
              <w:left w:val="nil"/>
              <w:bottom w:val="nil"/>
              <w:right w:val="nil"/>
            </w:tcBorders>
            <w:shd w:val="clear" w:color="auto" w:fill="auto"/>
            <w:vAlign w:val="center"/>
            <w:hideMark/>
          </w:tcPr>
          <w:p w14:paraId="08D244F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147,166.52</w:t>
            </w:r>
          </w:p>
        </w:tc>
      </w:tr>
      <w:tr w:rsidR="00C6733C" w14:paraId="04ECB1D2" w14:textId="77777777">
        <w:trPr>
          <w:trHeight w:val="555"/>
          <w:jc w:val="center"/>
        </w:trPr>
        <w:tc>
          <w:tcPr>
            <w:tcW w:w="6081" w:type="dxa"/>
            <w:tcBorders>
              <w:top w:val="nil"/>
              <w:left w:val="nil"/>
              <w:bottom w:val="nil"/>
              <w:right w:val="nil"/>
            </w:tcBorders>
            <w:shd w:val="clear" w:color="auto" w:fill="auto"/>
            <w:vAlign w:val="center"/>
            <w:hideMark/>
          </w:tcPr>
          <w:p w14:paraId="649C7A32"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Materias primas y </w:t>
            </w:r>
            <w:r>
              <w:rPr>
                <w:rFonts w:ascii="Arial" w:eastAsia="Times New Roman" w:hAnsi="Arial" w:cs="Arial"/>
                <w:b/>
                <w:bCs/>
                <w:color w:val="000000"/>
                <w:lang w:bidi="ar-SA"/>
              </w:rPr>
              <w:t>materiales de producción y comercialización</w:t>
            </w:r>
          </w:p>
        </w:tc>
        <w:tc>
          <w:tcPr>
            <w:tcW w:w="1819" w:type="dxa"/>
            <w:tcBorders>
              <w:top w:val="nil"/>
              <w:left w:val="nil"/>
              <w:bottom w:val="nil"/>
              <w:right w:val="nil"/>
            </w:tcBorders>
            <w:shd w:val="clear" w:color="auto" w:fill="auto"/>
            <w:vAlign w:val="center"/>
            <w:hideMark/>
          </w:tcPr>
          <w:p w14:paraId="6208C14E"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258,938.04</w:t>
            </w:r>
          </w:p>
        </w:tc>
      </w:tr>
      <w:tr w:rsidR="00C6733C" w14:paraId="0BD32446" w14:textId="77777777">
        <w:trPr>
          <w:trHeight w:val="555"/>
          <w:jc w:val="center"/>
        </w:trPr>
        <w:tc>
          <w:tcPr>
            <w:tcW w:w="6081" w:type="dxa"/>
            <w:tcBorders>
              <w:top w:val="nil"/>
              <w:left w:val="nil"/>
              <w:bottom w:val="nil"/>
              <w:right w:val="nil"/>
            </w:tcBorders>
            <w:shd w:val="clear" w:color="auto" w:fill="auto"/>
            <w:vAlign w:val="center"/>
            <w:hideMark/>
          </w:tcPr>
          <w:p w14:paraId="076E68A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de papel, cartón e impresos adquiridos como materia prima</w:t>
            </w:r>
          </w:p>
        </w:tc>
        <w:tc>
          <w:tcPr>
            <w:tcW w:w="1819" w:type="dxa"/>
            <w:tcBorders>
              <w:top w:val="nil"/>
              <w:left w:val="nil"/>
              <w:bottom w:val="nil"/>
              <w:right w:val="nil"/>
            </w:tcBorders>
            <w:shd w:val="clear" w:color="auto" w:fill="auto"/>
            <w:vAlign w:val="center"/>
            <w:hideMark/>
          </w:tcPr>
          <w:p w14:paraId="31B1C4A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27,000.00</w:t>
            </w:r>
          </w:p>
        </w:tc>
      </w:tr>
      <w:tr w:rsidR="00C6733C" w14:paraId="6AA78192" w14:textId="77777777">
        <w:trPr>
          <w:trHeight w:val="555"/>
          <w:jc w:val="center"/>
        </w:trPr>
        <w:tc>
          <w:tcPr>
            <w:tcW w:w="6081" w:type="dxa"/>
            <w:tcBorders>
              <w:top w:val="nil"/>
              <w:left w:val="nil"/>
              <w:bottom w:val="nil"/>
              <w:right w:val="nil"/>
            </w:tcBorders>
            <w:shd w:val="clear" w:color="auto" w:fill="auto"/>
            <w:vAlign w:val="center"/>
            <w:hideMark/>
          </w:tcPr>
          <w:p w14:paraId="3E235BD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Combustibles, lubricantes, aditivos, carbón y sus derivados adquiridos como materia prima</w:t>
            </w:r>
          </w:p>
        </w:tc>
        <w:tc>
          <w:tcPr>
            <w:tcW w:w="1819" w:type="dxa"/>
            <w:tcBorders>
              <w:top w:val="nil"/>
              <w:left w:val="nil"/>
              <w:bottom w:val="nil"/>
              <w:right w:val="nil"/>
            </w:tcBorders>
            <w:shd w:val="clear" w:color="auto" w:fill="auto"/>
            <w:vAlign w:val="center"/>
            <w:hideMark/>
          </w:tcPr>
          <w:p w14:paraId="6D86E26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00CF830D" w14:textId="77777777">
        <w:trPr>
          <w:trHeight w:val="555"/>
          <w:jc w:val="center"/>
        </w:trPr>
        <w:tc>
          <w:tcPr>
            <w:tcW w:w="6081" w:type="dxa"/>
            <w:tcBorders>
              <w:top w:val="nil"/>
              <w:left w:val="nil"/>
              <w:bottom w:val="nil"/>
              <w:right w:val="nil"/>
            </w:tcBorders>
            <w:shd w:val="clear" w:color="auto" w:fill="auto"/>
            <w:vAlign w:val="center"/>
            <w:hideMark/>
          </w:tcPr>
          <w:p w14:paraId="3722B24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químicos, farma</w:t>
            </w:r>
            <w:r>
              <w:rPr>
                <w:rFonts w:ascii="Arial" w:eastAsia="Times New Roman" w:hAnsi="Arial" w:cs="Arial"/>
                <w:color w:val="000000"/>
                <w:lang w:bidi="ar-SA"/>
              </w:rPr>
              <w:t>céuticos y de laboratorio adquiridos como materia prima</w:t>
            </w:r>
          </w:p>
        </w:tc>
        <w:tc>
          <w:tcPr>
            <w:tcW w:w="1819" w:type="dxa"/>
            <w:tcBorders>
              <w:top w:val="nil"/>
              <w:left w:val="nil"/>
              <w:bottom w:val="nil"/>
              <w:right w:val="nil"/>
            </w:tcBorders>
            <w:shd w:val="clear" w:color="auto" w:fill="auto"/>
            <w:vAlign w:val="center"/>
            <w:hideMark/>
          </w:tcPr>
          <w:p w14:paraId="491D36E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101,438.04</w:t>
            </w:r>
          </w:p>
        </w:tc>
      </w:tr>
      <w:tr w:rsidR="00C6733C" w14:paraId="3875D6E0" w14:textId="77777777">
        <w:trPr>
          <w:trHeight w:val="555"/>
          <w:jc w:val="center"/>
        </w:trPr>
        <w:tc>
          <w:tcPr>
            <w:tcW w:w="6081" w:type="dxa"/>
            <w:tcBorders>
              <w:top w:val="nil"/>
              <w:left w:val="nil"/>
              <w:bottom w:val="nil"/>
              <w:right w:val="nil"/>
            </w:tcBorders>
            <w:shd w:val="clear" w:color="auto" w:fill="auto"/>
            <w:vAlign w:val="center"/>
            <w:hideMark/>
          </w:tcPr>
          <w:p w14:paraId="33E3425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de cuero, piel, plástico y hule adquiridos como materia prima</w:t>
            </w:r>
          </w:p>
        </w:tc>
        <w:tc>
          <w:tcPr>
            <w:tcW w:w="1819" w:type="dxa"/>
            <w:tcBorders>
              <w:top w:val="nil"/>
              <w:left w:val="nil"/>
              <w:bottom w:val="nil"/>
              <w:right w:val="nil"/>
            </w:tcBorders>
            <w:shd w:val="clear" w:color="auto" w:fill="auto"/>
            <w:vAlign w:val="center"/>
            <w:hideMark/>
          </w:tcPr>
          <w:p w14:paraId="3075F64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112AA0D4" w14:textId="77777777">
        <w:trPr>
          <w:trHeight w:val="555"/>
          <w:jc w:val="center"/>
        </w:trPr>
        <w:tc>
          <w:tcPr>
            <w:tcW w:w="6081" w:type="dxa"/>
            <w:tcBorders>
              <w:top w:val="nil"/>
              <w:left w:val="nil"/>
              <w:bottom w:val="nil"/>
              <w:right w:val="nil"/>
            </w:tcBorders>
            <w:shd w:val="clear" w:color="auto" w:fill="auto"/>
            <w:vAlign w:val="center"/>
            <w:hideMark/>
          </w:tcPr>
          <w:p w14:paraId="1BC11FB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productos adquiridos como materia prima</w:t>
            </w:r>
          </w:p>
        </w:tc>
        <w:tc>
          <w:tcPr>
            <w:tcW w:w="1819" w:type="dxa"/>
            <w:tcBorders>
              <w:top w:val="nil"/>
              <w:left w:val="nil"/>
              <w:bottom w:val="nil"/>
              <w:right w:val="nil"/>
            </w:tcBorders>
            <w:shd w:val="clear" w:color="auto" w:fill="auto"/>
            <w:vAlign w:val="center"/>
            <w:hideMark/>
          </w:tcPr>
          <w:p w14:paraId="5AEB550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130,500.00</w:t>
            </w:r>
          </w:p>
        </w:tc>
      </w:tr>
      <w:tr w:rsidR="00C6733C" w14:paraId="209DDCF2" w14:textId="77777777">
        <w:trPr>
          <w:trHeight w:val="555"/>
          <w:jc w:val="center"/>
        </w:trPr>
        <w:tc>
          <w:tcPr>
            <w:tcW w:w="6081" w:type="dxa"/>
            <w:tcBorders>
              <w:top w:val="nil"/>
              <w:left w:val="nil"/>
              <w:bottom w:val="nil"/>
              <w:right w:val="nil"/>
            </w:tcBorders>
            <w:shd w:val="clear" w:color="auto" w:fill="auto"/>
            <w:vAlign w:val="center"/>
            <w:hideMark/>
          </w:tcPr>
          <w:p w14:paraId="2B6894F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Materiales y Artículos de construcción y de </w:t>
            </w:r>
            <w:r>
              <w:rPr>
                <w:rFonts w:ascii="Arial" w:eastAsia="Times New Roman" w:hAnsi="Arial" w:cs="Arial"/>
                <w:b/>
                <w:bCs/>
                <w:color w:val="000000"/>
                <w:lang w:bidi="ar-SA"/>
              </w:rPr>
              <w:t>reparación</w:t>
            </w:r>
          </w:p>
        </w:tc>
        <w:tc>
          <w:tcPr>
            <w:tcW w:w="1819" w:type="dxa"/>
            <w:tcBorders>
              <w:top w:val="nil"/>
              <w:left w:val="nil"/>
              <w:bottom w:val="nil"/>
              <w:right w:val="nil"/>
            </w:tcBorders>
            <w:shd w:val="clear" w:color="auto" w:fill="auto"/>
            <w:vAlign w:val="center"/>
            <w:hideMark/>
          </w:tcPr>
          <w:p w14:paraId="6627D18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16,016,375.45</w:t>
            </w:r>
          </w:p>
        </w:tc>
      </w:tr>
      <w:tr w:rsidR="00C6733C" w14:paraId="360B610D" w14:textId="77777777">
        <w:trPr>
          <w:trHeight w:val="555"/>
          <w:jc w:val="center"/>
        </w:trPr>
        <w:tc>
          <w:tcPr>
            <w:tcW w:w="6081" w:type="dxa"/>
            <w:tcBorders>
              <w:top w:val="nil"/>
              <w:left w:val="nil"/>
              <w:bottom w:val="nil"/>
              <w:right w:val="nil"/>
            </w:tcBorders>
            <w:shd w:val="clear" w:color="auto" w:fill="auto"/>
            <w:vAlign w:val="center"/>
            <w:hideMark/>
          </w:tcPr>
          <w:p w14:paraId="6331EC8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minerales no metálicos</w:t>
            </w:r>
          </w:p>
        </w:tc>
        <w:tc>
          <w:tcPr>
            <w:tcW w:w="1819" w:type="dxa"/>
            <w:tcBorders>
              <w:top w:val="nil"/>
              <w:left w:val="nil"/>
              <w:bottom w:val="nil"/>
              <w:right w:val="nil"/>
            </w:tcBorders>
            <w:shd w:val="clear" w:color="auto" w:fill="auto"/>
            <w:vAlign w:val="center"/>
            <w:hideMark/>
          </w:tcPr>
          <w:p w14:paraId="0D4BF53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104,989.90</w:t>
            </w:r>
          </w:p>
        </w:tc>
      </w:tr>
      <w:tr w:rsidR="00C6733C" w14:paraId="483CCB3E" w14:textId="77777777">
        <w:trPr>
          <w:trHeight w:val="555"/>
          <w:jc w:val="center"/>
        </w:trPr>
        <w:tc>
          <w:tcPr>
            <w:tcW w:w="6081" w:type="dxa"/>
            <w:tcBorders>
              <w:top w:val="nil"/>
              <w:left w:val="nil"/>
              <w:bottom w:val="nil"/>
              <w:right w:val="nil"/>
            </w:tcBorders>
            <w:shd w:val="clear" w:color="auto" w:fill="auto"/>
            <w:vAlign w:val="center"/>
            <w:hideMark/>
          </w:tcPr>
          <w:p w14:paraId="6D97054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Cemento y productos de concreto</w:t>
            </w:r>
          </w:p>
        </w:tc>
        <w:tc>
          <w:tcPr>
            <w:tcW w:w="1819" w:type="dxa"/>
            <w:tcBorders>
              <w:top w:val="nil"/>
              <w:left w:val="nil"/>
              <w:bottom w:val="nil"/>
              <w:right w:val="nil"/>
            </w:tcBorders>
            <w:shd w:val="clear" w:color="auto" w:fill="auto"/>
            <w:vAlign w:val="center"/>
            <w:hideMark/>
          </w:tcPr>
          <w:p w14:paraId="55B2D25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84,361.76</w:t>
            </w:r>
          </w:p>
        </w:tc>
      </w:tr>
      <w:tr w:rsidR="00C6733C" w14:paraId="319CF9DB" w14:textId="77777777">
        <w:trPr>
          <w:trHeight w:val="555"/>
          <w:jc w:val="center"/>
        </w:trPr>
        <w:tc>
          <w:tcPr>
            <w:tcW w:w="6081" w:type="dxa"/>
            <w:tcBorders>
              <w:top w:val="nil"/>
              <w:left w:val="nil"/>
              <w:bottom w:val="nil"/>
              <w:right w:val="nil"/>
            </w:tcBorders>
            <w:shd w:val="clear" w:color="auto" w:fill="auto"/>
            <w:vAlign w:val="center"/>
            <w:hideMark/>
          </w:tcPr>
          <w:p w14:paraId="5F4DEFB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Cal, yeso y productos de yeso</w:t>
            </w:r>
          </w:p>
        </w:tc>
        <w:tc>
          <w:tcPr>
            <w:tcW w:w="1819" w:type="dxa"/>
            <w:tcBorders>
              <w:top w:val="nil"/>
              <w:left w:val="nil"/>
              <w:bottom w:val="nil"/>
              <w:right w:val="nil"/>
            </w:tcBorders>
            <w:shd w:val="clear" w:color="auto" w:fill="auto"/>
            <w:vAlign w:val="center"/>
            <w:hideMark/>
          </w:tcPr>
          <w:p w14:paraId="4BF2831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104,796.80</w:t>
            </w:r>
          </w:p>
        </w:tc>
      </w:tr>
      <w:tr w:rsidR="00C6733C" w14:paraId="1B8EDDAB" w14:textId="77777777">
        <w:trPr>
          <w:trHeight w:val="555"/>
          <w:jc w:val="center"/>
        </w:trPr>
        <w:tc>
          <w:tcPr>
            <w:tcW w:w="6081" w:type="dxa"/>
            <w:tcBorders>
              <w:top w:val="nil"/>
              <w:left w:val="nil"/>
              <w:bottom w:val="nil"/>
              <w:right w:val="nil"/>
            </w:tcBorders>
            <w:shd w:val="clear" w:color="auto" w:fill="auto"/>
            <w:vAlign w:val="center"/>
            <w:hideMark/>
          </w:tcPr>
          <w:p w14:paraId="6E2A05D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Madera y productos de madera</w:t>
            </w:r>
          </w:p>
        </w:tc>
        <w:tc>
          <w:tcPr>
            <w:tcW w:w="1819" w:type="dxa"/>
            <w:tcBorders>
              <w:top w:val="nil"/>
              <w:left w:val="nil"/>
              <w:bottom w:val="nil"/>
              <w:right w:val="nil"/>
            </w:tcBorders>
            <w:shd w:val="clear" w:color="auto" w:fill="auto"/>
            <w:vAlign w:val="center"/>
            <w:hideMark/>
          </w:tcPr>
          <w:p w14:paraId="5D30288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143,632.43</w:t>
            </w:r>
          </w:p>
        </w:tc>
      </w:tr>
      <w:tr w:rsidR="00C6733C" w14:paraId="1812568F" w14:textId="77777777">
        <w:trPr>
          <w:trHeight w:val="555"/>
          <w:jc w:val="center"/>
        </w:trPr>
        <w:tc>
          <w:tcPr>
            <w:tcW w:w="6081" w:type="dxa"/>
            <w:tcBorders>
              <w:top w:val="nil"/>
              <w:left w:val="nil"/>
              <w:bottom w:val="nil"/>
              <w:right w:val="nil"/>
            </w:tcBorders>
            <w:shd w:val="clear" w:color="auto" w:fill="auto"/>
            <w:vAlign w:val="center"/>
            <w:hideMark/>
          </w:tcPr>
          <w:p w14:paraId="52DAA5D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Vidrio y productos de vidrio</w:t>
            </w:r>
          </w:p>
        </w:tc>
        <w:tc>
          <w:tcPr>
            <w:tcW w:w="1819" w:type="dxa"/>
            <w:tcBorders>
              <w:top w:val="nil"/>
              <w:left w:val="nil"/>
              <w:bottom w:val="nil"/>
              <w:right w:val="nil"/>
            </w:tcBorders>
            <w:shd w:val="clear" w:color="auto" w:fill="auto"/>
            <w:vAlign w:val="center"/>
            <w:hideMark/>
          </w:tcPr>
          <w:p w14:paraId="2917FB5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10,000.00</w:t>
            </w:r>
          </w:p>
        </w:tc>
      </w:tr>
      <w:tr w:rsidR="00C6733C" w14:paraId="2EDF7025" w14:textId="77777777">
        <w:trPr>
          <w:trHeight w:val="555"/>
          <w:jc w:val="center"/>
        </w:trPr>
        <w:tc>
          <w:tcPr>
            <w:tcW w:w="6081" w:type="dxa"/>
            <w:tcBorders>
              <w:top w:val="nil"/>
              <w:left w:val="nil"/>
              <w:bottom w:val="nil"/>
              <w:right w:val="nil"/>
            </w:tcBorders>
            <w:shd w:val="clear" w:color="auto" w:fill="auto"/>
            <w:vAlign w:val="center"/>
            <w:hideMark/>
          </w:tcPr>
          <w:p w14:paraId="128F5B8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Material </w:t>
            </w:r>
            <w:r>
              <w:rPr>
                <w:rFonts w:ascii="Arial" w:eastAsia="Times New Roman" w:hAnsi="Arial" w:cs="Arial"/>
                <w:color w:val="000000"/>
                <w:lang w:bidi="ar-SA"/>
              </w:rPr>
              <w:t>eléctrico y electrónico</w:t>
            </w:r>
          </w:p>
        </w:tc>
        <w:tc>
          <w:tcPr>
            <w:tcW w:w="1819" w:type="dxa"/>
            <w:tcBorders>
              <w:top w:val="nil"/>
              <w:left w:val="nil"/>
              <w:bottom w:val="nil"/>
              <w:right w:val="nil"/>
            </w:tcBorders>
            <w:shd w:val="clear" w:color="auto" w:fill="auto"/>
            <w:vAlign w:val="center"/>
            <w:hideMark/>
          </w:tcPr>
          <w:p w14:paraId="20B730F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1,430,330.41</w:t>
            </w:r>
          </w:p>
        </w:tc>
      </w:tr>
      <w:tr w:rsidR="00C6733C" w14:paraId="2A7BC1C8" w14:textId="77777777">
        <w:trPr>
          <w:trHeight w:val="555"/>
          <w:jc w:val="center"/>
        </w:trPr>
        <w:tc>
          <w:tcPr>
            <w:tcW w:w="6081" w:type="dxa"/>
            <w:tcBorders>
              <w:top w:val="nil"/>
              <w:left w:val="nil"/>
              <w:bottom w:val="nil"/>
              <w:right w:val="nil"/>
            </w:tcBorders>
            <w:shd w:val="clear" w:color="auto" w:fill="auto"/>
            <w:vAlign w:val="center"/>
            <w:hideMark/>
          </w:tcPr>
          <w:p w14:paraId="4CDDF62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Artículos metálicos para la construcción</w:t>
            </w:r>
          </w:p>
        </w:tc>
        <w:tc>
          <w:tcPr>
            <w:tcW w:w="1819" w:type="dxa"/>
            <w:tcBorders>
              <w:top w:val="nil"/>
              <w:left w:val="nil"/>
              <w:bottom w:val="nil"/>
              <w:right w:val="nil"/>
            </w:tcBorders>
            <w:shd w:val="clear" w:color="auto" w:fill="auto"/>
            <w:vAlign w:val="center"/>
            <w:hideMark/>
          </w:tcPr>
          <w:p w14:paraId="7A3A527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911,508.11</w:t>
            </w:r>
          </w:p>
        </w:tc>
      </w:tr>
      <w:tr w:rsidR="00C6733C" w14:paraId="5C4CE645" w14:textId="77777777">
        <w:trPr>
          <w:trHeight w:val="555"/>
          <w:jc w:val="center"/>
        </w:trPr>
        <w:tc>
          <w:tcPr>
            <w:tcW w:w="6081" w:type="dxa"/>
            <w:tcBorders>
              <w:top w:val="nil"/>
              <w:left w:val="nil"/>
              <w:bottom w:val="nil"/>
              <w:right w:val="nil"/>
            </w:tcBorders>
            <w:shd w:val="clear" w:color="auto" w:fill="auto"/>
            <w:vAlign w:val="center"/>
            <w:hideMark/>
          </w:tcPr>
          <w:p w14:paraId="68C5E20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complementarios</w:t>
            </w:r>
          </w:p>
        </w:tc>
        <w:tc>
          <w:tcPr>
            <w:tcW w:w="1819" w:type="dxa"/>
            <w:tcBorders>
              <w:top w:val="nil"/>
              <w:left w:val="nil"/>
              <w:bottom w:val="nil"/>
              <w:right w:val="nil"/>
            </w:tcBorders>
            <w:shd w:val="clear" w:color="auto" w:fill="auto"/>
            <w:vAlign w:val="center"/>
            <w:hideMark/>
          </w:tcPr>
          <w:p w14:paraId="0A7C441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8,000.00</w:t>
            </w:r>
          </w:p>
        </w:tc>
      </w:tr>
      <w:tr w:rsidR="00C6733C" w14:paraId="57E6E66B" w14:textId="77777777">
        <w:trPr>
          <w:trHeight w:val="555"/>
          <w:jc w:val="center"/>
        </w:trPr>
        <w:tc>
          <w:tcPr>
            <w:tcW w:w="6081" w:type="dxa"/>
            <w:tcBorders>
              <w:top w:val="nil"/>
              <w:left w:val="nil"/>
              <w:bottom w:val="nil"/>
              <w:right w:val="nil"/>
            </w:tcBorders>
            <w:shd w:val="clear" w:color="auto" w:fill="auto"/>
            <w:vAlign w:val="center"/>
            <w:hideMark/>
          </w:tcPr>
          <w:p w14:paraId="0D2ABC9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materiales y Artículos de construcción y reparación</w:t>
            </w:r>
          </w:p>
        </w:tc>
        <w:tc>
          <w:tcPr>
            <w:tcW w:w="1819" w:type="dxa"/>
            <w:tcBorders>
              <w:top w:val="nil"/>
              <w:left w:val="nil"/>
              <w:bottom w:val="nil"/>
              <w:right w:val="nil"/>
            </w:tcBorders>
            <w:shd w:val="clear" w:color="auto" w:fill="auto"/>
            <w:vAlign w:val="center"/>
            <w:hideMark/>
          </w:tcPr>
          <w:p w14:paraId="3B917FF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13,218,756.04</w:t>
            </w:r>
          </w:p>
        </w:tc>
      </w:tr>
      <w:tr w:rsidR="00C6733C" w14:paraId="576EF7AF" w14:textId="77777777">
        <w:trPr>
          <w:trHeight w:val="555"/>
          <w:jc w:val="center"/>
        </w:trPr>
        <w:tc>
          <w:tcPr>
            <w:tcW w:w="6081" w:type="dxa"/>
            <w:tcBorders>
              <w:top w:val="nil"/>
              <w:left w:val="nil"/>
              <w:bottom w:val="nil"/>
              <w:right w:val="nil"/>
            </w:tcBorders>
            <w:shd w:val="clear" w:color="auto" w:fill="auto"/>
            <w:vAlign w:val="center"/>
            <w:hideMark/>
          </w:tcPr>
          <w:p w14:paraId="50227FD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Productos químicos, farmacéuticos y de </w:t>
            </w:r>
            <w:r>
              <w:rPr>
                <w:rFonts w:ascii="Arial" w:eastAsia="Times New Roman" w:hAnsi="Arial" w:cs="Arial"/>
                <w:b/>
                <w:bCs/>
                <w:color w:val="000000"/>
                <w:lang w:bidi="ar-SA"/>
              </w:rPr>
              <w:t>laboratorio</w:t>
            </w:r>
          </w:p>
        </w:tc>
        <w:tc>
          <w:tcPr>
            <w:tcW w:w="1819" w:type="dxa"/>
            <w:tcBorders>
              <w:top w:val="nil"/>
              <w:left w:val="nil"/>
              <w:bottom w:val="nil"/>
              <w:right w:val="nil"/>
            </w:tcBorders>
            <w:shd w:val="clear" w:color="auto" w:fill="auto"/>
            <w:vAlign w:val="center"/>
            <w:hideMark/>
          </w:tcPr>
          <w:p w14:paraId="568F6DAA"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8,370,971.22</w:t>
            </w:r>
          </w:p>
        </w:tc>
      </w:tr>
      <w:tr w:rsidR="00C6733C" w14:paraId="4A68C099" w14:textId="77777777">
        <w:trPr>
          <w:trHeight w:val="555"/>
          <w:jc w:val="center"/>
        </w:trPr>
        <w:tc>
          <w:tcPr>
            <w:tcW w:w="6081" w:type="dxa"/>
            <w:tcBorders>
              <w:top w:val="nil"/>
              <w:left w:val="nil"/>
              <w:bottom w:val="nil"/>
              <w:right w:val="nil"/>
            </w:tcBorders>
            <w:shd w:val="clear" w:color="auto" w:fill="auto"/>
            <w:vAlign w:val="center"/>
            <w:hideMark/>
          </w:tcPr>
          <w:p w14:paraId="5720E81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Fertilizantes, pesticidas y otros agroquímicos</w:t>
            </w:r>
          </w:p>
        </w:tc>
        <w:tc>
          <w:tcPr>
            <w:tcW w:w="1819" w:type="dxa"/>
            <w:tcBorders>
              <w:top w:val="nil"/>
              <w:left w:val="nil"/>
              <w:bottom w:val="nil"/>
              <w:right w:val="nil"/>
            </w:tcBorders>
            <w:shd w:val="clear" w:color="auto" w:fill="auto"/>
            <w:vAlign w:val="center"/>
            <w:hideMark/>
          </w:tcPr>
          <w:p w14:paraId="24757DD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1,521,711.82</w:t>
            </w:r>
          </w:p>
        </w:tc>
      </w:tr>
      <w:tr w:rsidR="00C6733C" w14:paraId="55608A0C" w14:textId="77777777">
        <w:trPr>
          <w:trHeight w:val="555"/>
          <w:jc w:val="center"/>
        </w:trPr>
        <w:tc>
          <w:tcPr>
            <w:tcW w:w="6081" w:type="dxa"/>
            <w:tcBorders>
              <w:top w:val="nil"/>
              <w:left w:val="nil"/>
              <w:bottom w:val="nil"/>
              <w:right w:val="nil"/>
            </w:tcBorders>
            <w:shd w:val="clear" w:color="auto" w:fill="auto"/>
            <w:vAlign w:val="center"/>
            <w:hideMark/>
          </w:tcPr>
          <w:p w14:paraId="2FB1893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Medicinas y productos farmacéuticos</w:t>
            </w:r>
          </w:p>
        </w:tc>
        <w:tc>
          <w:tcPr>
            <w:tcW w:w="1819" w:type="dxa"/>
            <w:tcBorders>
              <w:top w:val="nil"/>
              <w:left w:val="nil"/>
              <w:bottom w:val="nil"/>
              <w:right w:val="nil"/>
            </w:tcBorders>
            <w:shd w:val="clear" w:color="auto" w:fill="auto"/>
            <w:vAlign w:val="center"/>
            <w:hideMark/>
          </w:tcPr>
          <w:p w14:paraId="48EA08C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1,397,888.25</w:t>
            </w:r>
          </w:p>
        </w:tc>
      </w:tr>
      <w:tr w:rsidR="00C6733C" w14:paraId="2527E9D2" w14:textId="77777777">
        <w:trPr>
          <w:trHeight w:val="555"/>
          <w:jc w:val="center"/>
        </w:trPr>
        <w:tc>
          <w:tcPr>
            <w:tcW w:w="6081" w:type="dxa"/>
            <w:tcBorders>
              <w:top w:val="nil"/>
              <w:left w:val="nil"/>
              <w:bottom w:val="nil"/>
              <w:right w:val="nil"/>
            </w:tcBorders>
            <w:shd w:val="clear" w:color="auto" w:fill="auto"/>
            <w:vAlign w:val="center"/>
            <w:hideMark/>
          </w:tcPr>
          <w:p w14:paraId="739CC59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accesorios y suministros médicos</w:t>
            </w:r>
          </w:p>
        </w:tc>
        <w:tc>
          <w:tcPr>
            <w:tcW w:w="1819" w:type="dxa"/>
            <w:tcBorders>
              <w:top w:val="nil"/>
              <w:left w:val="nil"/>
              <w:bottom w:val="nil"/>
              <w:right w:val="nil"/>
            </w:tcBorders>
            <w:shd w:val="clear" w:color="auto" w:fill="auto"/>
            <w:vAlign w:val="center"/>
            <w:hideMark/>
          </w:tcPr>
          <w:p w14:paraId="605482B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613,665.05</w:t>
            </w:r>
          </w:p>
        </w:tc>
      </w:tr>
      <w:tr w:rsidR="00C6733C" w14:paraId="2B81EAB3" w14:textId="77777777">
        <w:trPr>
          <w:trHeight w:val="555"/>
          <w:jc w:val="center"/>
        </w:trPr>
        <w:tc>
          <w:tcPr>
            <w:tcW w:w="6081" w:type="dxa"/>
            <w:tcBorders>
              <w:top w:val="nil"/>
              <w:left w:val="nil"/>
              <w:bottom w:val="nil"/>
              <w:right w:val="nil"/>
            </w:tcBorders>
            <w:shd w:val="clear" w:color="auto" w:fill="auto"/>
            <w:vAlign w:val="center"/>
            <w:hideMark/>
          </w:tcPr>
          <w:p w14:paraId="0741E56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accesorios y suministros de laboratorio</w:t>
            </w:r>
          </w:p>
        </w:tc>
        <w:tc>
          <w:tcPr>
            <w:tcW w:w="1819" w:type="dxa"/>
            <w:tcBorders>
              <w:top w:val="nil"/>
              <w:left w:val="nil"/>
              <w:bottom w:val="nil"/>
              <w:right w:val="nil"/>
            </w:tcBorders>
            <w:shd w:val="clear" w:color="auto" w:fill="auto"/>
            <w:vAlign w:val="center"/>
            <w:hideMark/>
          </w:tcPr>
          <w:p w14:paraId="06093D5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3,739,096.37</w:t>
            </w:r>
          </w:p>
        </w:tc>
      </w:tr>
      <w:tr w:rsidR="00C6733C" w14:paraId="59AC09BA" w14:textId="77777777">
        <w:trPr>
          <w:trHeight w:val="555"/>
          <w:jc w:val="center"/>
        </w:trPr>
        <w:tc>
          <w:tcPr>
            <w:tcW w:w="6081" w:type="dxa"/>
            <w:tcBorders>
              <w:top w:val="nil"/>
              <w:left w:val="nil"/>
              <w:bottom w:val="nil"/>
              <w:right w:val="nil"/>
            </w:tcBorders>
            <w:shd w:val="clear" w:color="auto" w:fill="auto"/>
            <w:vAlign w:val="center"/>
            <w:hideMark/>
          </w:tcPr>
          <w:p w14:paraId="3215973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Fibras sintéticas, hules, plásticos y derivados</w:t>
            </w:r>
          </w:p>
        </w:tc>
        <w:tc>
          <w:tcPr>
            <w:tcW w:w="1819" w:type="dxa"/>
            <w:tcBorders>
              <w:top w:val="nil"/>
              <w:left w:val="nil"/>
              <w:bottom w:val="nil"/>
              <w:right w:val="nil"/>
            </w:tcBorders>
            <w:shd w:val="clear" w:color="auto" w:fill="auto"/>
            <w:vAlign w:val="center"/>
            <w:hideMark/>
          </w:tcPr>
          <w:p w14:paraId="0155F53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90,968.97</w:t>
            </w:r>
          </w:p>
        </w:tc>
      </w:tr>
      <w:tr w:rsidR="00C6733C" w14:paraId="043B164F" w14:textId="77777777">
        <w:trPr>
          <w:trHeight w:val="555"/>
          <w:jc w:val="center"/>
        </w:trPr>
        <w:tc>
          <w:tcPr>
            <w:tcW w:w="6081" w:type="dxa"/>
            <w:tcBorders>
              <w:top w:val="nil"/>
              <w:left w:val="nil"/>
              <w:bottom w:val="nil"/>
              <w:right w:val="nil"/>
            </w:tcBorders>
            <w:shd w:val="clear" w:color="auto" w:fill="auto"/>
            <w:vAlign w:val="center"/>
            <w:hideMark/>
          </w:tcPr>
          <w:p w14:paraId="37FE15D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productos químicos</w:t>
            </w:r>
          </w:p>
        </w:tc>
        <w:tc>
          <w:tcPr>
            <w:tcW w:w="1819" w:type="dxa"/>
            <w:tcBorders>
              <w:top w:val="nil"/>
              <w:left w:val="nil"/>
              <w:bottom w:val="nil"/>
              <w:right w:val="nil"/>
            </w:tcBorders>
            <w:shd w:val="clear" w:color="auto" w:fill="auto"/>
            <w:vAlign w:val="center"/>
            <w:hideMark/>
          </w:tcPr>
          <w:p w14:paraId="299996C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1,007,640.76</w:t>
            </w:r>
          </w:p>
        </w:tc>
      </w:tr>
      <w:tr w:rsidR="00C6733C" w14:paraId="49DC1D62" w14:textId="77777777">
        <w:trPr>
          <w:trHeight w:val="555"/>
          <w:jc w:val="center"/>
        </w:trPr>
        <w:tc>
          <w:tcPr>
            <w:tcW w:w="6081" w:type="dxa"/>
            <w:tcBorders>
              <w:top w:val="nil"/>
              <w:left w:val="nil"/>
              <w:bottom w:val="nil"/>
              <w:right w:val="nil"/>
            </w:tcBorders>
            <w:shd w:val="clear" w:color="auto" w:fill="auto"/>
            <w:vAlign w:val="center"/>
            <w:hideMark/>
          </w:tcPr>
          <w:p w14:paraId="69D3946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Combustibles, lubricantes y aditivos</w:t>
            </w:r>
          </w:p>
        </w:tc>
        <w:tc>
          <w:tcPr>
            <w:tcW w:w="1819" w:type="dxa"/>
            <w:tcBorders>
              <w:top w:val="nil"/>
              <w:left w:val="nil"/>
              <w:bottom w:val="nil"/>
              <w:right w:val="nil"/>
            </w:tcBorders>
            <w:shd w:val="clear" w:color="auto" w:fill="auto"/>
            <w:vAlign w:val="center"/>
            <w:hideMark/>
          </w:tcPr>
          <w:p w14:paraId="74F082F0"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88,542,743.97</w:t>
            </w:r>
          </w:p>
        </w:tc>
      </w:tr>
      <w:tr w:rsidR="00C6733C" w14:paraId="42E4AC6A" w14:textId="77777777">
        <w:trPr>
          <w:trHeight w:val="555"/>
          <w:jc w:val="center"/>
        </w:trPr>
        <w:tc>
          <w:tcPr>
            <w:tcW w:w="6081" w:type="dxa"/>
            <w:tcBorders>
              <w:top w:val="nil"/>
              <w:left w:val="nil"/>
              <w:bottom w:val="nil"/>
              <w:right w:val="nil"/>
            </w:tcBorders>
            <w:shd w:val="clear" w:color="auto" w:fill="auto"/>
            <w:vAlign w:val="center"/>
            <w:hideMark/>
          </w:tcPr>
          <w:p w14:paraId="1C601D8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Combustibles, lubricantes y aditivos</w:t>
            </w:r>
          </w:p>
        </w:tc>
        <w:tc>
          <w:tcPr>
            <w:tcW w:w="1819" w:type="dxa"/>
            <w:tcBorders>
              <w:top w:val="nil"/>
              <w:left w:val="nil"/>
              <w:bottom w:val="nil"/>
              <w:right w:val="nil"/>
            </w:tcBorders>
            <w:shd w:val="clear" w:color="auto" w:fill="auto"/>
            <w:vAlign w:val="center"/>
            <w:hideMark/>
          </w:tcPr>
          <w:p w14:paraId="2E59B79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88,542,743.97</w:t>
            </w:r>
          </w:p>
        </w:tc>
      </w:tr>
      <w:tr w:rsidR="00C6733C" w14:paraId="44C4B1C5" w14:textId="77777777">
        <w:trPr>
          <w:trHeight w:val="555"/>
          <w:jc w:val="center"/>
        </w:trPr>
        <w:tc>
          <w:tcPr>
            <w:tcW w:w="6081" w:type="dxa"/>
            <w:tcBorders>
              <w:top w:val="nil"/>
              <w:left w:val="nil"/>
              <w:bottom w:val="nil"/>
              <w:right w:val="nil"/>
            </w:tcBorders>
            <w:shd w:val="clear" w:color="auto" w:fill="auto"/>
            <w:vAlign w:val="center"/>
            <w:hideMark/>
          </w:tcPr>
          <w:p w14:paraId="59B73DD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Vestuario, blancos, prendas de </w:t>
            </w:r>
            <w:r>
              <w:rPr>
                <w:rFonts w:ascii="Arial" w:eastAsia="Times New Roman" w:hAnsi="Arial" w:cs="Arial"/>
                <w:b/>
                <w:bCs/>
                <w:color w:val="000000"/>
                <w:lang w:bidi="ar-SA"/>
              </w:rPr>
              <w:t>protección y Artículos deportivos</w:t>
            </w:r>
          </w:p>
        </w:tc>
        <w:tc>
          <w:tcPr>
            <w:tcW w:w="1819" w:type="dxa"/>
            <w:tcBorders>
              <w:top w:val="nil"/>
              <w:left w:val="nil"/>
              <w:bottom w:val="nil"/>
              <w:right w:val="nil"/>
            </w:tcBorders>
            <w:shd w:val="clear" w:color="auto" w:fill="auto"/>
            <w:vAlign w:val="center"/>
            <w:hideMark/>
          </w:tcPr>
          <w:p w14:paraId="65CB5690"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68,620,059.33</w:t>
            </w:r>
          </w:p>
        </w:tc>
      </w:tr>
      <w:tr w:rsidR="00C6733C" w14:paraId="04038F93" w14:textId="77777777">
        <w:trPr>
          <w:trHeight w:val="555"/>
          <w:jc w:val="center"/>
        </w:trPr>
        <w:tc>
          <w:tcPr>
            <w:tcW w:w="6081" w:type="dxa"/>
            <w:tcBorders>
              <w:top w:val="nil"/>
              <w:left w:val="nil"/>
              <w:bottom w:val="nil"/>
              <w:right w:val="nil"/>
            </w:tcBorders>
            <w:shd w:val="clear" w:color="auto" w:fill="auto"/>
            <w:vAlign w:val="center"/>
            <w:hideMark/>
          </w:tcPr>
          <w:p w14:paraId="48E4BC2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Vestuario y uniformes</w:t>
            </w:r>
          </w:p>
        </w:tc>
        <w:tc>
          <w:tcPr>
            <w:tcW w:w="1819" w:type="dxa"/>
            <w:tcBorders>
              <w:top w:val="nil"/>
              <w:left w:val="nil"/>
              <w:bottom w:val="nil"/>
              <w:right w:val="nil"/>
            </w:tcBorders>
            <w:shd w:val="clear" w:color="auto" w:fill="auto"/>
            <w:vAlign w:val="center"/>
            <w:hideMark/>
          </w:tcPr>
          <w:p w14:paraId="0A12884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63,631,555.94</w:t>
            </w:r>
          </w:p>
        </w:tc>
      </w:tr>
      <w:tr w:rsidR="00C6733C" w14:paraId="423ED3A3" w14:textId="77777777">
        <w:trPr>
          <w:trHeight w:val="555"/>
          <w:jc w:val="center"/>
        </w:trPr>
        <w:tc>
          <w:tcPr>
            <w:tcW w:w="6081" w:type="dxa"/>
            <w:tcBorders>
              <w:top w:val="nil"/>
              <w:left w:val="nil"/>
              <w:bottom w:val="nil"/>
              <w:right w:val="nil"/>
            </w:tcBorders>
            <w:shd w:val="clear" w:color="auto" w:fill="auto"/>
            <w:vAlign w:val="center"/>
            <w:hideMark/>
          </w:tcPr>
          <w:p w14:paraId="17A7A43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Prendas de seguridad y protección personal</w:t>
            </w:r>
          </w:p>
        </w:tc>
        <w:tc>
          <w:tcPr>
            <w:tcW w:w="1819" w:type="dxa"/>
            <w:tcBorders>
              <w:top w:val="nil"/>
              <w:left w:val="nil"/>
              <w:bottom w:val="nil"/>
              <w:right w:val="nil"/>
            </w:tcBorders>
            <w:shd w:val="clear" w:color="auto" w:fill="auto"/>
            <w:vAlign w:val="center"/>
            <w:hideMark/>
          </w:tcPr>
          <w:p w14:paraId="1553931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4,909,932.62</w:t>
            </w:r>
          </w:p>
        </w:tc>
      </w:tr>
      <w:tr w:rsidR="00C6733C" w14:paraId="3BAF7386" w14:textId="77777777">
        <w:trPr>
          <w:trHeight w:val="555"/>
          <w:jc w:val="center"/>
        </w:trPr>
        <w:tc>
          <w:tcPr>
            <w:tcW w:w="6081" w:type="dxa"/>
            <w:tcBorders>
              <w:top w:val="nil"/>
              <w:left w:val="nil"/>
              <w:bottom w:val="nil"/>
              <w:right w:val="nil"/>
            </w:tcBorders>
            <w:shd w:val="clear" w:color="auto" w:fill="auto"/>
            <w:vAlign w:val="center"/>
            <w:hideMark/>
          </w:tcPr>
          <w:p w14:paraId="7F49FED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Artículos deportivos</w:t>
            </w:r>
          </w:p>
        </w:tc>
        <w:tc>
          <w:tcPr>
            <w:tcW w:w="1819" w:type="dxa"/>
            <w:tcBorders>
              <w:top w:val="nil"/>
              <w:left w:val="nil"/>
              <w:bottom w:val="nil"/>
              <w:right w:val="nil"/>
            </w:tcBorders>
            <w:shd w:val="clear" w:color="auto" w:fill="auto"/>
            <w:vAlign w:val="center"/>
            <w:hideMark/>
          </w:tcPr>
          <w:p w14:paraId="54C243C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5,400.00</w:t>
            </w:r>
          </w:p>
        </w:tc>
      </w:tr>
      <w:tr w:rsidR="00C6733C" w14:paraId="3B36CB6A" w14:textId="77777777">
        <w:trPr>
          <w:trHeight w:val="555"/>
          <w:jc w:val="center"/>
        </w:trPr>
        <w:tc>
          <w:tcPr>
            <w:tcW w:w="6081" w:type="dxa"/>
            <w:tcBorders>
              <w:top w:val="nil"/>
              <w:left w:val="nil"/>
              <w:bottom w:val="nil"/>
              <w:right w:val="nil"/>
            </w:tcBorders>
            <w:shd w:val="clear" w:color="auto" w:fill="auto"/>
            <w:vAlign w:val="center"/>
            <w:hideMark/>
          </w:tcPr>
          <w:p w14:paraId="54EFBF0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textiles</w:t>
            </w:r>
          </w:p>
        </w:tc>
        <w:tc>
          <w:tcPr>
            <w:tcW w:w="1819" w:type="dxa"/>
            <w:tcBorders>
              <w:top w:val="nil"/>
              <w:left w:val="nil"/>
              <w:bottom w:val="nil"/>
              <w:right w:val="nil"/>
            </w:tcBorders>
            <w:shd w:val="clear" w:color="auto" w:fill="auto"/>
            <w:vAlign w:val="center"/>
            <w:hideMark/>
          </w:tcPr>
          <w:p w14:paraId="0C80909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73,170.77</w:t>
            </w:r>
          </w:p>
        </w:tc>
      </w:tr>
      <w:tr w:rsidR="00C6733C" w14:paraId="18B5DE41" w14:textId="77777777">
        <w:trPr>
          <w:trHeight w:val="555"/>
          <w:jc w:val="center"/>
        </w:trPr>
        <w:tc>
          <w:tcPr>
            <w:tcW w:w="6081" w:type="dxa"/>
            <w:tcBorders>
              <w:top w:val="nil"/>
              <w:left w:val="nil"/>
              <w:bottom w:val="nil"/>
              <w:right w:val="nil"/>
            </w:tcBorders>
            <w:shd w:val="clear" w:color="auto" w:fill="auto"/>
            <w:vAlign w:val="center"/>
            <w:hideMark/>
          </w:tcPr>
          <w:p w14:paraId="402678F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Materiales y suministros para seguridad</w:t>
            </w:r>
          </w:p>
        </w:tc>
        <w:tc>
          <w:tcPr>
            <w:tcW w:w="1819" w:type="dxa"/>
            <w:tcBorders>
              <w:top w:val="nil"/>
              <w:left w:val="nil"/>
              <w:bottom w:val="nil"/>
              <w:right w:val="nil"/>
            </w:tcBorders>
            <w:shd w:val="clear" w:color="auto" w:fill="auto"/>
            <w:vAlign w:val="center"/>
            <w:hideMark/>
          </w:tcPr>
          <w:p w14:paraId="1EFADB25"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1,441,925.83</w:t>
            </w:r>
          </w:p>
        </w:tc>
      </w:tr>
      <w:tr w:rsidR="00C6733C" w14:paraId="66472564" w14:textId="77777777">
        <w:trPr>
          <w:trHeight w:val="555"/>
          <w:jc w:val="center"/>
        </w:trPr>
        <w:tc>
          <w:tcPr>
            <w:tcW w:w="6081" w:type="dxa"/>
            <w:tcBorders>
              <w:top w:val="nil"/>
              <w:left w:val="nil"/>
              <w:bottom w:val="nil"/>
              <w:right w:val="nil"/>
            </w:tcBorders>
            <w:shd w:val="clear" w:color="auto" w:fill="auto"/>
            <w:vAlign w:val="center"/>
            <w:hideMark/>
          </w:tcPr>
          <w:p w14:paraId="141C25D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Prendas de protección para seguridad pública y nacional</w:t>
            </w:r>
          </w:p>
        </w:tc>
        <w:tc>
          <w:tcPr>
            <w:tcW w:w="1819" w:type="dxa"/>
            <w:tcBorders>
              <w:top w:val="nil"/>
              <w:left w:val="nil"/>
              <w:bottom w:val="nil"/>
              <w:right w:val="nil"/>
            </w:tcBorders>
            <w:shd w:val="clear" w:color="auto" w:fill="auto"/>
            <w:vAlign w:val="center"/>
            <w:hideMark/>
          </w:tcPr>
          <w:p w14:paraId="16E4E58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1,441,925.83</w:t>
            </w:r>
          </w:p>
        </w:tc>
      </w:tr>
      <w:tr w:rsidR="00C6733C" w14:paraId="5BA5B5DD" w14:textId="77777777">
        <w:trPr>
          <w:trHeight w:val="555"/>
          <w:jc w:val="center"/>
        </w:trPr>
        <w:tc>
          <w:tcPr>
            <w:tcW w:w="6081" w:type="dxa"/>
            <w:tcBorders>
              <w:top w:val="nil"/>
              <w:left w:val="nil"/>
              <w:bottom w:val="nil"/>
              <w:right w:val="nil"/>
            </w:tcBorders>
            <w:shd w:val="clear" w:color="auto" w:fill="auto"/>
            <w:vAlign w:val="center"/>
            <w:hideMark/>
          </w:tcPr>
          <w:p w14:paraId="52725EFE"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Herramientas, refacciones y accesorios menores</w:t>
            </w:r>
          </w:p>
        </w:tc>
        <w:tc>
          <w:tcPr>
            <w:tcW w:w="1819" w:type="dxa"/>
            <w:tcBorders>
              <w:top w:val="nil"/>
              <w:left w:val="nil"/>
              <w:bottom w:val="nil"/>
              <w:right w:val="nil"/>
            </w:tcBorders>
            <w:shd w:val="clear" w:color="auto" w:fill="auto"/>
            <w:vAlign w:val="center"/>
            <w:hideMark/>
          </w:tcPr>
          <w:p w14:paraId="08B3252C"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18,107,847.94</w:t>
            </w:r>
          </w:p>
        </w:tc>
      </w:tr>
      <w:tr w:rsidR="00C6733C" w14:paraId="56AC8823" w14:textId="77777777">
        <w:trPr>
          <w:trHeight w:val="555"/>
          <w:jc w:val="center"/>
        </w:trPr>
        <w:tc>
          <w:tcPr>
            <w:tcW w:w="6081" w:type="dxa"/>
            <w:tcBorders>
              <w:top w:val="nil"/>
              <w:left w:val="nil"/>
              <w:bottom w:val="nil"/>
              <w:right w:val="nil"/>
            </w:tcBorders>
            <w:shd w:val="clear" w:color="auto" w:fill="auto"/>
            <w:vAlign w:val="center"/>
            <w:hideMark/>
          </w:tcPr>
          <w:p w14:paraId="7F3ED7E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Herramientas menores</w:t>
            </w:r>
          </w:p>
        </w:tc>
        <w:tc>
          <w:tcPr>
            <w:tcW w:w="1819" w:type="dxa"/>
            <w:tcBorders>
              <w:top w:val="nil"/>
              <w:left w:val="nil"/>
              <w:bottom w:val="nil"/>
              <w:right w:val="nil"/>
            </w:tcBorders>
            <w:shd w:val="clear" w:color="auto" w:fill="auto"/>
            <w:vAlign w:val="center"/>
            <w:hideMark/>
          </w:tcPr>
          <w:p w14:paraId="28EE3D2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1,618,086.92</w:t>
            </w:r>
          </w:p>
        </w:tc>
      </w:tr>
      <w:tr w:rsidR="00C6733C" w14:paraId="6D9A9261" w14:textId="77777777">
        <w:trPr>
          <w:trHeight w:val="555"/>
          <w:jc w:val="center"/>
        </w:trPr>
        <w:tc>
          <w:tcPr>
            <w:tcW w:w="6081" w:type="dxa"/>
            <w:tcBorders>
              <w:top w:val="nil"/>
              <w:left w:val="nil"/>
              <w:bottom w:val="nil"/>
              <w:right w:val="nil"/>
            </w:tcBorders>
            <w:shd w:val="clear" w:color="auto" w:fill="auto"/>
            <w:vAlign w:val="center"/>
            <w:hideMark/>
          </w:tcPr>
          <w:p w14:paraId="33EF7C6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edificios</w:t>
            </w:r>
          </w:p>
        </w:tc>
        <w:tc>
          <w:tcPr>
            <w:tcW w:w="1819" w:type="dxa"/>
            <w:tcBorders>
              <w:top w:val="nil"/>
              <w:left w:val="nil"/>
              <w:bottom w:val="nil"/>
              <w:right w:val="nil"/>
            </w:tcBorders>
            <w:shd w:val="clear" w:color="auto" w:fill="auto"/>
            <w:vAlign w:val="center"/>
            <w:hideMark/>
          </w:tcPr>
          <w:p w14:paraId="0585806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997,245.23</w:t>
            </w:r>
          </w:p>
        </w:tc>
      </w:tr>
      <w:tr w:rsidR="00C6733C" w14:paraId="350CC07C" w14:textId="77777777">
        <w:trPr>
          <w:trHeight w:val="555"/>
          <w:jc w:val="center"/>
        </w:trPr>
        <w:tc>
          <w:tcPr>
            <w:tcW w:w="6081" w:type="dxa"/>
            <w:tcBorders>
              <w:top w:val="nil"/>
              <w:left w:val="nil"/>
              <w:bottom w:val="nil"/>
              <w:right w:val="nil"/>
            </w:tcBorders>
            <w:shd w:val="clear" w:color="auto" w:fill="auto"/>
            <w:vAlign w:val="center"/>
            <w:hideMark/>
          </w:tcPr>
          <w:p w14:paraId="5DEE733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mobiliario y equipo de administración, educacional y recreativo</w:t>
            </w:r>
          </w:p>
        </w:tc>
        <w:tc>
          <w:tcPr>
            <w:tcW w:w="1819" w:type="dxa"/>
            <w:tcBorders>
              <w:top w:val="nil"/>
              <w:left w:val="nil"/>
              <w:bottom w:val="nil"/>
              <w:right w:val="nil"/>
            </w:tcBorders>
            <w:shd w:val="clear" w:color="auto" w:fill="auto"/>
            <w:vAlign w:val="center"/>
            <w:hideMark/>
          </w:tcPr>
          <w:p w14:paraId="1FC71F6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126,125.48</w:t>
            </w:r>
          </w:p>
        </w:tc>
      </w:tr>
      <w:tr w:rsidR="00C6733C" w14:paraId="5A2BE637" w14:textId="77777777">
        <w:trPr>
          <w:trHeight w:val="555"/>
          <w:jc w:val="center"/>
        </w:trPr>
        <w:tc>
          <w:tcPr>
            <w:tcW w:w="6081" w:type="dxa"/>
            <w:tcBorders>
              <w:top w:val="nil"/>
              <w:left w:val="nil"/>
              <w:bottom w:val="nil"/>
              <w:right w:val="nil"/>
            </w:tcBorders>
            <w:shd w:val="clear" w:color="auto" w:fill="auto"/>
            <w:vAlign w:val="center"/>
            <w:hideMark/>
          </w:tcPr>
          <w:p w14:paraId="4541178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equipo de cómputo y tecnologías de la información</w:t>
            </w:r>
          </w:p>
        </w:tc>
        <w:tc>
          <w:tcPr>
            <w:tcW w:w="1819" w:type="dxa"/>
            <w:tcBorders>
              <w:top w:val="nil"/>
              <w:left w:val="nil"/>
              <w:bottom w:val="nil"/>
              <w:right w:val="nil"/>
            </w:tcBorders>
            <w:shd w:val="clear" w:color="auto" w:fill="auto"/>
            <w:vAlign w:val="center"/>
            <w:hideMark/>
          </w:tcPr>
          <w:p w14:paraId="6D2FB47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988,390.18</w:t>
            </w:r>
          </w:p>
        </w:tc>
      </w:tr>
      <w:tr w:rsidR="00C6733C" w14:paraId="0C11F03E" w14:textId="77777777">
        <w:trPr>
          <w:trHeight w:val="555"/>
          <w:jc w:val="center"/>
        </w:trPr>
        <w:tc>
          <w:tcPr>
            <w:tcW w:w="6081" w:type="dxa"/>
            <w:tcBorders>
              <w:top w:val="nil"/>
              <w:left w:val="nil"/>
              <w:bottom w:val="nil"/>
              <w:right w:val="nil"/>
            </w:tcBorders>
            <w:shd w:val="clear" w:color="auto" w:fill="auto"/>
            <w:vAlign w:val="center"/>
            <w:hideMark/>
          </w:tcPr>
          <w:p w14:paraId="612BBED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equipo e i</w:t>
            </w:r>
            <w:r>
              <w:rPr>
                <w:rFonts w:ascii="Arial" w:eastAsia="Times New Roman" w:hAnsi="Arial" w:cs="Arial"/>
                <w:color w:val="000000"/>
                <w:lang w:bidi="ar-SA"/>
              </w:rPr>
              <w:t>nstrumental médico y de laboratorio</w:t>
            </w:r>
          </w:p>
        </w:tc>
        <w:tc>
          <w:tcPr>
            <w:tcW w:w="1819" w:type="dxa"/>
            <w:tcBorders>
              <w:top w:val="nil"/>
              <w:left w:val="nil"/>
              <w:bottom w:val="nil"/>
              <w:right w:val="nil"/>
            </w:tcBorders>
            <w:shd w:val="clear" w:color="auto" w:fill="auto"/>
            <w:vAlign w:val="center"/>
            <w:hideMark/>
          </w:tcPr>
          <w:p w14:paraId="66454FC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800.00</w:t>
            </w:r>
          </w:p>
        </w:tc>
      </w:tr>
      <w:tr w:rsidR="00C6733C" w14:paraId="5CB1FB2B" w14:textId="77777777">
        <w:trPr>
          <w:trHeight w:val="555"/>
          <w:jc w:val="center"/>
        </w:trPr>
        <w:tc>
          <w:tcPr>
            <w:tcW w:w="6081" w:type="dxa"/>
            <w:tcBorders>
              <w:top w:val="nil"/>
              <w:left w:val="nil"/>
              <w:bottom w:val="nil"/>
              <w:right w:val="nil"/>
            </w:tcBorders>
            <w:shd w:val="clear" w:color="auto" w:fill="auto"/>
            <w:vAlign w:val="center"/>
            <w:hideMark/>
          </w:tcPr>
          <w:p w14:paraId="273A2C6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equipo de transporte</w:t>
            </w:r>
          </w:p>
        </w:tc>
        <w:tc>
          <w:tcPr>
            <w:tcW w:w="1819" w:type="dxa"/>
            <w:tcBorders>
              <w:top w:val="nil"/>
              <w:left w:val="nil"/>
              <w:bottom w:val="nil"/>
              <w:right w:val="nil"/>
            </w:tcBorders>
            <w:shd w:val="clear" w:color="auto" w:fill="auto"/>
            <w:vAlign w:val="center"/>
            <w:hideMark/>
          </w:tcPr>
          <w:p w14:paraId="7DC72A6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14,207,729.63</w:t>
            </w:r>
          </w:p>
        </w:tc>
      </w:tr>
      <w:tr w:rsidR="00C6733C" w14:paraId="3B9D0DF8" w14:textId="77777777">
        <w:trPr>
          <w:trHeight w:val="555"/>
          <w:jc w:val="center"/>
        </w:trPr>
        <w:tc>
          <w:tcPr>
            <w:tcW w:w="6081" w:type="dxa"/>
            <w:tcBorders>
              <w:top w:val="nil"/>
              <w:left w:val="nil"/>
              <w:bottom w:val="nil"/>
              <w:right w:val="nil"/>
            </w:tcBorders>
            <w:shd w:val="clear" w:color="auto" w:fill="auto"/>
            <w:vAlign w:val="center"/>
            <w:hideMark/>
          </w:tcPr>
          <w:p w14:paraId="32FD8D5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equipo de defensa y seguridad</w:t>
            </w:r>
          </w:p>
        </w:tc>
        <w:tc>
          <w:tcPr>
            <w:tcW w:w="1819" w:type="dxa"/>
            <w:tcBorders>
              <w:top w:val="nil"/>
              <w:left w:val="nil"/>
              <w:bottom w:val="nil"/>
              <w:right w:val="nil"/>
            </w:tcBorders>
            <w:shd w:val="clear" w:color="auto" w:fill="auto"/>
            <w:vAlign w:val="center"/>
            <w:hideMark/>
          </w:tcPr>
          <w:p w14:paraId="442431F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30,000.00</w:t>
            </w:r>
          </w:p>
        </w:tc>
      </w:tr>
      <w:tr w:rsidR="00C6733C" w14:paraId="2ED2D8AC" w14:textId="77777777">
        <w:trPr>
          <w:trHeight w:val="555"/>
          <w:jc w:val="center"/>
        </w:trPr>
        <w:tc>
          <w:tcPr>
            <w:tcW w:w="6081" w:type="dxa"/>
            <w:tcBorders>
              <w:top w:val="nil"/>
              <w:left w:val="nil"/>
              <w:bottom w:val="nil"/>
              <w:right w:val="nil"/>
            </w:tcBorders>
            <w:shd w:val="clear" w:color="auto" w:fill="auto"/>
            <w:vAlign w:val="center"/>
            <w:hideMark/>
          </w:tcPr>
          <w:p w14:paraId="132DC30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Refacciones y accesorios menores de maquinaria y otros </w:t>
            </w:r>
            <w:r>
              <w:rPr>
                <w:rFonts w:ascii="Arial" w:eastAsia="Times New Roman" w:hAnsi="Arial" w:cs="Arial"/>
                <w:color w:val="000000"/>
                <w:lang w:bidi="ar-SA"/>
              </w:rPr>
              <w:t>equipos</w:t>
            </w:r>
          </w:p>
        </w:tc>
        <w:tc>
          <w:tcPr>
            <w:tcW w:w="1819" w:type="dxa"/>
            <w:tcBorders>
              <w:top w:val="nil"/>
              <w:left w:val="nil"/>
              <w:bottom w:val="nil"/>
              <w:right w:val="nil"/>
            </w:tcBorders>
            <w:shd w:val="clear" w:color="auto" w:fill="auto"/>
            <w:vAlign w:val="center"/>
            <w:hideMark/>
          </w:tcPr>
          <w:p w14:paraId="5D9EC40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57,500.00</w:t>
            </w:r>
          </w:p>
        </w:tc>
      </w:tr>
      <w:tr w:rsidR="00C6733C" w14:paraId="37408DB0" w14:textId="77777777">
        <w:trPr>
          <w:trHeight w:val="555"/>
          <w:jc w:val="center"/>
        </w:trPr>
        <w:tc>
          <w:tcPr>
            <w:tcW w:w="6081" w:type="dxa"/>
            <w:tcBorders>
              <w:top w:val="nil"/>
              <w:left w:val="nil"/>
              <w:bottom w:val="nil"/>
              <w:right w:val="nil"/>
            </w:tcBorders>
            <w:shd w:val="clear" w:color="auto" w:fill="auto"/>
            <w:vAlign w:val="center"/>
            <w:hideMark/>
          </w:tcPr>
          <w:p w14:paraId="69CF04B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otros bienes muebles</w:t>
            </w:r>
          </w:p>
        </w:tc>
        <w:tc>
          <w:tcPr>
            <w:tcW w:w="1819" w:type="dxa"/>
            <w:tcBorders>
              <w:top w:val="nil"/>
              <w:left w:val="nil"/>
              <w:bottom w:val="nil"/>
              <w:right w:val="nil"/>
            </w:tcBorders>
            <w:shd w:val="clear" w:color="auto" w:fill="auto"/>
            <w:vAlign w:val="center"/>
            <w:hideMark/>
          </w:tcPr>
          <w:p w14:paraId="45F3DBB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81,970.50</w:t>
            </w:r>
          </w:p>
        </w:tc>
      </w:tr>
      <w:tr w:rsidR="00C6733C" w14:paraId="6AB3F45B" w14:textId="77777777">
        <w:trPr>
          <w:trHeight w:val="555"/>
          <w:jc w:val="center"/>
        </w:trPr>
        <w:tc>
          <w:tcPr>
            <w:tcW w:w="6081" w:type="dxa"/>
            <w:tcBorders>
              <w:top w:val="nil"/>
              <w:left w:val="nil"/>
              <w:bottom w:val="nil"/>
              <w:right w:val="nil"/>
            </w:tcBorders>
            <w:shd w:val="clear" w:color="auto" w:fill="auto"/>
            <w:vAlign w:val="center"/>
            <w:hideMark/>
          </w:tcPr>
          <w:p w14:paraId="4288781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GENERALES</w:t>
            </w:r>
          </w:p>
        </w:tc>
        <w:tc>
          <w:tcPr>
            <w:tcW w:w="1819" w:type="dxa"/>
            <w:tcBorders>
              <w:top w:val="nil"/>
              <w:left w:val="nil"/>
              <w:bottom w:val="nil"/>
              <w:right w:val="nil"/>
            </w:tcBorders>
            <w:shd w:val="clear" w:color="auto" w:fill="auto"/>
            <w:vAlign w:val="center"/>
            <w:hideMark/>
          </w:tcPr>
          <w:p w14:paraId="087424C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1,053,035,867.71</w:t>
            </w:r>
          </w:p>
        </w:tc>
      </w:tr>
      <w:tr w:rsidR="00C6733C" w14:paraId="4896E998" w14:textId="77777777">
        <w:trPr>
          <w:trHeight w:val="555"/>
          <w:jc w:val="center"/>
        </w:trPr>
        <w:tc>
          <w:tcPr>
            <w:tcW w:w="6081" w:type="dxa"/>
            <w:tcBorders>
              <w:top w:val="nil"/>
              <w:left w:val="nil"/>
              <w:bottom w:val="nil"/>
              <w:right w:val="nil"/>
            </w:tcBorders>
            <w:shd w:val="clear" w:color="auto" w:fill="auto"/>
            <w:vAlign w:val="center"/>
            <w:hideMark/>
          </w:tcPr>
          <w:p w14:paraId="14B22FE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BÁSICOS</w:t>
            </w:r>
          </w:p>
        </w:tc>
        <w:tc>
          <w:tcPr>
            <w:tcW w:w="1819" w:type="dxa"/>
            <w:tcBorders>
              <w:top w:val="nil"/>
              <w:left w:val="nil"/>
              <w:bottom w:val="nil"/>
              <w:right w:val="nil"/>
            </w:tcBorders>
            <w:shd w:val="clear" w:color="auto" w:fill="auto"/>
            <w:vAlign w:val="center"/>
            <w:hideMark/>
          </w:tcPr>
          <w:p w14:paraId="12E3CF5D"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95,836,586.23</w:t>
            </w:r>
          </w:p>
        </w:tc>
      </w:tr>
      <w:tr w:rsidR="00C6733C" w14:paraId="28A59739" w14:textId="77777777">
        <w:trPr>
          <w:trHeight w:val="555"/>
          <w:jc w:val="center"/>
        </w:trPr>
        <w:tc>
          <w:tcPr>
            <w:tcW w:w="6081" w:type="dxa"/>
            <w:tcBorders>
              <w:top w:val="nil"/>
              <w:left w:val="nil"/>
              <w:bottom w:val="nil"/>
              <w:right w:val="nil"/>
            </w:tcBorders>
            <w:shd w:val="clear" w:color="auto" w:fill="auto"/>
            <w:vAlign w:val="center"/>
            <w:hideMark/>
          </w:tcPr>
          <w:p w14:paraId="608C38A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Energía eléctrica</w:t>
            </w:r>
          </w:p>
        </w:tc>
        <w:tc>
          <w:tcPr>
            <w:tcW w:w="1819" w:type="dxa"/>
            <w:tcBorders>
              <w:top w:val="nil"/>
              <w:left w:val="nil"/>
              <w:bottom w:val="nil"/>
              <w:right w:val="nil"/>
            </w:tcBorders>
            <w:shd w:val="clear" w:color="auto" w:fill="auto"/>
            <w:vAlign w:val="center"/>
            <w:hideMark/>
          </w:tcPr>
          <w:p w14:paraId="7E65F64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45,922,645.45</w:t>
            </w:r>
          </w:p>
        </w:tc>
      </w:tr>
      <w:tr w:rsidR="00C6733C" w14:paraId="6CE9E091" w14:textId="77777777">
        <w:trPr>
          <w:trHeight w:val="555"/>
          <w:jc w:val="center"/>
        </w:trPr>
        <w:tc>
          <w:tcPr>
            <w:tcW w:w="6081" w:type="dxa"/>
            <w:tcBorders>
              <w:top w:val="nil"/>
              <w:left w:val="nil"/>
              <w:bottom w:val="nil"/>
              <w:right w:val="nil"/>
            </w:tcBorders>
            <w:shd w:val="clear" w:color="auto" w:fill="auto"/>
            <w:vAlign w:val="center"/>
            <w:hideMark/>
          </w:tcPr>
          <w:p w14:paraId="73A73DB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Gas</w:t>
            </w:r>
          </w:p>
        </w:tc>
        <w:tc>
          <w:tcPr>
            <w:tcW w:w="1819" w:type="dxa"/>
            <w:tcBorders>
              <w:top w:val="nil"/>
              <w:left w:val="nil"/>
              <w:bottom w:val="nil"/>
              <w:right w:val="nil"/>
            </w:tcBorders>
            <w:shd w:val="clear" w:color="auto" w:fill="auto"/>
            <w:vAlign w:val="center"/>
            <w:hideMark/>
          </w:tcPr>
          <w:p w14:paraId="71F8B2A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1,744,011.92</w:t>
            </w:r>
          </w:p>
        </w:tc>
      </w:tr>
      <w:tr w:rsidR="00C6733C" w14:paraId="2A503E07" w14:textId="77777777">
        <w:trPr>
          <w:trHeight w:val="555"/>
          <w:jc w:val="center"/>
        </w:trPr>
        <w:tc>
          <w:tcPr>
            <w:tcW w:w="6081" w:type="dxa"/>
            <w:tcBorders>
              <w:top w:val="nil"/>
              <w:left w:val="nil"/>
              <w:bottom w:val="nil"/>
              <w:right w:val="nil"/>
            </w:tcBorders>
            <w:shd w:val="clear" w:color="auto" w:fill="auto"/>
            <w:vAlign w:val="center"/>
            <w:hideMark/>
          </w:tcPr>
          <w:p w14:paraId="6359144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Agua</w:t>
            </w:r>
          </w:p>
        </w:tc>
        <w:tc>
          <w:tcPr>
            <w:tcW w:w="1819" w:type="dxa"/>
            <w:tcBorders>
              <w:top w:val="nil"/>
              <w:left w:val="nil"/>
              <w:bottom w:val="nil"/>
              <w:right w:val="nil"/>
            </w:tcBorders>
            <w:shd w:val="clear" w:color="auto" w:fill="auto"/>
            <w:vAlign w:val="center"/>
            <w:hideMark/>
          </w:tcPr>
          <w:p w14:paraId="6B6C06D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7,622,996.09</w:t>
            </w:r>
          </w:p>
        </w:tc>
      </w:tr>
      <w:tr w:rsidR="00C6733C" w14:paraId="2C8BBEB1" w14:textId="77777777">
        <w:trPr>
          <w:trHeight w:val="555"/>
          <w:jc w:val="center"/>
        </w:trPr>
        <w:tc>
          <w:tcPr>
            <w:tcW w:w="6081" w:type="dxa"/>
            <w:tcBorders>
              <w:top w:val="nil"/>
              <w:left w:val="nil"/>
              <w:bottom w:val="nil"/>
              <w:right w:val="nil"/>
            </w:tcBorders>
            <w:shd w:val="clear" w:color="auto" w:fill="auto"/>
            <w:vAlign w:val="center"/>
            <w:hideMark/>
          </w:tcPr>
          <w:p w14:paraId="6368623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Telefonía </w:t>
            </w:r>
            <w:r>
              <w:rPr>
                <w:rFonts w:ascii="Arial" w:eastAsia="Times New Roman" w:hAnsi="Arial" w:cs="Arial"/>
                <w:color w:val="000000"/>
                <w:lang w:bidi="ar-SA"/>
              </w:rPr>
              <w:t>tradicional</w:t>
            </w:r>
          </w:p>
        </w:tc>
        <w:tc>
          <w:tcPr>
            <w:tcW w:w="1819" w:type="dxa"/>
            <w:tcBorders>
              <w:top w:val="nil"/>
              <w:left w:val="nil"/>
              <w:bottom w:val="nil"/>
              <w:right w:val="nil"/>
            </w:tcBorders>
            <w:shd w:val="clear" w:color="auto" w:fill="auto"/>
            <w:vAlign w:val="center"/>
            <w:hideMark/>
          </w:tcPr>
          <w:p w14:paraId="368BCED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21,123,298.32</w:t>
            </w:r>
          </w:p>
        </w:tc>
      </w:tr>
      <w:tr w:rsidR="00C6733C" w14:paraId="2AE8B875" w14:textId="77777777">
        <w:trPr>
          <w:trHeight w:val="555"/>
          <w:jc w:val="center"/>
        </w:trPr>
        <w:tc>
          <w:tcPr>
            <w:tcW w:w="6081" w:type="dxa"/>
            <w:tcBorders>
              <w:top w:val="nil"/>
              <w:left w:val="nil"/>
              <w:bottom w:val="nil"/>
              <w:right w:val="nil"/>
            </w:tcBorders>
            <w:shd w:val="clear" w:color="auto" w:fill="auto"/>
            <w:vAlign w:val="center"/>
            <w:hideMark/>
          </w:tcPr>
          <w:p w14:paraId="081F4DF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Telefonía celular</w:t>
            </w:r>
          </w:p>
        </w:tc>
        <w:tc>
          <w:tcPr>
            <w:tcW w:w="1819" w:type="dxa"/>
            <w:tcBorders>
              <w:top w:val="nil"/>
              <w:left w:val="nil"/>
              <w:bottom w:val="nil"/>
              <w:right w:val="nil"/>
            </w:tcBorders>
            <w:shd w:val="clear" w:color="auto" w:fill="auto"/>
            <w:vAlign w:val="center"/>
            <w:hideMark/>
          </w:tcPr>
          <w:p w14:paraId="33FDCE8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45,600.00</w:t>
            </w:r>
          </w:p>
        </w:tc>
      </w:tr>
      <w:tr w:rsidR="00C6733C" w14:paraId="28E1898E" w14:textId="77777777">
        <w:trPr>
          <w:trHeight w:val="555"/>
          <w:jc w:val="center"/>
        </w:trPr>
        <w:tc>
          <w:tcPr>
            <w:tcW w:w="6081" w:type="dxa"/>
            <w:tcBorders>
              <w:top w:val="nil"/>
              <w:left w:val="nil"/>
              <w:bottom w:val="nil"/>
              <w:right w:val="nil"/>
            </w:tcBorders>
            <w:shd w:val="clear" w:color="auto" w:fill="auto"/>
            <w:vAlign w:val="center"/>
            <w:hideMark/>
          </w:tcPr>
          <w:p w14:paraId="3CF928C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telecomunicaciones y satélites</w:t>
            </w:r>
          </w:p>
        </w:tc>
        <w:tc>
          <w:tcPr>
            <w:tcW w:w="1819" w:type="dxa"/>
            <w:tcBorders>
              <w:top w:val="nil"/>
              <w:left w:val="nil"/>
              <w:bottom w:val="nil"/>
              <w:right w:val="nil"/>
            </w:tcBorders>
            <w:shd w:val="clear" w:color="auto" w:fill="auto"/>
            <w:vAlign w:val="center"/>
            <w:hideMark/>
          </w:tcPr>
          <w:p w14:paraId="3D9F71E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303,299.92</w:t>
            </w:r>
          </w:p>
        </w:tc>
      </w:tr>
      <w:tr w:rsidR="00C6733C" w14:paraId="29467071" w14:textId="77777777">
        <w:trPr>
          <w:trHeight w:val="555"/>
          <w:jc w:val="center"/>
        </w:trPr>
        <w:tc>
          <w:tcPr>
            <w:tcW w:w="6081" w:type="dxa"/>
            <w:tcBorders>
              <w:top w:val="nil"/>
              <w:left w:val="nil"/>
              <w:bottom w:val="nil"/>
              <w:right w:val="nil"/>
            </w:tcBorders>
            <w:shd w:val="clear" w:color="auto" w:fill="auto"/>
            <w:vAlign w:val="center"/>
            <w:hideMark/>
          </w:tcPr>
          <w:p w14:paraId="6F66CFD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acceso de  internet, redes y procesamiento de información</w:t>
            </w:r>
          </w:p>
        </w:tc>
        <w:tc>
          <w:tcPr>
            <w:tcW w:w="1819" w:type="dxa"/>
            <w:tcBorders>
              <w:top w:val="nil"/>
              <w:left w:val="nil"/>
              <w:bottom w:val="nil"/>
              <w:right w:val="nil"/>
            </w:tcBorders>
            <w:shd w:val="clear" w:color="auto" w:fill="auto"/>
            <w:vAlign w:val="center"/>
            <w:hideMark/>
          </w:tcPr>
          <w:p w14:paraId="56417C3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15,578,033.40</w:t>
            </w:r>
          </w:p>
        </w:tc>
      </w:tr>
      <w:tr w:rsidR="00C6733C" w14:paraId="3EFCF947" w14:textId="77777777">
        <w:trPr>
          <w:trHeight w:val="555"/>
          <w:jc w:val="center"/>
        </w:trPr>
        <w:tc>
          <w:tcPr>
            <w:tcW w:w="6081" w:type="dxa"/>
            <w:tcBorders>
              <w:top w:val="nil"/>
              <w:left w:val="nil"/>
              <w:bottom w:val="nil"/>
              <w:right w:val="nil"/>
            </w:tcBorders>
            <w:shd w:val="clear" w:color="auto" w:fill="auto"/>
            <w:vAlign w:val="center"/>
            <w:hideMark/>
          </w:tcPr>
          <w:p w14:paraId="0E54769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postales y telegráficos</w:t>
            </w:r>
          </w:p>
        </w:tc>
        <w:tc>
          <w:tcPr>
            <w:tcW w:w="1819" w:type="dxa"/>
            <w:tcBorders>
              <w:top w:val="nil"/>
              <w:left w:val="nil"/>
              <w:bottom w:val="nil"/>
              <w:right w:val="nil"/>
            </w:tcBorders>
            <w:shd w:val="clear" w:color="auto" w:fill="auto"/>
            <w:vAlign w:val="center"/>
            <w:hideMark/>
          </w:tcPr>
          <w:p w14:paraId="5955788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3,396,701.13</w:t>
            </w:r>
          </w:p>
        </w:tc>
      </w:tr>
      <w:tr w:rsidR="00C6733C" w14:paraId="74ED35FB" w14:textId="77777777">
        <w:trPr>
          <w:trHeight w:val="555"/>
          <w:jc w:val="center"/>
        </w:trPr>
        <w:tc>
          <w:tcPr>
            <w:tcW w:w="6081" w:type="dxa"/>
            <w:tcBorders>
              <w:top w:val="nil"/>
              <w:left w:val="nil"/>
              <w:bottom w:val="nil"/>
              <w:right w:val="nil"/>
            </w:tcBorders>
            <w:shd w:val="clear" w:color="auto" w:fill="auto"/>
            <w:vAlign w:val="center"/>
            <w:hideMark/>
          </w:tcPr>
          <w:p w14:paraId="09F401C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integrales y otros servicios</w:t>
            </w:r>
          </w:p>
        </w:tc>
        <w:tc>
          <w:tcPr>
            <w:tcW w:w="1819" w:type="dxa"/>
            <w:tcBorders>
              <w:top w:val="nil"/>
              <w:left w:val="nil"/>
              <w:bottom w:val="nil"/>
              <w:right w:val="nil"/>
            </w:tcBorders>
            <w:shd w:val="clear" w:color="auto" w:fill="auto"/>
            <w:vAlign w:val="center"/>
            <w:hideMark/>
          </w:tcPr>
          <w:p w14:paraId="70F4A86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100,000.00</w:t>
            </w:r>
          </w:p>
        </w:tc>
      </w:tr>
      <w:tr w:rsidR="00C6733C" w14:paraId="5578A1D8" w14:textId="77777777">
        <w:trPr>
          <w:trHeight w:val="555"/>
          <w:jc w:val="center"/>
        </w:trPr>
        <w:tc>
          <w:tcPr>
            <w:tcW w:w="6081" w:type="dxa"/>
            <w:tcBorders>
              <w:top w:val="nil"/>
              <w:left w:val="nil"/>
              <w:bottom w:val="nil"/>
              <w:right w:val="nil"/>
            </w:tcBorders>
            <w:shd w:val="clear" w:color="auto" w:fill="auto"/>
            <w:vAlign w:val="center"/>
            <w:hideMark/>
          </w:tcPr>
          <w:p w14:paraId="4B3CD1C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de arrendamiento</w:t>
            </w:r>
          </w:p>
        </w:tc>
        <w:tc>
          <w:tcPr>
            <w:tcW w:w="1819" w:type="dxa"/>
            <w:tcBorders>
              <w:top w:val="nil"/>
              <w:left w:val="nil"/>
              <w:bottom w:val="nil"/>
              <w:right w:val="nil"/>
            </w:tcBorders>
            <w:shd w:val="clear" w:color="auto" w:fill="auto"/>
            <w:vAlign w:val="center"/>
            <w:hideMark/>
          </w:tcPr>
          <w:p w14:paraId="7749636F"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207,062,898.48</w:t>
            </w:r>
          </w:p>
        </w:tc>
      </w:tr>
      <w:tr w:rsidR="00C6733C" w14:paraId="62624D86" w14:textId="77777777">
        <w:trPr>
          <w:trHeight w:val="555"/>
          <w:jc w:val="center"/>
        </w:trPr>
        <w:tc>
          <w:tcPr>
            <w:tcW w:w="6081" w:type="dxa"/>
            <w:tcBorders>
              <w:top w:val="nil"/>
              <w:left w:val="nil"/>
              <w:bottom w:val="nil"/>
              <w:right w:val="nil"/>
            </w:tcBorders>
            <w:shd w:val="clear" w:color="auto" w:fill="auto"/>
            <w:vAlign w:val="center"/>
            <w:hideMark/>
          </w:tcPr>
          <w:p w14:paraId="0FE5B38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terrenos</w:t>
            </w:r>
          </w:p>
        </w:tc>
        <w:tc>
          <w:tcPr>
            <w:tcW w:w="1819" w:type="dxa"/>
            <w:tcBorders>
              <w:top w:val="nil"/>
              <w:left w:val="nil"/>
              <w:bottom w:val="nil"/>
              <w:right w:val="nil"/>
            </w:tcBorders>
            <w:shd w:val="clear" w:color="auto" w:fill="auto"/>
            <w:vAlign w:val="center"/>
            <w:hideMark/>
          </w:tcPr>
          <w:p w14:paraId="7A246C7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556,800.00</w:t>
            </w:r>
          </w:p>
        </w:tc>
      </w:tr>
      <w:tr w:rsidR="00C6733C" w14:paraId="358CF747" w14:textId="77777777">
        <w:trPr>
          <w:trHeight w:val="555"/>
          <w:jc w:val="center"/>
        </w:trPr>
        <w:tc>
          <w:tcPr>
            <w:tcW w:w="6081" w:type="dxa"/>
            <w:tcBorders>
              <w:top w:val="nil"/>
              <w:left w:val="nil"/>
              <w:bottom w:val="nil"/>
              <w:right w:val="nil"/>
            </w:tcBorders>
            <w:shd w:val="clear" w:color="auto" w:fill="auto"/>
            <w:vAlign w:val="center"/>
            <w:hideMark/>
          </w:tcPr>
          <w:p w14:paraId="7044F95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edificios</w:t>
            </w:r>
          </w:p>
        </w:tc>
        <w:tc>
          <w:tcPr>
            <w:tcW w:w="1819" w:type="dxa"/>
            <w:tcBorders>
              <w:top w:val="nil"/>
              <w:left w:val="nil"/>
              <w:bottom w:val="nil"/>
              <w:right w:val="nil"/>
            </w:tcBorders>
            <w:shd w:val="clear" w:color="auto" w:fill="auto"/>
            <w:vAlign w:val="center"/>
            <w:hideMark/>
          </w:tcPr>
          <w:p w14:paraId="211ECC3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70,060,807.40</w:t>
            </w:r>
          </w:p>
        </w:tc>
      </w:tr>
      <w:tr w:rsidR="00C6733C" w14:paraId="57A42AF1" w14:textId="77777777">
        <w:trPr>
          <w:trHeight w:val="555"/>
          <w:jc w:val="center"/>
        </w:trPr>
        <w:tc>
          <w:tcPr>
            <w:tcW w:w="6081" w:type="dxa"/>
            <w:tcBorders>
              <w:top w:val="nil"/>
              <w:left w:val="nil"/>
              <w:bottom w:val="nil"/>
              <w:right w:val="nil"/>
            </w:tcBorders>
            <w:shd w:val="clear" w:color="auto" w:fill="auto"/>
            <w:vAlign w:val="center"/>
            <w:hideMark/>
          </w:tcPr>
          <w:p w14:paraId="7BF7397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Arrendamiento de mobiliario y equipo de administración, educacional y  </w:t>
            </w:r>
            <w:r>
              <w:rPr>
                <w:rFonts w:ascii="Arial" w:eastAsia="Times New Roman" w:hAnsi="Arial" w:cs="Arial"/>
                <w:color w:val="000000"/>
                <w:lang w:bidi="ar-SA"/>
              </w:rPr>
              <w:t>recreativo</w:t>
            </w:r>
          </w:p>
        </w:tc>
        <w:tc>
          <w:tcPr>
            <w:tcW w:w="1819" w:type="dxa"/>
            <w:tcBorders>
              <w:top w:val="nil"/>
              <w:left w:val="nil"/>
              <w:bottom w:val="nil"/>
              <w:right w:val="nil"/>
            </w:tcBorders>
            <w:shd w:val="clear" w:color="auto" w:fill="auto"/>
            <w:vAlign w:val="center"/>
            <w:hideMark/>
          </w:tcPr>
          <w:p w14:paraId="56640F1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8,230,057.18</w:t>
            </w:r>
          </w:p>
        </w:tc>
      </w:tr>
      <w:tr w:rsidR="00C6733C" w14:paraId="6E9F8B27" w14:textId="77777777">
        <w:trPr>
          <w:trHeight w:val="555"/>
          <w:jc w:val="center"/>
        </w:trPr>
        <w:tc>
          <w:tcPr>
            <w:tcW w:w="6081" w:type="dxa"/>
            <w:tcBorders>
              <w:top w:val="nil"/>
              <w:left w:val="nil"/>
              <w:bottom w:val="nil"/>
              <w:right w:val="nil"/>
            </w:tcBorders>
            <w:shd w:val="clear" w:color="auto" w:fill="auto"/>
            <w:vAlign w:val="center"/>
            <w:hideMark/>
          </w:tcPr>
          <w:p w14:paraId="501038D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equipo de transporte</w:t>
            </w:r>
          </w:p>
        </w:tc>
        <w:tc>
          <w:tcPr>
            <w:tcW w:w="1819" w:type="dxa"/>
            <w:tcBorders>
              <w:top w:val="nil"/>
              <w:left w:val="nil"/>
              <w:bottom w:val="nil"/>
              <w:right w:val="nil"/>
            </w:tcBorders>
            <w:shd w:val="clear" w:color="auto" w:fill="auto"/>
            <w:vAlign w:val="center"/>
            <w:hideMark/>
          </w:tcPr>
          <w:p w14:paraId="196263E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128,047,233.94</w:t>
            </w:r>
          </w:p>
        </w:tc>
      </w:tr>
      <w:tr w:rsidR="00C6733C" w14:paraId="51B5922F" w14:textId="77777777">
        <w:trPr>
          <w:trHeight w:val="555"/>
          <w:jc w:val="center"/>
        </w:trPr>
        <w:tc>
          <w:tcPr>
            <w:tcW w:w="6081" w:type="dxa"/>
            <w:tcBorders>
              <w:top w:val="nil"/>
              <w:left w:val="nil"/>
              <w:bottom w:val="nil"/>
              <w:right w:val="nil"/>
            </w:tcBorders>
            <w:shd w:val="clear" w:color="auto" w:fill="auto"/>
            <w:vAlign w:val="center"/>
            <w:hideMark/>
          </w:tcPr>
          <w:p w14:paraId="79AA492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maquinaria, otros equipos y herramientas</w:t>
            </w:r>
          </w:p>
        </w:tc>
        <w:tc>
          <w:tcPr>
            <w:tcW w:w="1819" w:type="dxa"/>
            <w:tcBorders>
              <w:top w:val="nil"/>
              <w:left w:val="nil"/>
              <w:bottom w:val="nil"/>
              <w:right w:val="nil"/>
            </w:tcBorders>
            <w:shd w:val="clear" w:color="auto" w:fill="auto"/>
            <w:vAlign w:val="center"/>
            <w:hideMark/>
          </w:tcPr>
          <w:p w14:paraId="14C481D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67D21B4D" w14:textId="77777777">
        <w:trPr>
          <w:trHeight w:val="555"/>
          <w:jc w:val="center"/>
        </w:trPr>
        <w:tc>
          <w:tcPr>
            <w:tcW w:w="6081" w:type="dxa"/>
            <w:tcBorders>
              <w:top w:val="nil"/>
              <w:left w:val="nil"/>
              <w:bottom w:val="nil"/>
              <w:right w:val="nil"/>
            </w:tcBorders>
            <w:shd w:val="clear" w:color="auto" w:fill="auto"/>
            <w:vAlign w:val="center"/>
            <w:hideMark/>
          </w:tcPr>
          <w:p w14:paraId="3DB5EBB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arrendamientos</w:t>
            </w:r>
          </w:p>
        </w:tc>
        <w:tc>
          <w:tcPr>
            <w:tcW w:w="1819" w:type="dxa"/>
            <w:tcBorders>
              <w:top w:val="nil"/>
              <w:left w:val="nil"/>
              <w:bottom w:val="nil"/>
              <w:right w:val="nil"/>
            </w:tcBorders>
            <w:shd w:val="clear" w:color="auto" w:fill="auto"/>
            <w:vAlign w:val="center"/>
            <w:hideMark/>
          </w:tcPr>
          <w:p w14:paraId="071FBE3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167,999.96</w:t>
            </w:r>
          </w:p>
        </w:tc>
      </w:tr>
      <w:tr w:rsidR="00C6733C" w14:paraId="3E1CBEAA" w14:textId="77777777">
        <w:trPr>
          <w:trHeight w:val="555"/>
          <w:jc w:val="center"/>
        </w:trPr>
        <w:tc>
          <w:tcPr>
            <w:tcW w:w="6081" w:type="dxa"/>
            <w:tcBorders>
              <w:top w:val="nil"/>
              <w:left w:val="nil"/>
              <w:bottom w:val="nil"/>
              <w:right w:val="nil"/>
            </w:tcBorders>
            <w:shd w:val="clear" w:color="auto" w:fill="auto"/>
            <w:vAlign w:val="center"/>
            <w:hideMark/>
          </w:tcPr>
          <w:p w14:paraId="026E3D75"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profesionales, científicos, técnicos y otros servicios</w:t>
            </w:r>
          </w:p>
        </w:tc>
        <w:tc>
          <w:tcPr>
            <w:tcW w:w="1819" w:type="dxa"/>
            <w:tcBorders>
              <w:top w:val="nil"/>
              <w:left w:val="nil"/>
              <w:bottom w:val="nil"/>
              <w:right w:val="nil"/>
            </w:tcBorders>
            <w:shd w:val="clear" w:color="auto" w:fill="auto"/>
            <w:vAlign w:val="center"/>
            <w:hideMark/>
          </w:tcPr>
          <w:p w14:paraId="5A3854DE"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157,552,793.19</w:t>
            </w:r>
          </w:p>
        </w:tc>
      </w:tr>
      <w:tr w:rsidR="00C6733C" w14:paraId="4B3BD8B7" w14:textId="77777777">
        <w:trPr>
          <w:trHeight w:val="555"/>
          <w:jc w:val="center"/>
        </w:trPr>
        <w:tc>
          <w:tcPr>
            <w:tcW w:w="6081" w:type="dxa"/>
            <w:tcBorders>
              <w:top w:val="nil"/>
              <w:left w:val="nil"/>
              <w:bottom w:val="nil"/>
              <w:right w:val="nil"/>
            </w:tcBorders>
            <w:shd w:val="clear" w:color="auto" w:fill="auto"/>
            <w:vAlign w:val="center"/>
            <w:hideMark/>
          </w:tcPr>
          <w:p w14:paraId="6FCB4D7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legales, de contabilidad, auditoría y relacionados</w:t>
            </w:r>
          </w:p>
        </w:tc>
        <w:tc>
          <w:tcPr>
            <w:tcW w:w="1819" w:type="dxa"/>
            <w:tcBorders>
              <w:top w:val="nil"/>
              <w:left w:val="nil"/>
              <w:bottom w:val="nil"/>
              <w:right w:val="nil"/>
            </w:tcBorders>
            <w:shd w:val="clear" w:color="auto" w:fill="auto"/>
            <w:vAlign w:val="center"/>
            <w:hideMark/>
          </w:tcPr>
          <w:p w14:paraId="6567693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1,802,214.02</w:t>
            </w:r>
          </w:p>
        </w:tc>
      </w:tr>
      <w:tr w:rsidR="00C6733C" w14:paraId="20B1ECCF" w14:textId="77777777">
        <w:trPr>
          <w:trHeight w:val="555"/>
          <w:jc w:val="center"/>
        </w:trPr>
        <w:tc>
          <w:tcPr>
            <w:tcW w:w="6081" w:type="dxa"/>
            <w:tcBorders>
              <w:top w:val="nil"/>
              <w:left w:val="nil"/>
              <w:bottom w:val="nil"/>
              <w:right w:val="nil"/>
            </w:tcBorders>
            <w:shd w:val="clear" w:color="auto" w:fill="auto"/>
            <w:vAlign w:val="center"/>
            <w:hideMark/>
          </w:tcPr>
          <w:p w14:paraId="51F5C2B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consultoría administrativa, procesos, técnica y en tecnologías de la información</w:t>
            </w:r>
          </w:p>
        </w:tc>
        <w:tc>
          <w:tcPr>
            <w:tcW w:w="1819" w:type="dxa"/>
            <w:tcBorders>
              <w:top w:val="nil"/>
              <w:left w:val="nil"/>
              <w:bottom w:val="nil"/>
              <w:right w:val="nil"/>
            </w:tcBorders>
            <w:shd w:val="clear" w:color="auto" w:fill="auto"/>
            <w:vAlign w:val="center"/>
            <w:hideMark/>
          </w:tcPr>
          <w:p w14:paraId="5C3CB9D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205,000.00</w:t>
            </w:r>
          </w:p>
        </w:tc>
      </w:tr>
      <w:tr w:rsidR="00C6733C" w14:paraId="12EECA67" w14:textId="77777777">
        <w:trPr>
          <w:trHeight w:val="555"/>
          <w:jc w:val="center"/>
        </w:trPr>
        <w:tc>
          <w:tcPr>
            <w:tcW w:w="6081" w:type="dxa"/>
            <w:tcBorders>
              <w:top w:val="nil"/>
              <w:left w:val="nil"/>
              <w:bottom w:val="nil"/>
              <w:right w:val="nil"/>
            </w:tcBorders>
            <w:shd w:val="clear" w:color="auto" w:fill="auto"/>
            <w:vAlign w:val="center"/>
            <w:hideMark/>
          </w:tcPr>
          <w:p w14:paraId="64D67F2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capacitación</w:t>
            </w:r>
          </w:p>
        </w:tc>
        <w:tc>
          <w:tcPr>
            <w:tcW w:w="1819" w:type="dxa"/>
            <w:tcBorders>
              <w:top w:val="nil"/>
              <w:left w:val="nil"/>
              <w:bottom w:val="nil"/>
              <w:right w:val="nil"/>
            </w:tcBorders>
            <w:shd w:val="clear" w:color="auto" w:fill="auto"/>
            <w:vAlign w:val="center"/>
            <w:hideMark/>
          </w:tcPr>
          <w:p w14:paraId="13D9506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3,376,206.38</w:t>
            </w:r>
          </w:p>
        </w:tc>
      </w:tr>
      <w:tr w:rsidR="00C6733C" w14:paraId="08179C25" w14:textId="77777777">
        <w:trPr>
          <w:trHeight w:val="555"/>
          <w:jc w:val="center"/>
        </w:trPr>
        <w:tc>
          <w:tcPr>
            <w:tcW w:w="6081" w:type="dxa"/>
            <w:tcBorders>
              <w:top w:val="nil"/>
              <w:left w:val="nil"/>
              <w:bottom w:val="nil"/>
              <w:right w:val="nil"/>
            </w:tcBorders>
            <w:shd w:val="clear" w:color="auto" w:fill="auto"/>
            <w:vAlign w:val="center"/>
            <w:hideMark/>
          </w:tcPr>
          <w:p w14:paraId="6DD7875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Servicios de apoyo </w:t>
            </w:r>
            <w:r>
              <w:rPr>
                <w:rFonts w:ascii="Arial" w:eastAsia="Times New Roman" w:hAnsi="Arial" w:cs="Arial"/>
                <w:color w:val="000000"/>
                <w:lang w:bidi="ar-SA"/>
              </w:rPr>
              <w:t>administrativo, traducción, fotocopiado e impresión</w:t>
            </w:r>
          </w:p>
        </w:tc>
        <w:tc>
          <w:tcPr>
            <w:tcW w:w="1819" w:type="dxa"/>
            <w:tcBorders>
              <w:top w:val="nil"/>
              <w:left w:val="nil"/>
              <w:bottom w:val="nil"/>
              <w:right w:val="nil"/>
            </w:tcBorders>
            <w:shd w:val="clear" w:color="auto" w:fill="auto"/>
            <w:vAlign w:val="center"/>
            <w:hideMark/>
          </w:tcPr>
          <w:p w14:paraId="0070F29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97,800,924.80</w:t>
            </w:r>
          </w:p>
        </w:tc>
      </w:tr>
      <w:tr w:rsidR="00C6733C" w14:paraId="26545546" w14:textId="77777777">
        <w:trPr>
          <w:trHeight w:val="555"/>
          <w:jc w:val="center"/>
        </w:trPr>
        <w:tc>
          <w:tcPr>
            <w:tcW w:w="6081" w:type="dxa"/>
            <w:tcBorders>
              <w:top w:val="nil"/>
              <w:left w:val="nil"/>
              <w:bottom w:val="nil"/>
              <w:right w:val="nil"/>
            </w:tcBorders>
            <w:shd w:val="clear" w:color="auto" w:fill="auto"/>
            <w:vAlign w:val="center"/>
            <w:hideMark/>
          </w:tcPr>
          <w:p w14:paraId="0CCDF2A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protección y seguridad</w:t>
            </w:r>
          </w:p>
        </w:tc>
        <w:tc>
          <w:tcPr>
            <w:tcW w:w="1819" w:type="dxa"/>
            <w:tcBorders>
              <w:top w:val="nil"/>
              <w:left w:val="nil"/>
              <w:bottom w:val="nil"/>
              <w:right w:val="nil"/>
            </w:tcBorders>
            <w:shd w:val="clear" w:color="auto" w:fill="auto"/>
            <w:vAlign w:val="center"/>
            <w:hideMark/>
          </w:tcPr>
          <w:p w14:paraId="53E2293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16,540,424.60</w:t>
            </w:r>
          </w:p>
        </w:tc>
      </w:tr>
      <w:tr w:rsidR="00C6733C" w14:paraId="2AAFDE20" w14:textId="77777777">
        <w:trPr>
          <w:trHeight w:val="555"/>
          <w:jc w:val="center"/>
        </w:trPr>
        <w:tc>
          <w:tcPr>
            <w:tcW w:w="6081" w:type="dxa"/>
            <w:tcBorders>
              <w:top w:val="nil"/>
              <w:left w:val="nil"/>
              <w:bottom w:val="nil"/>
              <w:right w:val="nil"/>
            </w:tcBorders>
            <w:shd w:val="clear" w:color="auto" w:fill="auto"/>
            <w:vAlign w:val="center"/>
            <w:hideMark/>
          </w:tcPr>
          <w:p w14:paraId="0C582D4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vigilancia</w:t>
            </w:r>
          </w:p>
        </w:tc>
        <w:tc>
          <w:tcPr>
            <w:tcW w:w="1819" w:type="dxa"/>
            <w:tcBorders>
              <w:top w:val="nil"/>
              <w:left w:val="nil"/>
              <w:bottom w:val="nil"/>
              <w:right w:val="nil"/>
            </w:tcBorders>
            <w:shd w:val="clear" w:color="auto" w:fill="auto"/>
            <w:vAlign w:val="center"/>
            <w:hideMark/>
          </w:tcPr>
          <w:p w14:paraId="2DCCF3C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35,565,989.16</w:t>
            </w:r>
          </w:p>
        </w:tc>
      </w:tr>
      <w:tr w:rsidR="00C6733C" w14:paraId="45884DA3" w14:textId="77777777">
        <w:trPr>
          <w:trHeight w:val="555"/>
          <w:jc w:val="center"/>
        </w:trPr>
        <w:tc>
          <w:tcPr>
            <w:tcW w:w="6081" w:type="dxa"/>
            <w:tcBorders>
              <w:top w:val="nil"/>
              <w:left w:val="nil"/>
              <w:bottom w:val="nil"/>
              <w:right w:val="nil"/>
            </w:tcBorders>
            <w:shd w:val="clear" w:color="auto" w:fill="auto"/>
            <w:vAlign w:val="center"/>
            <w:hideMark/>
          </w:tcPr>
          <w:p w14:paraId="37E92F2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profesionales, científicos y técnicos integrales</w:t>
            </w:r>
          </w:p>
        </w:tc>
        <w:tc>
          <w:tcPr>
            <w:tcW w:w="1819" w:type="dxa"/>
            <w:tcBorders>
              <w:top w:val="nil"/>
              <w:left w:val="nil"/>
              <w:bottom w:val="nil"/>
              <w:right w:val="nil"/>
            </w:tcBorders>
            <w:shd w:val="clear" w:color="auto" w:fill="auto"/>
            <w:vAlign w:val="center"/>
            <w:hideMark/>
          </w:tcPr>
          <w:p w14:paraId="07C256C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2,262,034.23</w:t>
            </w:r>
          </w:p>
        </w:tc>
      </w:tr>
      <w:tr w:rsidR="00C6733C" w14:paraId="0EA56B8B" w14:textId="77777777">
        <w:trPr>
          <w:trHeight w:val="555"/>
          <w:jc w:val="center"/>
        </w:trPr>
        <w:tc>
          <w:tcPr>
            <w:tcW w:w="6081" w:type="dxa"/>
            <w:tcBorders>
              <w:top w:val="nil"/>
              <w:left w:val="nil"/>
              <w:bottom w:val="nil"/>
              <w:right w:val="nil"/>
            </w:tcBorders>
            <w:shd w:val="clear" w:color="auto" w:fill="auto"/>
            <w:vAlign w:val="center"/>
            <w:hideMark/>
          </w:tcPr>
          <w:p w14:paraId="1917404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Servicios </w:t>
            </w:r>
            <w:r>
              <w:rPr>
                <w:rFonts w:ascii="Arial" w:eastAsia="Times New Roman" w:hAnsi="Arial" w:cs="Arial"/>
                <w:b/>
                <w:bCs/>
                <w:color w:val="000000"/>
                <w:lang w:bidi="ar-SA"/>
              </w:rPr>
              <w:t>financieros, bancarios y comerciales</w:t>
            </w:r>
          </w:p>
        </w:tc>
        <w:tc>
          <w:tcPr>
            <w:tcW w:w="1819" w:type="dxa"/>
            <w:tcBorders>
              <w:top w:val="nil"/>
              <w:left w:val="nil"/>
              <w:bottom w:val="nil"/>
              <w:right w:val="nil"/>
            </w:tcBorders>
            <w:shd w:val="clear" w:color="auto" w:fill="auto"/>
            <w:vAlign w:val="center"/>
            <w:hideMark/>
          </w:tcPr>
          <w:p w14:paraId="2C09CA5F"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42,784,725.78</w:t>
            </w:r>
          </w:p>
        </w:tc>
      </w:tr>
      <w:tr w:rsidR="00C6733C" w14:paraId="1BA352D6" w14:textId="77777777">
        <w:trPr>
          <w:trHeight w:val="555"/>
          <w:jc w:val="center"/>
        </w:trPr>
        <w:tc>
          <w:tcPr>
            <w:tcW w:w="6081" w:type="dxa"/>
            <w:tcBorders>
              <w:top w:val="nil"/>
              <w:left w:val="nil"/>
              <w:bottom w:val="nil"/>
              <w:right w:val="nil"/>
            </w:tcBorders>
            <w:shd w:val="clear" w:color="auto" w:fill="auto"/>
            <w:vAlign w:val="center"/>
            <w:hideMark/>
          </w:tcPr>
          <w:p w14:paraId="7B1B5C7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financieros y bancarios</w:t>
            </w:r>
          </w:p>
        </w:tc>
        <w:tc>
          <w:tcPr>
            <w:tcW w:w="1819" w:type="dxa"/>
            <w:tcBorders>
              <w:top w:val="nil"/>
              <w:left w:val="nil"/>
              <w:bottom w:val="nil"/>
              <w:right w:val="nil"/>
            </w:tcBorders>
            <w:shd w:val="clear" w:color="auto" w:fill="auto"/>
            <w:vAlign w:val="center"/>
            <w:hideMark/>
          </w:tcPr>
          <w:p w14:paraId="63B7C23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2,459,573.32</w:t>
            </w:r>
          </w:p>
        </w:tc>
      </w:tr>
      <w:tr w:rsidR="00C6733C" w14:paraId="1A432F08" w14:textId="77777777">
        <w:trPr>
          <w:trHeight w:val="555"/>
          <w:jc w:val="center"/>
        </w:trPr>
        <w:tc>
          <w:tcPr>
            <w:tcW w:w="6081" w:type="dxa"/>
            <w:tcBorders>
              <w:top w:val="nil"/>
              <w:left w:val="nil"/>
              <w:bottom w:val="nil"/>
              <w:right w:val="nil"/>
            </w:tcBorders>
            <w:shd w:val="clear" w:color="auto" w:fill="auto"/>
            <w:vAlign w:val="center"/>
            <w:hideMark/>
          </w:tcPr>
          <w:p w14:paraId="63ADA9D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recaudación, traslado y custodia de valores</w:t>
            </w:r>
          </w:p>
        </w:tc>
        <w:tc>
          <w:tcPr>
            <w:tcW w:w="1819" w:type="dxa"/>
            <w:tcBorders>
              <w:top w:val="nil"/>
              <w:left w:val="nil"/>
              <w:bottom w:val="nil"/>
              <w:right w:val="nil"/>
            </w:tcBorders>
            <w:shd w:val="clear" w:color="auto" w:fill="auto"/>
            <w:vAlign w:val="center"/>
            <w:hideMark/>
          </w:tcPr>
          <w:p w14:paraId="18589B1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39,900.00</w:t>
            </w:r>
          </w:p>
        </w:tc>
      </w:tr>
      <w:tr w:rsidR="00C6733C" w14:paraId="101573A3" w14:textId="77777777">
        <w:trPr>
          <w:trHeight w:val="555"/>
          <w:jc w:val="center"/>
        </w:trPr>
        <w:tc>
          <w:tcPr>
            <w:tcW w:w="6081" w:type="dxa"/>
            <w:tcBorders>
              <w:top w:val="nil"/>
              <w:left w:val="nil"/>
              <w:bottom w:val="nil"/>
              <w:right w:val="nil"/>
            </w:tcBorders>
            <w:shd w:val="clear" w:color="auto" w:fill="auto"/>
            <w:vAlign w:val="center"/>
            <w:hideMark/>
          </w:tcPr>
          <w:p w14:paraId="1E6FFFA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Seguros de responsabilidad patrimonial y fianzas</w:t>
            </w:r>
          </w:p>
        </w:tc>
        <w:tc>
          <w:tcPr>
            <w:tcW w:w="1819" w:type="dxa"/>
            <w:tcBorders>
              <w:top w:val="nil"/>
              <w:left w:val="nil"/>
              <w:bottom w:val="nil"/>
              <w:right w:val="nil"/>
            </w:tcBorders>
            <w:shd w:val="clear" w:color="auto" w:fill="auto"/>
            <w:vAlign w:val="center"/>
            <w:hideMark/>
          </w:tcPr>
          <w:p w14:paraId="49B06B6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2,500,000.00</w:t>
            </w:r>
          </w:p>
        </w:tc>
      </w:tr>
      <w:tr w:rsidR="00C6733C" w14:paraId="6A53C0DF" w14:textId="77777777">
        <w:trPr>
          <w:trHeight w:val="555"/>
          <w:jc w:val="center"/>
        </w:trPr>
        <w:tc>
          <w:tcPr>
            <w:tcW w:w="6081" w:type="dxa"/>
            <w:tcBorders>
              <w:top w:val="nil"/>
              <w:left w:val="nil"/>
              <w:bottom w:val="nil"/>
              <w:right w:val="nil"/>
            </w:tcBorders>
            <w:shd w:val="clear" w:color="auto" w:fill="auto"/>
            <w:vAlign w:val="center"/>
            <w:hideMark/>
          </w:tcPr>
          <w:p w14:paraId="2201FB8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Seguro de bienes </w:t>
            </w:r>
            <w:r>
              <w:rPr>
                <w:rFonts w:ascii="Arial" w:eastAsia="Times New Roman" w:hAnsi="Arial" w:cs="Arial"/>
                <w:color w:val="000000"/>
                <w:lang w:bidi="ar-SA"/>
              </w:rPr>
              <w:t>patrimoniales</w:t>
            </w:r>
          </w:p>
        </w:tc>
        <w:tc>
          <w:tcPr>
            <w:tcW w:w="1819" w:type="dxa"/>
            <w:tcBorders>
              <w:top w:val="nil"/>
              <w:left w:val="nil"/>
              <w:bottom w:val="nil"/>
              <w:right w:val="nil"/>
            </w:tcBorders>
            <w:shd w:val="clear" w:color="auto" w:fill="auto"/>
            <w:vAlign w:val="center"/>
            <w:hideMark/>
          </w:tcPr>
          <w:p w14:paraId="411C00B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37,489,621.03</w:t>
            </w:r>
          </w:p>
        </w:tc>
      </w:tr>
      <w:tr w:rsidR="00C6733C" w14:paraId="1C6EB214" w14:textId="77777777">
        <w:trPr>
          <w:trHeight w:val="555"/>
          <w:jc w:val="center"/>
        </w:trPr>
        <w:tc>
          <w:tcPr>
            <w:tcW w:w="6081" w:type="dxa"/>
            <w:tcBorders>
              <w:top w:val="nil"/>
              <w:left w:val="nil"/>
              <w:bottom w:val="nil"/>
              <w:right w:val="nil"/>
            </w:tcBorders>
            <w:shd w:val="clear" w:color="auto" w:fill="auto"/>
            <w:vAlign w:val="center"/>
            <w:hideMark/>
          </w:tcPr>
          <w:p w14:paraId="2A1B0FC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Fletes y maniobras</w:t>
            </w:r>
          </w:p>
        </w:tc>
        <w:tc>
          <w:tcPr>
            <w:tcW w:w="1819" w:type="dxa"/>
            <w:tcBorders>
              <w:top w:val="nil"/>
              <w:left w:val="nil"/>
              <w:bottom w:val="nil"/>
              <w:right w:val="nil"/>
            </w:tcBorders>
            <w:shd w:val="clear" w:color="auto" w:fill="auto"/>
            <w:vAlign w:val="center"/>
            <w:hideMark/>
          </w:tcPr>
          <w:p w14:paraId="6B399DF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286,799.99</w:t>
            </w:r>
          </w:p>
        </w:tc>
      </w:tr>
      <w:tr w:rsidR="00C6733C" w14:paraId="0EB41D0F" w14:textId="77777777">
        <w:trPr>
          <w:trHeight w:val="555"/>
          <w:jc w:val="center"/>
        </w:trPr>
        <w:tc>
          <w:tcPr>
            <w:tcW w:w="6081" w:type="dxa"/>
            <w:tcBorders>
              <w:top w:val="nil"/>
              <w:left w:val="nil"/>
              <w:bottom w:val="nil"/>
              <w:right w:val="nil"/>
            </w:tcBorders>
            <w:shd w:val="clear" w:color="auto" w:fill="auto"/>
            <w:vAlign w:val="center"/>
            <w:hideMark/>
          </w:tcPr>
          <w:p w14:paraId="5DB2618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financieros, bancarios y comerciales integrales</w:t>
            </w:r>
          </w:p>
        </w:tc>
        <w:tc>
          <w:tcPr>
            <w:tcW w:w="1819" w:type="dxa"/>
            <w:tcBorders>
              <w:top w:val="nil"/>
              <w:left w:val="nil"/>
              <w:bottom w:val="nil"/>
              <w:right w:val="nil"/>
            </w:tcBorders>
            <w:shd w:val="clear" w:color="auto" w:fill="auto"/>
            <w:vAlign w:val="center"/>
            <w:hideMark/>
          </w:tcPr>
          <w:p w14:paraId="1F54AE6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8,831.44</w:t>
            </w:r>
          </w:p>
        </w:tc>
      </w:tr>
      <w:tr w:rsidR="00C6733C" w14:paraId="784C12EA" w14:textId="77777777">
        <w:trPr>
          <w:trHeight w:val="555"/>
          <w:jc w:val="center"/>
        </w:trPr>
        <w:tc>
          <w:tcPr>
            <w:tcW w:w="6081" w:type="dxa"/>
            <w:tcBorders>
              <w:top w:val="nil"/>
              <w:left w:val="nil"/>
              <w:bottom w:val="nil"/>
              <w:right w:val="nil"/>
            </w:tcBorders>
            <w:shd w:val="clear" w:color="auto" w:fill="auto"/>
            <w:vAlign w:val="center"/>
            <w:hideMark/>
          </w:tcPr>
          <w:p w14:paraId="2ECB884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de instalación, reparación, mantenimiento  y conservación</w:t>
            </w:r>
          </w:p>
        </w:tc>
        <w:tc>
          <w:tcPr>
            <w:tcW w:w="1819" w:type="dxa"/>
            <w:tcBorders>
              <w:top w:val="nil"/>
              <w:left w:val="nil"/>
              <w:bottom w:val="nil"/>
              <w:right w:val="nil"/>
            </w:tcBorders>
            <w:shd w:val="clear" w:color="auto" w:fill="auto"/>
            <w:vAlign w:val="center"/>
            <w:hideMark/>
          </w:tcPr>
          <w:p w14:paraId="51384F6E"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98,293,294.33</w:t>
            </w:r>
          </w:p>
        </w:tc>
      </w:tr>
      <w:tr w:rsidR="00C6733C" w14:paraId="30C1BAD9" w14:textId="77777777">
        <w:trPr>
          <w:trHeight w:val="555"/>
          <w:jc w:val="center"/>
        </w:trPr>
        <w:tc>
          <w:tcPr>
            <w:tcW w:w="6081" w:type="dxa"/>
            <w:tcBorders>
              <w:top w:val="nil"/>
              <w:left w:val="nil"/>
              <w:bottom w:val="nil"/>
              <w:right w:val="nil"/>
            </w:tcBorders>
            <w:shd w:val="clear" w:color="auto" w:fill="auto"/>
            <w:vAlign w:val="center"/>
            <w:hideMark/>
          </w:tcPr>
          <w:p w14:paraId="197E80B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Conservación y mantenimiento menor de inmuebl</w:t>
            </w:r>
            <w:r>
              <w:rPr>
                <w:rFonts w:ascii="Arial" w:eastAsia="Times New Roman" w:hAnsi="Arial" w:cs="Arial"/>
                <w:color w:val="000000"/>
                <w:lang w:bidi="ar-SA"/>
              </w:rPr>
              <w:t>es</w:t>
            </w:r>
          </w:p>
        </w:tc>
        <w:tc>
          <w:tcPr>
            <w:tcW w:w="1819" w:type="dxa"/>
            <w:tcBorders>
              <w:top w:val="nil"/>
              <w:left w:val="nil"/>
              <w:bottom w:val="nil"/>
              <w:right w:val="nil"/>
            </w:tcBorders>
            <w:shd w:val="clear" w:color="auto" w:fill="auto"/>
            <w:vAlign w:val="center"/>
            <w:hideMark/>
          </w:tcPr>
          <w:p w14:paraId="251BA62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38,063,343.70</w:t>
            </w:r>
          </w:p>
        </w:tc>
      </w:tr>
      <w:tr w:rsidR="00C6733C" w14:paraId="0F79A07D" w14:textId="77777777">
        <w:trPr>
          <w:trHeight w:val="555"/>
          <w:jc w:val="center"/>
        </w:trPr>
        <w:tc>
          <w:tcPr>
            <w:tcW w:w="6081" w:type="dxa"/>
            <w:tcBorders>
              <w:top w:val="nil"/>
              <w:left w:val="nil"/>
              <w:bottom w:val="nil"/>
              <w:right w:val="nil"/>
            </w:tcBorders>
            <w:shd w:val="clear" w:color="auto" w:fill="auto"/>
            <w:vAlign w:val="center"/>
            <w:hideMark/>
          </w:tcPr>
          <w:p w14:paraId="1329F5C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Instalación, reparación y mantenimiento de mobiliario y equipo de administración, educacional y recreativo</w:t>
            </w:r>
          </w:p>
        </w:tc>
        <w:tc>
          <w:tcPr>
            <w:tcW w:w="1819" w:type="dxa"/>
            <w:tcBorders>
              <w:top w:val="nil"/>
              <w:left w:val="nil"/>
              <w:bottom w:val="nil"/>
              <w:right w:val="nil"/>
            </w:tcBorders>
            <w:shd w:val="clear" w:color="auto" w:fill="auto"/>
            <w:vAlign w:val="center"/>
            <w:hideMark/>
          </w:tcPr>
          <w:p w14:paraId="4BC63F5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626,010.21</w:t>
            </w:r>
          </w:p>
        </w:tc>
      </w:tr>
      <w:tr w:rsidR="00C6733C" w14:paraId="63FFD9E0" w14:textId="77777777">
        <w:trPr>
          <w:trHeight w:val="555"/>
          <w:jc w:val="center"/>
        </w:trPr>
        <w:tc>
          <w:tcPr>
            <w:tcW w:w="6081" w:type="dxa"/>
            <w:tcBorders>
              <w:top w:val="nil"/>
              <w:left w:val="nil"/>
              <w:bottom w:val="nil"/>
              <w:right w:val="nil"/>
            </w:tcBorders>
            <w:shd w:val="clear" w:color="auto" w:fill="auto"/>
            <w:vAlign w:val="center"/>
            <w:hideMark/>
          </w:tcPr>
          <w:p w14:paraId="480E9CB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Instalación, reparación y mantenimiento de equipo de cómputo y tecnología de la información</w:t>
            </w:r>
          </w:p>
        </w:tc>
        <w:tc>
          <w:tcPr>
            <w:tcW w:w="1819" w:type="dxa"/>
            <w:tcBorders>
              <w:top w:val="nil"/>
              <w:left w:val="nil"/>
              <w:bottom w:val="nil"/>
              <w:right w:val="nil"/>
            </w:tcBorders>
            <w:shd w:val="clear" w:color="auto" w:fill="auto"/>
            <w:vAlign w:val="center"/>
            <w:hideMark/>
          </w:tcPr>
          <w:p w14:paraId="73A0343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330,214.31</w:t>
            </w:r>
          </w:p>
        </w:tc>
      </w:tr>
      <w:tr w:rsidR="00C6733C" w14:paraId="33821EA2" w14:textId="77777777">
        <w:trPr>
          <w:trHeight w:val="555"/>
          <w:jc w:val="center"/>
        </w:trPr>
        <w:tc>
          <w:tcPr>
            <w:tcW w:w="6081" w:type="dxa"/>
            <w:tcBorders>
              <w:top w:val="nil"/>
              <w:left w:val="nil"/>
              <w:bottom w:val="nil"/>
              <w:right w:val="nil"/>
            </w:tcBorders>
            <w:shd w:val="clear" w:color="auto" w:fill="auto"/>
            <w:vAlign w:val="center"/>
            <w:hideMark/>
          </w:tcPr>
          <w:p w14:paraId="695653B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Instalación, reparación y mantenimiento de equipo e instrumental médico y de laboratorio</w:t>
            </w:r>
          </w:p>
        </w:tc>
        <w:tc>
          <w:tcPr>
            <w:tcW w:w="1819" w:type="dxa"/>
            <w:tcBorders>
              <w:top w:val="nil"/>
              <w:left w:val="nil"/>
              <w:bottom w:val="nil"/>
              <w:right w:val="nil"/>
            </w:tcBorders>
            <w:shd w:val="clear" w:color="auto" w:fill="auto"/>
            <w:vAlign w:val="center"/>
            <w:hideMark/>
          </w:tcPr>
          <w:p w14:paraId="2FD5AE0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2,000.00</w:t>
            </w:r>
          </w:p>
        </w:tc>
      </w:tr>
      <w:tr w:rsidR="00C6733C" w14:paraId="5D9BBF99" w14:textId="77777777">
        <w:trPr>
          <w:trHeight w:val="555"/>
          <w:jc w:val="center"/>
        </w:trPr>
        <w:tc>
          <w:tcPr>
            <w:tcW w:w="6081" w:type="dxa"/>
            <w:tcBorders>
              <w:top w:val="nil"/>
              <w:left w:val="nil"/>
              <w:bottom w:val="nil"/>
              <w:right w:val="nil"/>
            </w:tcBorders>
            <w:shd w:val="clear" w:color="auto" w:fill="auto"/>
            <w:vAlign w:val="center"/>
            <w:hideMark/>
          </w:tcPr>
          <w:p w14:paraId="21DDE96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Reparación y mantenimiento de equipo de transporte</w:t>
            </w:r>
          </w:p>
        </w:tc>
        <w:tc>
          <w:tcPr>
            <w:tcW w:w="1819" w:type="dxa"/>
            <w:tcBorders>
              <w:top w:val="nil"/>
              <w:left w:val="nil"/>
              <w:bottom w:val="nil"/>
              <w:right w:val="nil"/>
            </w:tcBorders>
            <w:shd w:val="clear" w:color="auto" w:fill="auto"/>
            <w:vAlign w:val="center"/>
            <w:hideMark/>
          </w:tcPr>
          <w:p w14:paraId="594F988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29,249,855.64</w:t>
            </w:r>
          </w:p>
        </w:tc>
      </w:tr>
      <w:tr w:rsidR="00C6733C" w14:paraId="2DEFF273" w14:textId="77777777">
        <w:trPr>
          <w:trHeight w:val="555"/>
          <w:jc w:val="center"/>
        </w:trPr>
        <w:tc>
          <w:tcPr>
            <w:tcW w:w="6081" w:type="dxa"/>
            <w:tcBorders>
              <w:top w:val="nil"/>
              <w:left w:val="nil"/>
              <w:bottom w:val="nil"/>
              <w:right w:val="nil"/>
            </w:tcBorders>
            <w:shd w:val="clear" w:color="auto" w:fill="auto"/>
            <w:vAlign w:val="center"/>
            <w:hideMark/>
          </w:tcPr>
          <w:p w14:paraId="3B1225C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Instalación, reparación y mantenimiento de maquinaria, otros equipos y </w:t>
            </w:r>
            <w:r>
              <w:rPr>
                <w:rFonts w:ascii="Arial" w:eastAsia="Times New Roman" w:hAnsi="Arial" w:cs="Arial"/>
                <w:color w:val="000000"/>
                <w:lang w:bidi="ar-SA"/>
              </w:rPr>
              <w:t>herramienta</w:t>
            </w:r>
          </w:p>
        </w:tc>
        <w:tc>
          <w:tcPr>
            <w:tcW w:w="1819" w:type="dxa"/>
            <w:tcBorders>
              <w:top w:val="nil"/>
              <w:left w:val="nil"/>
              <w:bottom w:val="nil"/>
              <w:right w:val="nil"/>
            </w:tcBorders>
            <w:shd w:val="clear" w:color="auto" w:fill="auto"/>
            <w:vAlign w:val="center"/>
            <w:hideMark/>
          </w:tcPr>
          <w:p w14:paraId="42400AE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1,812,617.08</w:t>
            </w:r>
          </w:p>
        </w:tc>
      </w:tr>
      <w:tr w:rsidR="00C6733C" w14:paraId="1CF856CB" w14:textId="77777777">
        <w:trPr>
          <w:trHeight w:val="555"/>
          <w:jc w:val="center"/>
        </w:trPr>
        <w:tc>
          <w:tcPr>
            <w:tcW w:w="6081" w:type="dxa"/>
            <w:tcBorders>
              <w:top w:val="nil"/>
              <w:left w:val="nil"/>
              <w:bottom w:val="nil"/>
              <w:right w:val="nil"/>
            </w:tcBorders>
            <w:shd w:val="clear" w:color="auto" w:fill="auto"/>
            <w:vAlign w:val="center"/>
            <w:hideMark/>
          </w:tcPr>
          <w:p w14:paraId="6935032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limpieza y manejo de desechos</w:t>
            </w:r>
          </w:p>
        </w:tc>
        <w:tc>
          <w:tcPr>
            <w:tcW w:w="1819" w:type="dxa"/>
            <w:tcBorders>
              <w:top w:val="nil"/>
              <w:left w:val="nil"/>
              <w:bottom w:val="nil"/>
              <w:right w:val="nil"/>
            </w:tcBorders>
            <w:shd w:val="clear" w:color="auto" w:fill="auto"/>
            <w:vAlign w:val="center"/>
            <w:hideMark/>
          </w:tcPr>
          <w:p w14:paraId="31C63BF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26,559,415.52</w:t>
            </w:r>
          </w:p>
        </w:tc>
      </w:tr>
      <w:tr w:rsidR="00C6733C" w14:paraId="554EEB08" w14:textId="77777777">
        <w:trPr>
          <w:trHeight w:val="555"/>
          <w:jc w:val="center"/>
        </w:trPr>
        <w:tc>
          <w:tcPr>
            <w:tcW w:w="6081" w:type="dxa"/>
            <w:tcBorders>
              <w:top w:val="nil"/>
              <w:left w:val="nil"/>
              <w:bottom w:val="nil"/>
              <w:right w:val="nil"/>
            </w:tcBorders>
            <w:shd w:val="clear" w:color="auto" w:fill="auto"/>
            <w:vAlign w:val="center"/>
            <w:hideMark/>
          </w:tcPr>
          <w:p w14:paraId="7E26633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jardinería y fumigación</w:t>
            </w:r>
          </w:p>
        </w:tc>
        <w:tc>
          <w:tcPr>
            <w:tcW w:w="1819" w:type="dxa"/>
            <w:tcBorders>
              <w:top w:val="nil"/>
              <w:left w:val="nil"/>
              <w:bottom w:val="nil"/>
              <w:right w:val="nil"/>
            </w:tcBorders>
            <w:shd w:val="clear" w:color="auto" w:fill="auto"/>
            <w:vAlign w:val="center"/>
            <w:hideMark/>
          </w:tcPr>
          <w:p w14:paraId="21B91B0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1,649,837.87</w:t>
            </w:r>
          </w:p>
        </w:tc>
      </w:tr>
      <w:tr w:rsidR="00C6733C" w14:paraId="4FA1A7B2" w14:textId="77777777">
        <w:trPr>
          <w:trHeight w:val="555"/>
          <w:jc w:val="center"/>
        </w:trPr>
        <w:tc>
          <w:tcPr>
            <w:tcW w:w="6081" w:type="dxa"/>
            <w:tcBorders>
              <w:top w:val="nil"/>
              <w:left w:val="nil"/>
              <w:bottom w:val="nil"/>
              <w:right w:val="nil"/>
            </w:tcBorders>
            <w:shd w:val="clear" w:color="auto" w:fill="auto"/>
            <w:vAlign w:val="center"/>
            <w:hideMark/>
          </w:tcPr>
          <w:p w14:paraId="4F9B65AD"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de comunicación social y publicidad</w:t>
            </w:r>
          </w:p>
        </w:tc>
        <w:tc>
          <w:tcPr>
            <w:tcW w:w="1819" w:type="dxa"/>
            <w:tcBorders>
              <w:top w:val="nil"/>
              <w:left w:val="nil"/>
              <w:bottom w:val="nil"/>
              <w:right w:val="nil"/>
            </w:tcBorders>
            <w:shd w:val="clear" w:color="auto" w:fill="auto"/>
            <w:vAlign w:val="center"/>
            <w:hideMark/>
          </w:tcPr>
          <w:p w14:paraId="17987A8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238,549,528.48</w:t>
            </w:r>
          </w:p>
        </w:tc>
      </w:tr>
      <w:tr w:rsidR="00C6733C" w14:paraId="05D5CD69" w14:textId="77777777">
        <w:trPr>
          <w:trHeight w:val="555"/>
          <w:jc w:val="center"/>
        </w:trPr>
        <w:tc>
          <w:tcPr>
            <w:tcW w:w="6081" w:type="dxa"/>
            <w:tcBorders>
              <w:top w:val="nil"/>
              <w:left w:val="nil"/>
              <w:bottom w:val="nil"/>
              <w:right w:val="nil"/>
            </w:tcBorders>
            <w:shd w:val="clear" w:color="auto" w:fill="auto"/>
            <w:vAlign w:val="center"/>
            <w:hideMark/>
          </w:tcPr>
          <w:p w14:paraId="07AB2DE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Difusión por radio, televisión y otros medios de </w:t>
            </w:r>
            <w:r>
              <w:rPr>
                <w:rFonts w:ascii="Arial" w:eastAsia="Times New Roman" w:hAnsi="Arial" w:cs="Arial"/>
                <w:color w:val="000000"/>
                <w:lang w:bidi="ar-SA"/>
              </w:rPr>
              <w:t>mensajes sobre programas y actividades gubernamentales</w:t>
            </w:r>
          </w:p>
        </w:tc>
        <w:tc>
          <w:tcPr>
            <w:tcW w:w="1819" w:type="dxa"/>
            <w:tcBorders>
              <w:top w:val="nil"/>
              <w:left w:val="nil"/>
              <w:bottom w:val="nil"/>
              <w:right w:val="nil"/>
            </w:tcBorders>
            <w:shd w:val="clear" w:color="auto" w:fill="auto"/>
            <w:vAlign w:val="center"/>
            <w:hideMark/>
          </w:tcPr>
          <w:p w14:paraId="4D0CF9B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200,977,700.04</w:t>
            </w:r>
          </w:p>
        </w:tc>
      </w:tr>
      <w:tr w:rsidR="00C6733C" w14:paraId="02B4FA00" w14:textId="77777777">
        <w:trPr>
          <w:trHeight w:val="555"/>
          <w:jc w:val="center"/>
        </w:trPr>
        <w:tc>
          <w:tcPr>
            <w:tcW w:w="6081" w:type="dxa"/>
            <w:tcBorders>
              <w:top w:val="nil"/>
              <w:left w:val="nil"/>
              <w:bottom w:val="nil"/>
              <w:right w:val="nil"/>
            </w:tcBorders>
            <w:shd w:val="clear" w:color="auto" w:fill="auto"/>
            <w:vAlign w:val="center"/>
            <w:hideMark/>
          </w:tcPr>
          <w:p w14:paraId="7635F16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creatividad,  preproducción y  producción de publicidad, excepto internet</w:t>
            </w:r>
          </w:p>
        </w:tc>
        <w:tc>
          <w:tcPr>
            <w:tcW w:w="1819" w:type="dxa"/>
            <w:tcBorders>
              <w:top w:val="nil"/>
              <w:left w:val="nil"/>
              <w:bottom w:val="nil"/>
              <w:right w:val="nil"/>
            </w:tcBorders>
            <w:shd w:val="clear" w:color="auto" w:fill="auto"/>
            <w:vAlign w:val="center"/>
            <w:hideMark/>
          </w:tcPr>
          <w:p w14:paraId="0E7A3E4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21,851,828.43</w:t>
            </w:r>
          </w:p>
        </w:tc>
      </w:tr>
      <w:tr w:rsidR="00C6733C" w14:paraId="79340F76" w14:textId="77777777">
        <w:trPr>
          <w:trHeight w:val="555"/>
          <w:jc w:val="center"/>
        </w:trPr>
        <w:tc>
          <w:tcPr>
            <w:tcW w:w="6081" w:type="dxa"/>
            <w:tcBorders>
              <w:top w:val="nil"/>
              <w:left w:val="nil"/>
              <w:bottom w:val="nil"/>
              <w:right w:val="nil"/>
            </w:tcBorders>
            <w:shd w:val="clear" w:color="auto" w:fill="auto"/>
            <w:vAlign w:val="center"/>
            <w:hideMark/>
          </w:tcPr>
          <w:p w14:paraId="73E7864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la industria fílmica, del sonido y del  video</w:t>
            </w:r>
          </w:p>
        </w:tc>
        <w:tc>
          <w:tcPr>
            <w:tcW w:w="1819" w:type="dxa"/>
            <w:tcBorders>
              <w:top w:val="nil"/>
              <w:left w:val="nil"/>
              <w:bottom w:val="nil"/>
              <w:right w:val="nil"/>
            </w:tcBorders>
            <w:shd w:val="clear" w:color="auto" w:fill="auto"/>
            <w:vAlign w:val="center"/>
            <w:hideMark/>
          </w:tcPr>
          <w:p w14:paraId="1418099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20,000.01</w:t>
            </w:r>
          </w:p>
        </w:tc>
      </w:tr>
      <w:tr w:rsidR="00C6733C" w14:paraId="7492ECE9" w14:textId="77777777">
        <w:trPr>
          <w:trHeight w:val="555"/>
          <w:jc w:val="center"/>
        </w:trPr>
        <w:tc>
          <w:tcPr>
            <w:tcW w:w="6081" w:type="dxa"/>
            <w:tcBorders>
              <w:top w:val="nil"/>
              <w:left w:val="nil"/>
              <w:bottom w:val="nil"/>
              <w:right w:val="nil"/>
            </w:tcBorders>
            <w:shd w:val="clear" w:color="auto" w:fill="auto"/>
            <w:vAlign w:val="center"/>
            <w:hideMark/>
          </w:tcPr>
          <w:p w14:paraId="5D42118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 de c</w:t>
            </w:r>
            <w:r>
              <w:rPr>
                <w:rFonts w:ascii="Arial" w:eastAsia="Times New Roman" w:hAnsi="Arial" w:cs="Arial"/>
                <w:color w:val="000000"/>
                <w:lang w:bidi="ar-SA"/>
              </w:rPr>
              <w:t>reación y difusión de contenido exclusivamente a través de internet</w:t>
            </w:r>
          </w:p>
        </w:tc>
        <w:tc>
          <w:tcPr>
            <w:tcW w:w="1819" w:type="dxa"/>
            <w:tcBorders>
              <w:top w:val="nil"/>
              <w:left w:val="nil"/>
              <w:bottom w:val="nil"/>
              <w:right w:val="nil"/>
            </w:tcBorders>
            <w:shd w:val="clear" w:color="auto" w:fill="auto"/>
            <w:vAlign w:val="center"/>
            <w:hideMark/>
          </w:tcPr>
          <w:p w14:paraId="4AA69AF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15,100,000.00</w:t>
            </w:r>
          </w:p>
        </w:tc>
      </w:tr>
      <w:tr w:rsidR="00C6733C" w14:paraId="0BD383F5" w14:textId="77777777">
        <w:trPr>
          <w:trHeight w:val="555"/>
          <w:jc w:val="center"/>
        </w:trPr>
        <w:tc>
          <w:tcPr>
            <w:tcW w:w="6081" w:type="dxa"/>
            <w:tcBorders>
              <w:top w:val="nil"/>
              <w:left w:val="nil"/>
              <w:bottom w:val="nil"/>
              <w:right w:val="nil"/>
            </w:tcBorders>
            <w:shd w:val="clear" w:color="auto" w:fill="auto"/>
            <w:vAlign w:val="center"/>
            <w:hideMark/>
          </w:tcPr>
          <w:p w14:paraId="43978CE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servicios de información</w:t>
            </w:r>
          </w:p>
        </w:tc>
        <w:tc>
          <w:tcPr>
            <w:tcW w:w="1819" w:type="dxa"/>
            <w:tcBorders>
              <w:top w:val="nil"/>
              <w:left w:val="nil"/>
              <w:bottom w:val="nil"/>
              <w:right w:val="nil"/>
            </w:tcBorders>
            <w:shd w:val="clear" w:color="auto" w:fill="auto"/>
            <w:vAlign w:val="center"/>
            <w:hideMark/>
          </w:tcPr>
          <w:p w14:paraId="2806115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600,000.00</w:t>
            </w:r>
          </w:p>
        </w:tc>
      </w:tr>
      <w:tr w:rsidR="00C6733C" w14:paraId="7C3131A3" w14:textId="77777777">
        <w:trPr>
          <w:trHeight w:val="555"/>
          <w:jc w:val="center"/>
        </w:trPr>
        <w:tc>
          <w:tcPr>
            <w:tcW w:w="6081" w:type="dxa"/>
            <w:tcBorders>
              <w:top w:val="nil"/>
              <w:left w:val="nil"/>
              <w:bottom w:val="nil"/>
              <w:right w:val="nil"/>
            </w:tcBorders>
            <w:shd w:val="clear" w:color="auto" w:fill="auto"/>
            <w:vAlign w:val="center"/>
            <w:hideMark/>
          </w:tcPr>
          <w:p w14:paraId="4C7A0992"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de traslado y viáticos</w:t>
            </w:r>
          </w:p>
        </w:tc>
        <w:tc>
          <w:tcPr>
            <w:tcW w:w="1819" w:type="dxa"/>
            <w:tcBorders>
              <w:top w:val="nil"/>
              <w:left w:val="nil"/>
              <w:bottom w:val="nil"/>
              <w:right w:val="nil"/>
            </w:tcBorders>
            <w:shd w:val="clear" w:color="auto" w:fill="auto"/>
            <w:vAlign w:val="center"/>
            <w:hideMark/>
          </w:tcPr>
          <w:p w14:paraId="00CE0F64"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36,644,231.50</w:t>
            </w:r>
          </w:p>
        </w:tc>
      </w:tr>
      <w:tr w:rsidR="00C6733C" w14:paraId="0CDE8DDC" w14:textId="77777777">
        <w:trPr>
          <w:trHeight w:val="555"/>
          <w:jc w:val="center"/>
        </w:trPr>
        <w:tc>
          <w:tcPr>
            <w:tcW w:w="6081" w:type="dxa"/>
            <w:tcBorders>
              <w:top w:val="nil"/>
              <w:left w:val="nil"/>
              <w:bottom w:val="nil"/>
              <w:right w:val="nil"/>
            </w:tcBorders>
            <w:shd w:val="clear" w:color="auto" w:fill="auto"/>
            <w:vAlign w:val="center"/>
            <w:hideMark/>
          </w:tcPr>
          <w:p w14:paraId="064A30E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Pasajes aéreos</w:t>
            </w:r>
          </w:p>
        </w:tc>
        <w:tc>
          <w:tcPr>
            <w:tcW w:w="1819" w:type="dxa"/>
            <w:tcBorders>
              <w:top w:val="nil"/>
              <w:left w:val="nil"/>
              <w:bottom w:val="nil"/>
              <w:right w:val="nil"/>
            </w:tcBorders>
            <w:shd w:val="clear" w:color="auto" w:fill="auto"/>
            <w:vAlign w:val="center"/>
            <w:hideMark/>
          </w:tcPr>
          <w:p w14:paraId="6742E88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8,361,176.64</w:t>
            </w:r>
          </w:p>
        </w:tc>
      </w:tr>
      <w:tr w:rsidR="00C6733C" w14:paraId="24BAFBC6" w14:textId="77777777">
        <w:trPr>
          <w:trHeight w:val="555"/>
          <w:jc w:val="center"/>
        </w:trPr>
        <w:tc>
          <w:tcPr>
            <w:tcW w:w="6081" w:type="dxa"/>
            <w:tcBorders>
              <w:top w:val="nil"/>
              <w:left w:val="nil"/>
              <w:bottom w:val="nil"/>
              <w:right w:val="nil"/>
            </w:tcBorders>
            <w:shd w:val="clear" w:color="auto" w:fill="auto"/>
            <w:vAlign w:val="center"/>
            <w:hideMark/>
          </w:tcPr>
          <w:p w14:paraId="50F4E11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Pasajes terrestres</w:t>
            </w:r>
          </w:p>
        </w:tc>
        <w:tc>
          <w:tcPr>
            <w:tcW w:w="1819" w:type="dxa"/>
            <w:tcBorders>
              <w:top w:val="nil"/>
              <w:left w:val="nil"/>
              <w:bottom w:val="nil"/>
              <w:right w:val="nil"/>
            </w:tcBorders>
            <w:shd w:val="clear" w:color="auto" w:fill="auto"/>
            <w:vAlign w:val="center"/>
            <w:hideMark/>
          </w:tcPr>
          <w:p w14:paraId="5D6C746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2,660,379.75</w:t>
            </w:r>
          </w:p>
        </w:tc>
      </w:tr>
      <w:tr w:rsidR="00C6733C" w14:paraId="598ECF8D" w14:textId="77777777">
        <w:trPr>
          <w:trHeight w:val="555"/>
          <w:jc w:val="center"/>
        </w:trPr>
        <w:tc>
          <w:tcPr>
            <w:tcW w:w="6081" w:type="dxa"/>
            <w:tcBorders>
              <w:top w:val="nil"/>
              <w:left w:val="nil"/>
              <w:bottom w:val="nil"/>
              <w:right w:val="nil"/>
            </w:tcBorders>
            <w:shd w:val="clear" w:color="auto" w:fill="auto"/>
            <w:vAlign w:val="center"/>
            <w:hideMark/>
          </w:tcPr>
          <w:p w14:paraId="345998A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Autotransporte</w:t>
            </w:r>
          </w:p>
        </w:tc>
        <w:tc>
          <w:tcPr>
            <w:tcW w:w="1819" w:type="dxa"/>
            <w:tcBorders>
              <w:top w:val="nil"/>
              <w:left w:val="nil"/>
              <w:bottom w:val="nil"/>
              <w:right w:val="nil"/>
            </w:tcBorders>
            <w:shd w:val="clear" w:color="auto" w:fill="auto"/>
            <w:vAlign w:val="center"/>
            <w:hideMark/>
          </w:tcPr>
          <w:p w14:paraId="6C42CBB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864,154.97</w:t>
            </w:r>
          </w:p>
        </w:tc>
      </w:tr>
      <w:tr w:rsidR="00C6733C" w14:paraId="66CFCD3F" w14:textId="77777777">
        <w:trPr>
          <w:trHeight w:val="555"/>
          <w:jc w:val="center"/>
        </w:trPr>
        <w:tc>
          <w:tcPr>
            <w:tcW w:w="6081" w:type="dxa"/>
            <w:tcBorders>
              <w:top w:val="nil"/>
              <w:left w:val="nil"/>
              <w:bottom w:val="nil"/>
              <w:right w:val="nil"/>
            </w:tcBorders>
            <w:shd w:val="clear" w:color="auto" w:fill="auto"/>
            <w:vAlign w:val="center"/>
            <w:hideMark/>
          </w:tcPr>
          <w:p w14:paraId="56BD2F8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Viáticos en el país</w:t>
            </w:r>
          </w:p>
        </w:tc>
        <w:tc>
          <w:tcPr>
            <w:tcW w:w="1819" w:type="dxa"/>
            <w:tcBorders>
              <w:top w:val="nil"/>
              <w:left w:val="nil"/>
              <w:bottom w:val="nil"/>
              <w:right w:val="nil"/>
            </w:tcBorders>
            <w:shd w:val="clear" w:color="auto" w:fill="auto"/>
            <w:vAlign w:val="center"/>
            <w:hideMark/>
          </w:tcPr>
          <w:p w14:paraId="32D66AE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20,580,474.53</w:t>
            </w:r>
          </w:p>
        </w:tc>
      </w:tr>
      <w:tr w:rsidR="00C6733C" w14:paraId="1F3093F3" w14:textId="77777777">
        <w:trPr>
          <w:trHeight w:val="555"/>
          <w:jc w:val="center"/>
        </w:trPr>
        <w:tc>
          <w:tcPr>
            <w:tcW w:w="6081" w:type="dxa"/>
            <w:tcBorders>
              <w:top w:val="nil"/>
              <w:left w:val="nil"/>
              <w:bottom w:val="nil"/>
              <w:right w:val="nil"/>
            </w:tcBorders>
            <w:shd w:val="clear" w:color="auto" w:fill="auto"/>
            <w:vAlign w:val="center"/>
            <w:hideMark/>
          </w:tcPr>
          <w:p w14:paraId="4D01E5F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Viáticos en el extranjero</w:t>
            </w:r>
          </w:p>
        </w:tc>
        <w:tc>
          <w:tcPr>
            <w:tcW w:w="1819" w:type="dxa"/>
            <w:tcBorders>
              <w:top w:val="nil"/>
              <w:left w:val="nil"/>
              <w:bottom w:val="nil"/>
              <w:right w:val="nil"/>
            </w:tcBorders>
            <w:shd w:val="clear" w:color="auto" w:fill="auto"/>
            <w:vAlign w:val="center"/>
            <w:hideMark/>
          </w:tcPr>
          <w:p w14:paraId="5CE02D2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1,207,800.00</w:t>
            </w:r>
          </w:p>
        </w:tc>
      </w:tr>
      <w:tr w:rsidR="00C6733C" w14:paraId="74B43071" w14:textId="77777777">
        <w:trPr>
          <w:trHeight w:val="555"/>
          <w:jc w:val="center"/>
        </w:trPr>
        <w:tc>
          <w:tcPr>
            <w:tcW w:w="6081" w:type="dxa"/>
            <w:tcBorders>
              <w:top w:val="nil"/>
              <w:left w:val="nil"/>
              <w:bottom w:val="nil"/>
              <w:right w:val="nil"/>
            </w:tcBorders>
            <w:shd w:val="clear" w:color="auto" w:fill="auto"/>
            <w:vAlign w:val="center"/>
            <w:hideMark/>
          </w:tcPr>
          <w:p w14:paraId="25A88AE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servicios de traslado y hospedaje</w:t>
            </w:r>
          </w:p>
        </w:tc>
        <w:tc>
          <w:tcPr>
            <w:tcW w:w="1819" w:type="dxa"/>
            <w:tcBorders>
              <w:top w:val="nil"/>
              <w:left w:val="nil"/>
              <w:bottom w:val="nil"/>
              <w:right w:val="nil"/>
            </w:tcBorders>
            <w:shd w:val="clear" w:color="auto" w:fill="auto"/>
            <w:vAlign w:val="center"/>
            <w:hideMark/>
          </w:tcPr>
          <w:p w14:paraId="4DE5672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2,970,245.61</w:t>
            </w:r>
          </w:p>
        </w:tc>
      </w:tr>
      <w:tr w:rsidR="00C6733C" w14:paraId="68D1C5BF" w14:textId="77777777">
        <w:trPr>
          <w:trHeight w:val="555"/>
          <w:jc w:val="center"/>
        </w:trPr>
        <w:tc>
          <w:tcPr>
            <w:tcW w:w="6081" w:type="dxa"/>
            <w:tcBorders>
              <w:top w:val="nil"/>
              <w:left w:val="nil"/>
              <w:bottom w:val="nil"/>
              <w:right w:val="nil"/>
            </w:tcBorders>
            <w:shd w:val="clear" w:color="auto" w:fill="auto"/>
            <w:vAlign w:val="center"/>
            <w:hideMark/>
          </w:tcPr>
          <w:p w14:paraId="3FB34BFF"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oficiales</w:t>
            </w:r>
          </w:p>
        </w:tc>
        <w:tc>
          <w:tcPr>
            <w:tcW w:w="1819" w:type="dxa"/>
            <w:tcBorders>
              <w:top w:val="nil"/>
              <w:left w:val="nil"/>
              <w:bottom w:val="nil"/>
              <w:right w:val="nil"/>
            </w:tcBorders>
            <w:shd w:val="clear" w:color="auto" w:fill="auto"/>
            <w:vAlign w:val="center"/>
            <w:hideMark/>
          </w:tcPr>
          <w:p w14:paraId="5C7753AC"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34,807,506.93</w:t>
            </w:r>
          </w:p>
        </w:tc>
      </w:tr>
      <w:tr w:rsidR="00C6733C" w14:paraId="2E2563F7" w14:textId="77777777">
        <w:trPr>
          <w:trHeight w:val="555"/>
          <w:jc w:val="center"/>
        </w:trPr>
        <w:tc>
          <w:tcPr>
            <w:tcW w:w="6081" w:type="dxa"/>
            <w:tcBorders>
              <w:top w:val="nil"/>
              <w:left w:val="nil"/>
              <w:bottom w:val="nil"/>
              <w:right w:val="nil"/>
            </w:tcBorders>
            <w:shd w:val="clear" w:color="auto" w:fill="auto"/>
            <w:vAlign w:val="center"/>
            <w:hideMark/>
          </w:tcPr>
          <w:p w14:paraId="529C2F8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Gastos de ceremonial</w:t>
            </w:r>
          </w:p>
        </w:tc>
        <w:tc>
          <w:tcPr>
            <w:tcW w:w="1819" w:type="dxa"/>
            <w:tcBorders>
              <w:top w:val="nil"/>
              <w:left w:val="nil"/>
              <w:bottom w:val="nil"/>
              <w:right w:val="nil"/>
            </w:tcBorders>
            <w:shd w:val="clear" w:color="auto" w:fill="auto"/>
            <w:vAlign w:val="center"/>
            <w:hideMark/>
          </w:tcPr>
          <w:p w14:paraId="4CD8A45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927,734.86</w:t>
            </w:r>
          </w:p>
        </w:tc>
      </w:tr>
      <w:tr w:rsidR="00C6733C" w14:paraId="73AE2C2E" w14:textId="77777777">
        <w:trPr>
          <w:trHeight w:val="555"/>
          <w:jc w:val="center"/>
        </w:trPr>
        <w:tc>
          <w:tcPr>
            <w:tcW w:w="6081" w:type="dxa"/>
            <w:tcBorders>
              <w:top w:val="nil"/>
              <w:left w:val="nil"/>
              <w:bottom w:val="nil"/>
              <w:right w:val="nil"/>
            </w:tcBorders>
            <w:shd w:val="clear" w:color="auto" w:fill="auto"/>
            <w:vAlign w:val="center"/>
            <w:hideMark/>
          </w:tcPr>
          <w:p w14:paraId="6B78C3B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Congresos y </w:t>
            </w:r>
            <w:r>
              <w:rPr>
                <w:rFonts w:ascii="Arial" w:eastAsia="Times New Roman" w:hAnsi="Arial" w:cs="Arial"/>
                <w:color w:val="000000"/>
                <w:lang w:bidi="ar-SA"/>
              </w:rPr>
              <w:t>convenciones</w:t>
            </w:r>
          </w:p>
        </w:tc>
        <w:tc>
          <w:tcPr>
            <w:tcW w:w="1819" w:type="dxa"/>
            <w:tcBorders>
              <w:top w:val="nil"/>
              <w:left w:val="nil"/>
              <w:bottom w:val="nil"/>
              <w:right w:val="nil"/>
            </w:tcBorders>
            <w:shd w:val="clear" w:color="auto" w:fill="auto"/>
            <w:vAlign w:val="center"/>
            <w:hideMark/>
          </w:tcPr>
          <w:p w14:paraId="12F8F3D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13,731,947.13</w:t>
            </w:r>
          </w:p>
        </w:tc>
      </w:tr>
      <w:tr w:rsidR="00C6733C" w14:paraId="06FB7A80" w14:textId="77777777">
        <w:trPr>
          <w:trHeight w:val="555"/>
          <w:jc w:val="center"/>
        </w:trPr>
        <w:tc>
          <w:tcPr>
            <w:tcW w:w="6081" w:type="dxa"/>
            <w:tcBorders>
              <w:top w:val="nil"/>
              <w:left w:val="nil"/>
              <w:bottom w:val="nil"/>
              <w:right w:val="nil"/>
            </w:tcBorders>
            <w:shd w:val="clear" w:color="auto" w:fill="auto"/>
            <w:vAlign w:val="center"/>
            <w:hideMark/>
          </w:tcPr>
          <w:p w14:paraId="7BE1D4B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Exposiciones</w:t>
            </w:r>
          </w:p>
        </w:tc>
        <w:tc>
          <w:tcPr>
            <w:tcW w:w="1819" w:type="dxa"/>
            <w:tcBorders>
              <w:top w:val="nil"/>
              <w:left w:val="nil"/>
              <w:bottom w:val="nil"/>
              <w:right w:val="nil"/>
            </w:tcBorders>
            <w:shd w:val="clear" w:color="auto" w:fill="auto"/>
            <w:vAlign w:val="center"/>
            <w:hideMark/>
          </w:tcPr>
          <w:p w14:paraId="21A9B7C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20,010,224.94</w:t>
            </w:r>
          </w:p>
        </w:tc>
      </w:tr>
      <w:tr w:rsidR="00C6733C" w14:paraId="21E0BC2B" w14:textId="77777777">
        <w:trPr>
          <w:trHeight w:val="555"/>
          <w:jc w:val="center"/>
        </w:trPr>
        <w:tc>
          <w:tcPr>
            <w:tcW w:w="6081" w:type="dxa"/>
            <w:tcBorders>
              <w:top w:val="nil"/>
              <w:left w:val="nil"/>
              <w:bottom w:val="nil"/>
              <w:right w:val="nil"/>
            </w:tcBorders>
            <w:shd w:val="clear" w:color="auto" w:fill="auto"/>
            <w:vAlign w:val="center"/>
            <w:hideMark/>
          </w:tcPr>
          <w:p w14:paraId="78973EF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Gastos de representación</w:t>
            </w:r>
          </w:p>
        </w:tc>
        <w:tc>
          <w:tcPr>
            <w:tcW w:w="1819" w:type="dxa"/>
            <w:tcBorders>
              <w:top w:val="nil"/>
              <w:left w:val="nil"/>
              <w:bottom w:val="nil"/>
              <w:right w:val="nil"/>
            </w:tcBorders>
            <w:shd w:val="clear" w:color="auto" w:fill="auto"/>
            <w:vAlign w:val="center"/>
            <w:hideMark/>
          </w:tcPr>
          <w:p w14:paraId="5D585C7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137,600.00</w:t>
            </w:r>
          </w:p>
        </w:tc>
      </w:tr>
      <w:tr w:rsidR="00C6733C" w14:paraId="6F7366E6" w14:textId="77777777">
        <w:trPr>
          <w:trHeight w:val="555"/>
          <w:jc w:val="center"/>
        </w:trPr>
        <w:tc>
          <w:tcPr>
            <w:tcW w:w="6081" w:type="dxa"/>
            <w:tcBorders>
              <w:top w:val="nil"/>
              <w:left w:val="nil"/>
              <w:bottom w:val="nil"/>
              <w:right w:val="nil"/>
            </w:tcBorders>
            <w:shd w:val="clear" w:color="auto" w:fill="auto"/>
            <w:vAlign w:val="center"/>
            <w:hideMark/>
          </w:tcPr>
          <w:p w14:paraId="459F7D2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Otros servicios generales</w:t>
            </w:r>
          </w:p>
        </w:tc>
        <w:tc>
          <w:tcPr>
            <w:tcW w:w="1819" w:type="dxa"/>
            <w:tcBorders>
              <w:top w:val="nil"/>
              <w:left w:val="nil"/>
              <w:bottom w:val="nil"/>
              <w:right w:val="nil"/>
            </w:tcBorders>
            <w:shd w:val="clear" w:color="auto" w:fill="auto"/>
            <w:vAlign w:val="center"/>
            <w:hideMark/>
          </w:tcPr>
          <w:p w14:paraId="129168EF"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141,504,302.79</w:t>
            </w:r>
          </w:p>
        </w:tc>
      </w:tr>
      <w:tr w:rsidR="00C6733C" w14:paraId="2956F8F5" w14:textId="77777777">
        <w:trPr>
          <w:trHeight w:val="555"/>
          <w:jc w:val="center"/>
        </w:trPr>
        <w:tc>
          <w:tcPr>
            <w:tcW w:w="6081" w:type="dxa"/>
            <w:tcBorders>
              <w:top w:val="nil"/>
              <w:left w:val="nil"/>
              <w:bottom w:val="nil"/>
              <w:right w:val="nil"/>
            </w:tcBorders>
            <w:shd w:val="clear" w:color="auto" w:fill="auto"/>
            <w:vAlign w:val="center"/>
            <w:hideMark/>
          </w:tcPr>
          <w:p w14:paraId="393F69B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funerarios y de  cementerios</w:t>
            </w:r>
          </w:p>
        </w:tc>
        <w:tc>
          <w:tcPr>
            <w:tcW w:w="1819" w:type="dxa"/>
            <w:tcBorders>
              <w:top w:val="nil"/>
              <w:left w:val="nil"/>
              <w:bottom w:val="nil"/>
              <w:right w:val="nil"/>
            </w:tcBorders>
            <w:shd w:val="clear" w:color="auto" w:fill="auto"/>
            <w:vAlign w:val="center"/>
            <w:hideMark/>
          </w:tcPr>
          <w:p w14:paraId="50C8259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62,400.00</w:t>
            </w:r>
          </w:p>
        </w:tc>
      </w:tr>
      <w:tr w:rsidR="00C6733C" w14:paraId="707C59F7" w14:textId="77777777">
        <w:trPr>
          <w:trHeight w:val="555"/>
          <w:jc w:val="center"/>
        </w:trPr>
        <w:tc>
          <w:tcPr>
            <w:tcW w:w="6081" w:type="dxa"/>
            <w:tcBorders>
              <w:top w:val="nil"/>
              <w:left w:val="nil"/>
              <w:bottom w:val="nil"/>
              <w:right w:val="nil"/>
            </w:tcBorders>
            <w:shd w:val="clear" w:color="auto" w:fill="auto"/>
            <w:vAlign w:val="center"/>
            <w:hideMark/>
          </w:tcPr>
          <w:p w14:paraId="0899A67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Impuestos y derechos</w:t>
            </w:r>
          </w:p>
        </w:tc>
        <w:tc>
          <w:tcPr>
            <w:tcW w:w="1819" w:type="dxa"/>
            <w:tcBorders>
              <w:top w:val="nil"/>
              <w:left w:val="nil"/>
              <w:bottom w:val="nil"/>
              <w:right w:val="nil"/>
            </w:tcBorders>
            <w:shd w:val="clear" w:color="auto" w:fill="auto"/>
            <w:vAlign w:val="center"/>
            <w:hideMark/>
          </w:tcPr>
          <w:p w14:paraId="09933C4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19,266,700.85</w:t>
            </w:r>
          </w:p>
        </w:tc>
      </w:tr>
      <w:tr w:rsidR="00C6733C" w14:paraId="39A3880B" w14:textId="77777777">
        <w:trPr>
          <w:trHeight w:val="555"/>
          <w:jc w:val="center"/>
        </w:trPr>
        <w:tc>
          <w:tcPr>
            <w:tcW w:w="6081" w:type="dxa"/>
            <w:tcBorders>
              <w:top w:val="nil"/>
              <w:left w:val="nil"/>
              <w:bottom w:val="nil"/>
              <w:right w:val="nil"/>
            </w:tcBorders>
            <w:shd w:val="clear" w:color="auto" w:fill="auto"/>
            <w:vAlign w:val="center"/>
            <w:hideMark/>
          </w:tcPr>
          <w:p w14:paraId="6D94415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Impuesto sobre nóminas y otros </w:t>
            </w:r>
            <w:r>
              <w:rPr>
                <w:rFonts w:ascii="Arial" w:eastAsia="Times New Roman" w:hAnsi="Arial" w:cs="Arial"/>
                <w:color w:val="000000"/>
                <w:lang w:bidi="ar-SA"/>
              </w:rPr>
              <w:t>que se deriven de una relación laboral</w:t>
            </w:r>
          </w:p>
        </w:tc>
        <w:tc>
          <w:tcPr>
            <w:tcW w:w="1819" w:type="dxa"/>
            <w:tcBorders>
              <w:top w:val="nil"/>
              <w:left w:val="nil"/>
              <w:bottom w:val="nil"/>
              <w:right w:val="nil"/>
            </w:tcBorders>
            <w:shd w:val="clear" w:color="auto" w:fill="auto"/>
            <w:vAlign w:val="center"/>
            <w:hideMark/>
          </w:tcPr>
          <w:p w14:paraId="6B9B233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121,851,201.94</w:t>
            </w:r>
          </w:p>
        </w:tc>
      </w:tr>
      <w:tr w:rsidR="00C6733C" w14:paraId="3E3234D5" w14:textId="77777777">
        <w:trPr>
          <w:trHeight w:val="555"/>
          <w:jc w:val="center"/>
        </w:trPr>
        <w:tc>
          <w:tcPr>
            <w:tcW w:w="6081" w:type="dxa"/>
            <w:tcBorders>
              <w:top w:val="nil"/>
              <w:left w:val="nil"/>
              <w:bottom w:val="nil"/>
              <w:right w:val="nil"/>
            </w:tcBorders>
            <w:shd w:val="clear" w:color="auto" w:fill="auto"/>
            <w:vAlign w:val="center"/>
            <w:hideMark/>
          </w:tcPr>
          <w:p w14:paraId="51A6E05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servicios generales</w:t>
            </w:r>
          </w:p>
        </w:tc>
        <w:tc>
          <w:tcPr>
            <w:tcW w:w="1819" w:type="dxa"/>
            <w:tcBorders>
              <w:top w:val="nil"/>
              <w:left w:val="nil"/>
              <w:bottom w:val="nil"/>
              <w:right w:val="nil"/>
            </w:tcBorders>
            <w:shd w:val="clear" w:color="auto" w:fill="auto"/>
            <w:vAlign w:val="center"/>
            <w:hideMark/>
          </w:tcPr>
          <w:p w14:paraId="09F95B5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324,000.00</w:t>
            </w:r>
          </w:p>
        </w:tc>
      </w:tr>
      <w:tr w:rsidR="00C6733C" w14:paraId="28A39B7B" w14:textId="77777777">
        <w:trPr>
          <w:trHeight w:val="555"/>
          <w:jc w:val="center"/>
        </w:trPr>
        <w:tc>
          <w:tcPr>
            <w:tcW w:w="6081" w:type="dxa"/>
            <w:tcBorders>
              <w:top w:val="nil"/>
              <w:left w:val="nil"/>
              <w:bottom w:val="nil"/>
              <w:right w:val="nil"/>
            </w:tcBorders>
            <w:shd w:val="clear" w:color="auto" w:fill="auto"/>
            <w:vAlign w:val="center"/>
            <w:hideMark/>
          </w:tcPr>
          <w:p w14:paraId="27219E8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ASIGNACIONES, SUBSIDIOS Y OTRAS AYUDAS</w:t>
            </w:r>
          </w:p>
        </w:tc>
        <w:tc>
          <w:tcPr>
            <w:tcW w:w="1819" w:type="dxa"/>
            <w:tcBorders>
              <w:top w:val="nil"/>
              <w:left w:val="nil"/>
              <w:bottom w:val="nil"/>
              <w:right w:val="nil"/>
            </w:tcBorders>
            <w:shd w:val="clear" w:color="auto" w:fill="auto"/>
            <w:vAlign w:val="center"/>
            <w:hideMark/>
          </w:tcPr>
          <w:p w14:paraId="4FCA8D82"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45,630,840,069.87</w:t>
            </w:r>
          </w:p>
        </w:tc>
      </w:tr>
      <w:tr w:rsidR="00C6733C" w14:paraId="1ABB5E3B" w14:textId="77777777">
        <w:trPr>
          <w:trHeight w:val="555"/>
          <w:jc w:val="center"/>
        </w:trPr>
        <w:tc>
          <w:tcPr>
            <w:tcW w:w="6081" w:type="dxa"/>
            <w:tcBorders>
              <w:top w:val="nil"/>
              <w:left w:val="nil"/>
              <w:bottom w:val="nil"/>
              <w:right w:val="nil"/>
            </w:tcBorders>
            <w:shd w:val="clear" w:color="auto" w:fill="auto"/>
            <w:vAlign w:val="center"/>
            <w:hideMark/>
          </w:tcPr>
          <w:p w14:paraId="27907CB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internas y asignaciones al sector público</w:t>
            </w:r>
          </w:p>
        </w:tc>
        <w:tc>
          <w:tcPr>
            <w:tcW w:w="1819" w:type="dxa"/>
            <w:tcBorders>
              <w:top w:val="nil"/>
              <w:left w:val="nil"/>
              <w:bottom w:val="nil"/>
              <w:right w:val="nil"/>
            </w:tcBorders>
            <w:shd w:val="clear" w:color="auto" w:fill="auto"/>
            <w:vAlign w:val="center"/>
            <w:hideMark/>
          </w:tcPr>
          <w:p w14:paraId="6D0CAFA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44,814,290,143.69</w:t>
            </w:r>
          </w:p>
        </w:tc>
      </w:tr>
      <w:tr w:rsidR="00C6733C" w14:paraId="5FD77D71" w14:textId="77777777">
        <w:trPr>
          <w:trHeight w:val="555"/>
          <w:jc w:val="center"/>
        </w:trPr>
        <w:tc>
          <w:tcPr>
            <w:tcW w:w="6081" w:type="dxa"/>
            <w:tcBorders>
              <w:top w:val="nil"/>
              <w:left w:val="nil"/>
              <w:bottom w:val="nil"/>
              <w:right w:val="nil"/>
            </w:tcBorders>
            <w:shd w:val="clear" w:color="auto" w:fill="auto"/>
            <w:vAlign w:val="center"/>
            <w:hideMark/>
          </w:tcPr>
          <w:p w14:paraId="211AB8B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Asignaciones presupuestarias al Poder Ejecutivo</w:t>
            </w:r>
          </w:p>
        </w:tc>
        <w:tc>
          <w:tcPr>
            <w:tcW w:w="1819" w:type="dxa"/>
            <w:tcBorders>
              <w:top w:val="nil"/>
              <w:left w:val="nil"/>
              <w:bottom w:val="nil"/>
              <w:right w:val="nil"/>
            </w:tcBorders>
            <w:shd w:val="clear" w:color="auto" w:fill="auto"/>
            <w:vAlign w:val="center"/>
            <w:hideMark/>
          </w:tcPr>
          <w:p w14:paraId="192C9ED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41,412,410,735.66</w:t>
            </w:r>
          </w:p>
        </w:tc>
      </w:tr>
      <w:tr w:rsidR="00C6733C" w14:paraId="6DE606FB" w14:textId="77777777">
        <w:trPr>
          <w:trHeight w:val="555"/>
          <w:jc w:val="center"/>
        </w:trPr>
        <w:tc>
          <w:tcPr>
            <w:tcW w:w="6081" w:type="dxa"/>
            <w:tcBorders>
              <w:top w:val="nil"/>
              <w:left w:val="nil"/>
              <w:bottom w:val="nil"/>
              <w:right w:val="nil"/>
            </w:tcBorders>
            <w:shd w:val="clear" w:color="auto" w:fill="auto"/>
            <w:vAlign w:val="center"/>
            <w:hideMark/>
          </w:tcPr>
          <w:p w14:paraId="68F44D3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Asignaciones presupuestarias al Poder Legislativo</w:t>
            </w:r>
          </w:p>
        </w:tc>
        <w:tc>
          <w:tcPr>
            <w:tcW w:w="1819" w:type="dxa"/>
            <w:tcBorders>
              <w:top w:val="nil"/>
              <w:left w:val="nil"/>
              <w:bottom w:val="nil"/>
              <w:right w:val="nil"/>
            </w:tcBorders>
            <w:shd w:val="clear" w:color="auto" w:fill="auto"/>
            <w:vAlign w:val="center"/>
            <w:hideMark/>
          </w:tcPr>
          <w:p w14:paraId="7F43FA4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515,065,740.60</w:t>
            </w:r>
          </w:p>
        </w:tc>
      </w:tr>
      <w:tr w:rsidR="00C6733C" w14:paraId="3F66AD96" w14:textId="77777777">
        <w:trPr>
          <w:trHeight w:val="555"/>
          <w:jc w:val="center"/>
        </w:trPr>
        <w:tc>
          <w:tcPr>
            <w:tcW w:w="6081" w:type="dxa"/>
            <w:tcBorders>
              <w:top w:val="nil"/>
              <w:left w:val="nil"/>
              <w:bottom w:val="nil"/>
              <w:right w:val="nil"/>
            </w:tcBorders>
            <w:shd w:val="clear" w:color="auto" w:fill="auto"/>
            <w:vAlign w:val="center"/>
            <w:hideMark/>
          </w:tcPr>
          <w:p w14:paraId="2CA6AF3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Asignaciones presupuestarias al Poder Judicial</w:t>
            </w:r>
          </w:p>
        </w:tc>
        <w:tc>
          <w:tcPr>
            <w:tcW w:w="1819" w:type="dxa"/>
            <w:tcBorders>
              <w:top w:val="nil"/>
              <w:left w:val="nil"/>
              <w:bottom w:val="nil"/>
              <w:right w:val="nil"/>
            </w:tcBorders>
            <w:shd w:val="clear" w:color="auto" w:fill="auto"/>
            <w:vAlign w:val="center"/>
            <w:hideMark/>
          </w:tcPr>
          <w:p w14:paraId="119C975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898,866,255.04</w:t>
            </w:r>
          </w:p>
        </w:tc>
      </w:tr>
      <w:tr w:rsidR="00C6733C" w14:paraId="41DB8634" w14:textId="77777777">
        <w:trPr>
          <w:trHeight w:val="555"/>
          <w:jc w:val="center"/>
        </w:trPr>
        <w:tc>
          <w:tcPr>
            <w:tcW w:w="6081" w:type="dxa"/>
            <w:tcBorders>
              <w:top w:val="nil"/>
              <w:left w:val="nil"/>
              <w:bottom w:val="nil"/>
              <w:right w:val="nil"/>
            </w:tcBorders>
            <w:shd w:val="clear" w:color="auto" w:fill="auto"/>
            <w:vAlign w:val="center"/>
            <w:hideMark/>
          </w:tcPr>
          <w:p w14:paraId="611E2A2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Asignaciones </w:t>
            </w:r>
            <w:r>
              <w:rPr>
                <w:rFonts w:ascii="Arial" w:eastAsia="Times New Roman" w:hAnsi="Arial" w:cs="Arial"/>
                <w:color w:val="000000"/>
                <w:lang w:bidi="ar-SA"/>
              </w:rPr>
              <w:t>presupuestarias a Órganos Autónomos</w:t>
            </w:r>
          </w:p>
        </w:tc>
        <w:tc>
          <w:tcPr>
            <w:tcW w:w="1819" w:type="dxa"/>
            <w:tcBorders>
              <w:top w:val="nil"/>
              <w:left w:val="nil"/>
              <w:bottom w:val="nil"/>
              <w:right w:val="nil"/>
            </w:tcBorders>
            <w:shd w:val="clear" w:color="auto" w:fill="auto"/>
            <w:vAlign w:val="center"/>
            <w:hideMark/>
          </w:tcPr>
          <w:p w14:paraId="5D452CF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1,987,947,412.39</w:t>
            </w:r>
          </w:p>
        </w:tc>
      </w:tr>
      <w:tr w:rsidR="00C6733C" w14:paraId="73955E9F" w14:textId="77777777">
        <w:trPr>
          <w:trHeight w:val="555"/>
          <w:jc w:val="center"/>
        </w:trPr>
        <w:tc>
          <w:tcPr>
            <w:tcW w:w="6081" w:type="dxa"/>
            <w:tcBorders>
              <w:top w:val="nil"/>
              <w:left w:val="nil"/>
              <w:bottom w:val="nil"/>
              <w:right w:val="nil"/>
            </w:tcBorders>
            <w:shd w:val="clear" w:color="auto" w:fill="auto"/>
            <w:vAlign w:val="center"/>
            <w:hideMark/>
          </w:tcPr>
          <w:p w14:paraId="1DB85DBF"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al resto del sector público</w:t>
            </w:r>
          </w:p>
        </w:tc>
        <w:tc>
          <w:tcPr>
            <w:tcW w:w="1819" w:type="dxa"/>
            <w:tcBorders>
              <w:top w:val="nil"/>
              <w:left w:val="nil"/>
              <w:bottom w:val="nil"/>
              <w:right w:val="nil"/>
            </w:tcBorders>
            <w:shd w:val="clear" w:color="auto" w:fill="auto"/>
            <w:vAlign w:val="center"/>
            <w:hideMark/>
          </w:tcPr>
          <w:p w14:paraId="44F12E98"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0.00</w:t>
            </w:r>
          </w:p>
        </w:tc>
      </w:tr>
      <w:tr w:rsidR="00C6733C" w14:paraId="06972B3F" w14:textId="77777777">
        <w:trPr>
          <w:trHeight w:val="555"/>
          <w:jc w:val="center"/>
        </w:trPr>
        <w:tc>
          <w:tcPr>
            <w:tcW w:w="6081" w:type="dxa"/>
            <w:tcBorders>
              <w:top w:val="nil"/>
              <w:left w:val="nil"/>
              <w:bottom w:val="nil"/>
              <w:right w:val="nil"/>
            </w:tcBorders>
            <w:shd w:val="clear" w:color="auto" w:fill="auto"/>
            <w:vAlign w:val="center"/>
            <w:hideMark/>
          </w:tcPr>
          <w:p w14:paraId="445BFF0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Transferencias otorgadas a entidades federativas y municipios</w:t>
            </w:r>
          </w:p>
        </w:tc>
        <w:tc>
          <w:tcPr>
            <w:tcW w:w="1819" w:type="dxa"/>
            <w:tcBorders>
              <w:top w:val="nil"/>
              <w:left w:val="nil"/>
              <w:bottom w:val="nil"/>
              <w:right w:val="nil"/>
            </w:tcBorders>
            <w:shd w:val="clear" w:color="auto" w:fill="auto"/>
            <w:vAlign w:val="center"/>
            <w:hideMark/>
          </w:tcPr>
          <w:p w14:paraId="1854C1B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10C05FAF" w14:textId="77777777">
        <w:trPr>
          <w:trHeight w:val="555"/>
          <w:jc w:val="center"/>
        </w:trPr>
        <w:tc>
          <w:tcPr>
            <w:tcW w:w="6081" w:type="dxa"/>
            <w:tcBorders>
              <w:top w:val="nil"/>
              <w:left w:val="nil"/>
              <w:bottom w:val="nil"/>
              <w:right w:val="nil"/>
            </w:tcBorders>
            <w:shd w:val="clear" w:color="auto" w:fill="auto"/>
            <w:vAlign w:val="center"/>
            <w:hideMark/>
          </w:tcPr>
          <w:p w14:paraId="7062CD1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Ayudas sociales</w:t>
            </w:r>
          </w:p>
        </w:tc>
        <w:tc>
          <w:tcPr>
            <w:tcW w:w="1819" w:type="dxa"/>
            <w:tcBorders>
              <w:top w:val="nil"/>
              <w:left w:val="nil"/>
              <w:bottom w:val="nil"/>
              <w:right w:val="nil"/>
            </w:tcBorders>
            <w:shd w:val="clear" w:color="auto" w:fill="auto"/>
            <w:vAlign w:val="center"/>
            <w:hideMark/>
          </w:tcPr>
          <w:p w14:paraId="196347A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237,402,190.60</w:t>
            </w:r>
          </w:p>
        </w:tc>
      </w:tr>
      <w:tr w:rsidR="00C6733C" w14:paraId="1A6717F1" w14:textId="77777777">
        <w:trPr>
          <w:trHeight w:val="555"/>
          <w:jc w:val="center"/>
        </w:trPr>
        <w:tc>
          <w:tcPr>
            <w:tcW w:w="6081" w:type="dxa"/>
            <w:tcBorders>
              <w:top w:val="nil"/>
              <w:left w:val="nil"/>
              <w:bottom w:val="nil"/>
              <w:right w:val="nil"/>
            </w:tcBorders>
            <w:shd w:val="clear" w:color="auto" w:fill="auto"/>
            <w:vAlign w:val="center"/>
            <w:hideMark/>
          </w:tcPr>
          <w:p w14:paraId="3F236EC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Ayudas sociales a personas</w:t>
            </w:r>
          </w:p>
        </w:tc>
        <w:tc>
          <w:tcPr>
            <w:tcW w:w="1819" w:type="dxa"/>
            <w:tcBorders>
              <w:top w:val="nil"/>
              <w:left w:val="nil"/>
              <w:bottom w:val="nil"/>
              <w:right w:val="nil"/>
            </w:tcBorders>
            <w:shd w:val="clear" w:color="auto" w:fill="auto"/>
            <w:vAlign w:val="center"/>
            <w:hideMark/>
          </w:tcPr>
          <w:p w14:paraId="4D5D969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68,051,359.96</w:t>
            </w:r>
          </w:p>
        </w:tc>
      </w:tr>
      <w:tr w:rsidR="00C6733C" w14:paraId="7E7FCBA1" w14:textId="77777777">
        <w:trPr>
          <w:trHeight w:val="555"/>
          <w:jc w:val="center"/>
        </w:trPr>
        <w:tc>
          <w:tcPr>
            <w:tcW w:w="6081" w:type="dxa"/>
            <w:tcBorders>
              <w:top w:val="nil"/>
              <w:left w:val="nil"/>
              <w:bottom w:val="nil"/>
              <w:right w:val="nil"/>
            </w:tcBorders>
            <w:shd w:val="clear" w:color="auto" w:fill="auto"/>
            <w:vAlign w:val="center"/>
            <w:hideMark/>
          </w:tcPr>
          <w:p w14:paraId="000E406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Becas y </w:t>
            </w:r>
            <w:r>
              <w:rPr>
                <w:rFonts w:ascii="Arial" w:eastAsia="Times New Roman" w:hAnsi="Arial" w:cs="Arial"/>
                <w:color w:val="000000"/>
                <w:lang w:bidi="ar-SA"/>
              </w:rPr>
              <w:t>otras ayudas para programas de capacitación</w:t>
            </w:r>
          </w:p>
        </w:tc>
        <w:tc>
          <w:tcPr>
            <w:tcW w:w="1819" w:type="dxa"/>
            <w:tcBorders>
              <w:top w:val="nil"/>
              <w:left w:val="nil"/>
              <w:bottom w:val="nil"/>
              <w:right w:val="nil"/>
            </w:tcBorders>
            <w:shd w:val="clear" w:color="auto" w:fill="auto"/>
            <w:vAlign w:val="center"/>
            <w:hideMark/>
          </w:tcPr>
          <w:p w14:paraId="3DC9B70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2,064,095.50</w:t>
            </w:r>
          </w:p>
        </w:tc>
      </w:tr>
      <w:tr w:rsidR="00C6733C" w14:paraId="594DF9E1" w14:textId="77777777">
        <w:trPr>
          <w:trHeight w:val="555"/>
          <w:jc w:val="center"/>
        </w:trPr>
        <w:tc>
          <w:tcPr>
            <w:tcW w:w="6081" w:type="dxa"/>
            <w:tcBorders>
              <w:top w:val="nil"/>
              <w:left w:val="nil"/>
              <w:bottom w:val="nil"/>
              <w:right w:val="nil"/>
            </w:tcBorders>
            <w:shd w:val="clear" w:color="auto" w:fill="auto"/>
            <w:vAlign w:val="center"/>
            <w:hideMark/>
          </w:tcPr>
          <w:p w14:paraId="07B3D48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Ayudas sociales a instituciones de enseñanza</w:t>
            </w:r>
          </w:p>
        </w:tc>
        <w:tc>
          <w:tcPr>
            <w:tcW w:w="1819" w:type="dxa"/>
            <w:tcBorders>
              <w:top w:val="nil"/>
              <w:left w:val="nil"/>
              <w:bottom w:val="nil"/>
              <w:right w:val="nil"/>
            </w:tcBorders>
            <w:shd w:val="clear" w:color="auto" w:fill="auto"/>
            <w:vAlign w:val="center"/>
            <w:hideMark/>
          </w:tcPr>
          <w:p w14:paraId="18ED0E6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7C32C58B" w14:textId="77777777">
        <w:trPr>
          <w:trHeight w:val="555"/>
          <w:jc w:val="center"/>
        </w:trPr>
        <w:tc>
          <w:tcPr>
            <w:tcW w:w="6081" w:type="dxa"/>
            <w:tcBorders>
              <w:top w:val="nil"/>
              <w:left w:val="nil"/>
              <w:bottom w:val="nil"/>
              <w:right w:val="nil"/>
            </w:tcBorders>
            <w:shd w:val="clear" w:color="auto" w:fill="auto"/>
            <w:vAlign w:val="center"/>
            <w:hideMark/>
          </w:tcPr>
          <w:p w14:paraId="1F7807A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Ayudas sociales a entidades de interés público</w:t>
            </w:r>
          </w:p>
        </w:tc>
        <w:tc>
          <w:tcPr>
            <w:tcW w:w="1819" w:type="dxa"/>
            <w:tcBorders>
              <w:top w:val="nil"/>
              <w:left w:val="nil"/>
              <w:bottom w:val="nil"/>
              <w:right w:val="nil"/>
            </w:tcBorders>
            <w:shd w:val="clear" w:color="auto" w:fill="auto"/>
            <w:vAlign w:val="center"/>
            <w:hideMark/>
          </w:tcPr>
          <w:p w14:paraId="5AC96BA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164,286,735.14</w:t>
            </w:r>
          </w:p>
        </w:tc>
      </w:tr>
      <w:tr w:rsidR="00C6733C" w14:paraId="26842474" w14:textId="77777777">
        <w:trPr>
          <w:trHeight w:val="555"/>
          <w:jc w:val="center"/>
        </w:trPr>
        <w:tc>
          <w:tcPr>
            <w:tcW w:w="6081" w:type="dxa"/>
            <w:tcBorders>
              <w:top w:val="nil"/>
              <w:left w:val="nil"/>
              <w:bottom w:val="nil"/>
              <w:right w:val="nil"/>
            </w:tcBorders>
            <w:shd w:val="clear" w:color="auto" w:fill="auto"/>
            <w:vAlign w:val="center"/>
            <w:hideMark/>
          </w:tcPr>
          <w:p w14:paraId="42D15F5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Ayudas por desastres naturales y otros siniestros</w:t>
            </w:r>
          </w:p>
        </w:tc>
        <w:tc>
          <w:tcPr>
            <w:tcW w:w="1819" w:type="dxa"/>
            <w:tcBorders>
              <w:top w:val="nil"/>
              <w:left w:val="nil"/>
              <w:bottom w:val="nil"/>
              <w:right w:val="nil"/>
            </w:tcBorders>
            <w:shd w:val="clear" w:color="auto" w:fill="auto"/>
            <w:vAlign w:val="center"/>
            <w:hideMark/>
          </w:tcPr>
          <w:p w14:paraId="754300D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3,000,000.00</w:t>
            </w:r>
          </w:p>
        </w:tc>
      </w:tr>
      <w:tr w:rsidR="00C6733C" w14:paraId="726ADB30" w14:textId="77777777">
        <w:trPr>
          <w:trHeight w:val="555"/>
          <w:jc w:val="center"/>
        </w:trPr>
        <w:tc>
          <w:tcPr>
            <w:tcW w:w="6081" w:type="dxa"/>
            <w:tcBorders>
              <w:top w:val="nil"/>
              <w:left w:val="nil"/>
              <w:bottom w:val="nil"/>
              <w:right w:val="nil"/>
            </w:tcBorders>
            <w:shd w:val="clear" w:color="auto" w:fill="auto"/>
            <w:vAlign w:val="center"/>
            <w:hideMark/>
          </w:tcPr>
          <w:p w14:paraId="367742CB"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Pensiones y jubilaci</w:t>
            </w:r>
            <w:r>
              <w:rPr>
                <w:rFonts w:ascii="Arial" w:eastAsia="Times New Roman" w:hAnsi="Arial" w:cs="Arial"/>
                <w:b/>
                <w:bCs/>
                <w:color w:val="000000"/>
                <w:lang w:bidi="ar-SA"/>
              </w:rPr>
              <w:t>ones</w:t>
            </w:r>
          </w:p>
        </w:tc>
        <w:tc>
          <w:tcPr>
            <w:tcW w:w="1819" w:type="dxa"/>
            <w:tcBorders>
              <w:top w:val="nil"/>
              <w:left w:val="nil"/>
              <w:bottom w:val="nil"/>
              <w:right w:val="nil"/>
            </w:tcBorders>
            <w:shd w:val="clear" w:color="auto" w:fill="auto"/>
            <w:vAlign w:val="center"/>
            <w:hideMark/>
          </w:tcPr>
          <w:p w14:paraId="184A389F"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514,739,181.30</w:t>
            </w:r>
          </w:p>
        </w:tc>
      </w:tr>
      <w:tr w:rsidR="00C6733C" w14:paraId="39D954D8" w14:textId="77777777">
        <w:trPr>
          <w:trHeight w:val="555"/>
          <w:jc w:val="center"/>
        </w:trPr>
        <w:tc>
          <w:tcPr>
            <w:tcW w:w="6081" w:type="dxa"/>
            <w:tcBorders>
              <w:top w:val="nil"/>
              <w:left w:val="nil"/>
              <w:bottom w:val="nil"/>
              <w:right w:val="nil"/>
            </w:tcBorders>
            <w:shd w:val="clear" w:color="auto" w:fill="auto"/>
            <w:vAlign w:val="center"/>
            <w:hideMark/>
          </w:tcPr>
          <w:p w14:paraId="0867BFD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Pensiones</w:t>
            </w:r>
          </w:p>
        </w:tc>
        <w:tc>
          <w:tcPr>
            <w:tcW w:w="1819" w:type="dxa"/>
            <w:tcBorders>
              <w:top w:val="nil"/>
              <w:left w:val="nil"/>
              <w:bottom w:val="nil"/>
              <w:right w:val="nil"/>
            </w:tcBorders>
            <w:shd w:val="clear" w:color="auto" w:fill="auto"/>
            <w:vAlign w:val="center"/>
            <w:hideMark/>
          </w:tcPr>
          <w:p w14:paraId="0F3686A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388,995,962.45</w:t>
            </w:r>
          </w:p>
        </w:tc>
      </w:tr>
      <w:tr w:rsidR="00C6733C" w14:paraId="4DF4DCDD" w14:textId="77777777">
        <w:trPr>
          <w:trHeight w:val="555"/>
          <w:jc w:val="center"/>
        </w:trPr>
        <w:tc>
          <w:tcPr>
            <w:tcW w:w="6081" w:type="dxa"/>
            <w:tcBorders>
              <w:top w:val="nil"/>
              <w:left w:val="nil"/>
              <w:bottom w:val="nil"/>
              <w:right w:val="nil"/>
            </w:tcBorders>
            <w:shd w:val="clear" w:color="auto" w:fill="auto"/>
            <w:vAlign w:val="center"/>
            <w:hideMark/>
          </w:tcPr>
          <w:p w14:paraId="6198AC9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Jubilaciones</w:t>
            </w:r>
          </w:p>
        </w:tc>
        <w:tc>
          <w:tcPr>
            <w:tcW w:w="1819" w:type="dxa"/>
            <w:tcBorders>
              <w:top w:val="nil"/>
              <w:left w:val="nil"/>
              <w:bottom w:val="nil"/>
              <w:right w:val="nil"/>
            </w:tcBorders>
            <w:shd w:val="clear" w:color="auto" w:fill="auto"/>
            <w:vAlign w:val="center"/>
            <w:hideMark/>
          </w:tcPr>
          <w:p w14:paraId="39214F8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22,476,380.77</w:t>
            </w:r>
          </w:p>
        </w:tc>
      </w:tr>
      <w:tr w:rsidR="00C6733C" w14:paraId="0ADB6BCB" w14:textId="77777777">
        <w:trPr>
          <w:trHeight w:val="555"/>
          <w:jc w:val="center"/>
        </w:trPr>
        <w:tc>
          <w:tcPr>
            <w:tcW w:w="6081" w:type="dxa"/>
            <w:tcBorders>
              <w:top w:val="nil"/>
              <w:left w:val="nil"/>
              <w:bottom w:val="nil"/>
              <w:right w:val="nil"/>
            </w:tcBorders>
            <w:shd w:val="clear" w:color="auto" w:fill="auto"/>
            <w:vAlign w:val="center"/>
            <w:hideMark/>
          </w:tcPr>
          <w:p w14:paraId="45C9D69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Otras pensiones y jubilaciones</w:t>
            </w:r>
          </w:p>
        </w:tc>
        <w:tc>
          <w:tcPr>
            <w:tcW w:w="1819" w:type="dxa"/>
            <w:tcBorders>
              <w:top w:val="nil"/>
              <w:left w:val="nil"/>
              <w:bottom w:val="nil"/>
              <w:right w:val="nil"/>
            </w:tcBorders>
            <w:shd w:val="clear" w:color="auto" w:fill="auto"/>
            <w:vAlign w:val="center"/>
            <w:hideMark/>
          </w:tcPr>
          <w:p w14:paraId="6B3928B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103,266,838.08</w:t>
            </w:r>
          </w:p>
        </w:tc>
      </w:tr>
      <w:tr w:rsidR="00C6733C" w14:paraId="3A3E5891" w14:textId="77777777">
        <w:trPr>
          <w:trHeight w:val="555"/>
          <w:jc w:val="center"/>
        </w:trPr>
        <w:tc>
          <w:tcPr>
            <w:tcW w:w="6081" w:type="dxa"/>
            <w:tcBorders>
              <w:top w:val="nil"/>
              <w:left w:val="nil"/>
              <w:bottom w:val="nil"/>
              <w:right w:val="nil"/>
            </w:tcBorders>
            <w:shd w:val="clear" w:color="auto" w:fill="auto"/>
            <w:vAlign w:val="center"/>
            <w:hideMark/>
          </w:tcPr>
          <w:p w14:paraId="1EC2FB8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a fideicomisos,  mandatos y otros análogos</w:t>
            </w:r>
          </w:p>
        </w:tc>
        <w:tc>
          <w:tcPr>
            <w:tcW w:w="1819" w:type="dxa"/>
            <w:tcBorders>
              <w:top w:val="nil"/>
              <w:left w:val="nil"/>
              <w:bottom w:val="nil"/>
              <w:right w:val="nil"/>
            </w:tcBorders>
            <w:shd w:val="clear" w:color="auto" w:fill="auto"/>
            <w:vAlign w:val="center"/>
            <w:hideMark/>
          </w:tcPr>
          <w:p w14:paraId="3938270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29,216,399.57</w:t>
            </w:r>
          </w:p>
        </w:tc>
      </w:tr>
      <w:tr w:rsidR="00C6733C" w14:paraId="1FEFC325" w14:textId="77777777">
        <w:trPr>
          <w:trHeight w:val="555"/>
          <w:jc w:val="center"/>
        </w:trPr>
        <w:tc>
          <w:tcPr>
            <w:tcW w:w="6081" w:type="dxa"/>
            <w:tcBorders>
              <w:top w:val="nil"/>
              <w:left w:val="nil"/>
              <w:bottom w:val="nil"/>
              <w:right w:val="nil"/>
            </w:tcBorders>
            <w:shd w:val="clear" w:color="auto" w:fill="auto"/>
            <w:vAlign w:val="center"/>
            <w:hideMark/>
          </w:tcPr>
          <w:p w14:paraId="04D8736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Transferencias a  fideicomisos del Poder Ejecutivo</w:t>
            </w:r>
          </w:p>
        </w:tc>
        <w:tc>
          <w:tcPr>
            <w:tcW w:w="1819" w:type="dxa"/>
            <w:tcBorders>
              <w:top w:val="nil"/>
              <w:left w:val="nil"/>
              <w:bottom w:val="nil"/>
              <w:right w:val="nil"/>
            </w:tcBorders>
            <w:shd w:val="clear" w:color="auto" w:fill="auto"/>
            <w:vAlign w:val="center"/>
            <w:hideMark/>
          </w:tcPr>
          <w:p w14:paraId="7ED080F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13,287,088.11</w:t>
            </w:r>
          </w:p>
        </w:tc>
      </w:tr>
      <w:tr w:rsidR="00C6733C" w14:paraId="057A4156" w14:textId="77777777">
        <w:trPr>
          <w:trHeight w:val="555"/>
          <w:jc w:val="center"/>
        </w:trPr>
        <w:tc>
          <w:tcPr>
            <w:tcW w:w="6081" w:type="dxa"/>
            <w:tcBorders>
              <w:top w:val="nil"/>
              <w:left w:val="nil"/>
              <w:bottom w:val="nil"/>
              <w:right w:val="nil"/>
            </w:tcBorders>
            <w:shd w:val="clear" w:color="auto" w:fill="auto"/>
            <w:vAlign w:val="center"/>
            <w:hideMark/>
          </w:tcPr>
          <w:p w14:paraId="4C1E266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Transferencias a fideicomisos públicos de entidades paraestatales no empresariales y no financieras</w:t>
            </w:r>
          </w:p>
        </w:tc>
        <w:tc>
          <w:tcPr>
            <w:tcW w:w="1819" w:type="dxa"/>
            <w:tcBorders>
              <w:top w:val="nil"/>
              <w:left w:val="nil"/>
              <w:bottom w:val="nil"/>
              <w:right w:val="nil"/>
            </w:tcBorders>
            <w:shd w:val="clear" w:color="auto" w:fill="auto"/>
            <w:vAlign w:val="center"/>
            <w:hideMark/>
          </w:tcPr>
          <w:p w14:paraId="3BB40D9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15,929,311.46</w:t>
            </w:r>
          </w:p>
        </w:tc>
      </w:tr>
      <w:tr w:rsidR="00C6733C" w14:paraId="35EA52FB" w14:textId="77777777">
        <w:trPr>
          <w:trHeight w:val="555"/>
          <w:jc w:val="center"/>
        </w:trPr>
        <w:tc>
          <w:tcPr>
            <w:tcW w:w="6081" w:type="dxa"/>
            <w:tcBorders>
              <w:top w:val="nil"/>
              <w:left w:val="nil"/>
              <w:bottom w:val="nil"/>
              <w:right w:val="nil"/>
            </w:tcBorders>
            <w:shd w:val="clear" w:color="auto" w:fill="auto"/>
            <w:vAlign w:val="center"/>
            <w:hideMark/>
          </w:tcPr>
          <w:p w14:paraId="3E292DCD"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Donativos</w:t>
            </w:r>
          </w:p>
        </w:tc>
        <w:tc>
          <w:tcPr>
            <w:tcW w:w="1819" w:type="dxa"/>
            <w:tcBorders>
              <w:top w:val="nil"/>
              <w:left w:val="nil"/>
              <w:bottom w:val="nil"/>
              <w:right w:val="nil"/>
            </w:tcBorders>
            <w:shd w:val="clear" w:color="auto" w:fill="auto"/>
            <w:vAlign w:val="center"/>
            <w:hideMark/>
          </w:tcPr>
          <w:p w14:paraId="4CCED5BB"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35,192,154.71</w:t>
            </w:r>
          </w:p>
        </w:tc>
      </w:tr>
      <w:tr w:rsidR="00C6733C" w14:paraId="32FD50BE" w14:textId="77777777">
        <w:trPr>
          <w:trHeight w:val="555"/>
          <w:jc w:val="center"/>
        </w:trPr>
        <w:tc>
          <w:tcPr>
            <w:tcW w:w="6081" w:type="dxa"/>
            <w:tcBorders>
              <w:top w:val="nil"/>
              <w:left w:val="nil"/>
              <w:bottom w:val="nil"/>
              <w:right w:val="nil"/>
            </w:tcBorders>
            <w:shd w:val="clear" w:color="auto" w:fill="auto"/>
            <w:vAlign w:val="center"/>
            <w:hideMark/>
          </w:tcPr>
          <w:p w14:paraId="797E3E2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Donativos a instituciones sin fines de lucro</w:t>
            </w:r>
          </w:p>
        </w:tc>
        <w:tc>
          <w:tcPr>
            <w:tcW w:w="1819" w:type="dxa"/>
            <w:tcBorders>
              <w:top w:val="nil"/>
              <w:left w:val="nil"/>
              <w:bottom w:val="nil"/>
              <w:right w:val="nil"/>
            </w:tcBorders>
            <w:shd w:val="clear" w:color="auto" w:fill="auto"/>
            <w:vAlign w:val="center"/>
            <w:hideMark/>
          </w:tcPr>
          <w:p w14:paraId="7B2419C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35,192,154.71</w:t>
            </w:r>
          </w:p>
        </w:tc>
      </w:tr>
      <w:tr w:rsidR="00C6733C" w14:paraId="762B0B01" w14:textId="77777777">
        <w:trPr>
          <w:trHeight w:val="555"/>
          <w:jc w:val="center"/>
        </w:trPr>
        <w:tc>
          <w:tcPr>
            <w:tcW w:w="6081" w:type="dxa"/>
            <w:tcBorders>
              <w:top w:val="nil"/>
              <w:left w:val="nil"/>
              <w:bottom w:val="nil"/>
              <w:right w:val="nil"/>
            </w:tcBorders>
            <w:shd w:val="clear" w:color="auto" w:fill="auto"/>
            <w:vAlign w:val="center"/>
            <w:hideMark/>
          </w:tcPr>
          <w:p w14:paraId="3B0F4916"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BIENES MUEBLES, INMUEBLES E INTANGIBLES </w:t>
            </w:r>
          </w:p>
        </w:tc>
        <w:tc>
          <w:tcPr>
            <w:tcW w:w="1819" w:type="dxa"/>
            <w:tcBorders>
              <w:top w:val="nil"/>
              <w:left w:val="nil"/>
              <w:bottom w:val="nil"/>
              <w:right w:val="nil"/>
            </w:tcBorders>
            <w:shd w:val="clear" w:color="auto" w:fill="auto"/>
            <w:vAlign w:val="center"/>
            <w:hideMark/>
          </w:tcPr>
          <w:p w14:paraId="5473B672"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270,675,255.15</w:t>
            </w:r>
          </w:p>
        </w:tc>
      </w:tr>
      <w:tr w:rsidR="00C6733C" w14:paraId="5D00DFDC" w14:textId="77777777">
        <w:trPr>
          <w:trHeight w:val="555"/>
          <w:jc w:val="center"/>
        </w:trPr>
        <w:tc>
          <w:tcPr>
            <w:tcW w:w="6081" w:type="dxa"/>
            <w:tcBorders>
              <w:top w:val="nil"/>
              <w:left w:val="nil"/>
              <w:bottom w:val="nil"/>
              <w:right w:val="nil"/>
            </w:tcBorders>
            <w:shd w:val="clear" w:color="auto" w:fill="auto"/>
            <w:vAlign w:val="center"/>
            <w:hideMark/>
          </w:tcPr>
          <w:p w14:paraId="6C520C2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Mobiliario y equipo de administración</w:t>
            </w:r>
          </w:p>
        </w:tc>
        <w:tc>
          <w:tcPr>
            <w:tcW w:w="1819" w:type="dxa"/>
            <w:tcBorders>
              <w:top w:val="nil"/>
              <w:left w:val="nil"/>
              <w:bottom w:val="nil"/>
              <w:right w:val="nil"/>
            </w:tcBorders>
            <w:shd w:val="clear" w:color="auto" w:fill="auto"/>
            <w:vAlign w:val="center"/>
            <w:hideMark/>
          </w:tcPr>
          <w:p w14:paraId="22A9893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42,219,291.15</w:t>
            </w:r>
          </w:p>
        </w:tc>
      </w:tr>
      <w:tr w:rsidR="00C6733C" w14:paraId="766EEF29" w14:textId="77777777">
        <w:trPr>
          <w:trHeight w:val="555"/>
          <w:jc w:val="center"/>
        </w:trPr>
        <w:tc>
          <w:tcPr>
            <w:tcW w:w="6081" w:type="dxa"/>
            <w:tcBorders>
              <w:top w:val="nil"/>
              <w:left w:val="nil"/>
              <w:bottom w:val="nil"/>
              <w:right w:val="nil"/>
            </w:tcBorders>
            <w:shd w:val="clear" w:color="auto" w:fill="auto"/>
            <w:vAlign w:val="center"/>
            <w:hideMark/>
          </w:tcPr>
          <w:p w14:paraId="0598EA9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Muebles de oficina y estantería</w:t>
            </w:r>
          </w:p>
        </w:tc>
        <w:tc>
          <w:tcPr>
            <w:tcW w:w="1819" w:type="dxa"/>
            <w:tcBorders>
              <w:top w:val="nil"/>
              <w:left w:val="nil"/>
              <w:bottom w:val="nil"/>
              <w:right w:val="nil"/>
            </w:tcBorders>
            <w:shd w:val="clear" w:color="auto" w:fill="auto"/>
            <w:vAlign w:val="center"/>
            <w:hideMark/>
          </w:tcPr>
          <w:p w14:paraId="566B88E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16,196,000.00</w:t>
            </w:r>
          </w:p>
        </w:tc>
      </w:tr>
      <w:tr w:rsidR="00C6733C" w14:paraId="33E30F2E" w14:textId="77777777">
        <w:trPr>
          <w:trHeight w:val="555"/>
          <w:jc w:val="center"/>
        </w:trPr>
        <w:tc>
          <w:tcPr>
            <w:tcW w:w="6081" w:type="dxa"/>
            <w:tcBorders>
              <w:top w:val="nil"/>
              <w:left w:val="nil"/>
              <w:bottom w:val="nil"/>
              <w:right w:val="nil"/>
            </w:tcBorders>
            <w:shd w:val="clear" w:color="auto" w:fill="auto"/>
            <w:vAlign w:val="center"/>
            <w:hideMark/>
          </w:tcPr>
          <w:p w14:paraId="18D9E66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Muebles, excepto de oficina y estantería</w:t>
            </w:r>
          </w:p>
        </w:tc>
        <w:tc>
          <w:tcPr>
            <w:tcW w:w="1819" w:type="dxa"/>
            <w:tcBorders>
              <w:top w:val="nil"/>
              <w:left w:val="nil"/>
              <w:bottom w:val="nil"/>
              <w:right w:val="nil"/>
            </w:tcBorders>
            <w:shd w:val="clear" w:color="auto" w:fill="auto"/>
            <w:vAlign w:val="center"/>
            <w:hideMark/>
          </w:tcPr>
          <w:p w14:paraId="7A69475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103EFD62" w14:textId="77777777">
        <w:trPr>
          <w:trHeight w:val="555"/>
          <w:jc w:val="center"/>
        </w:trPr>
        <w:tc>
          <w:tcPr>
            <w:tcW w:w="6081" w:type="dxa"/>
            <w:tcBorders>
              <w:top w:val="nil"/>
              <w:left w:val="nil"/>
              <w:bottom w:val="nil"/>
              <w:right w:val="nil"/>
            </w:tcBorders>
            <w:shd w:val="clear" w:color="auto" w:fill="auto"/>
            <w:vAlign w:val="center"/>
            <w:hideMark/>
          </w:tcPr>
          <w:p w14:paraId="28CA164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Bienes artísticos, culturales y </w:t>
            </w:r>
            <w:r>
              <w:rPr>
                <w:rFonts w:ascii="Arial" w:eastAsia="Times New Roman" w:hAnsi="Arial" w:cs="Arial"/>
                <w:color w:val="000000"/>
                <w:lang w:bidi="ar-SA"/>
              </w:rPr>
              <w:t>científicos</w:t>
            </w:r>
          </w:p>
        </w:tc>
        <w:tc>
          <w:tcPr>
            <w:tcW w:w="1819" w:type="dxa"/>
            <w:tcBorders>
              <w:top w:val="nil"/>
              <w:left w:val="nil"/>
              <w:bottom w:val="nil"/>
              <w:right w:val="nil"/>
            </w:tcBorders>
            <w:shd w:val="clear" w:color="auto" w:fill="auto"/>
            <w:vAlign w:val="center"/>
            <w:hideMark/>
          </w:tcPr>
          <w:p w14:paraId="6BC56EF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14A4A87D" w14:textId="77777777">
        <w:trPr>
          <w:trHeight w:val="555"/>
          <w:jc w:val="center"/>
        </w:trPr>
        <w:tc>
          <w:tcPr>
            <w:tcW w:w="6081" w:type="dxa"/>
            <w:tcBorders>
              <w:top w:val="nil"/>
              <w:left w:val="nil"/>
              <w:bottom w:val="nil"/>
              <w:right w:val="nil"/>
            </w:tcBorders>
            <w:shd w:val="clear" w:color="auto" w:fill="auto"/>
            <w:vAlign w:val="center"/>
            <w:hideMark/>
          </w:tcPr>
          <w:p w14:paraId="5B8B519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Equipo de cómputo y de tecnologías de la información</w:t>
            </w:r>
          </w:p>
        </w:tc>
        <w:tc>
          <w:tcPr>
            <w:tcW w:w="1819" w:type="dxa"/>
            <w:tcBorders>
              <w:top w:val="nil"/>
              <w:left w:val="nil"/>
              <w:bottom w:val="nil"/>
              <w:right w:val="nil"/>
            </w:tcBorders>
            <w:shd w:val="clear" w:color="auto" w:fill="auto"/>
            <w:vAlign w:val="center"/>
            <w:hideMark/>
          </w:tcPr>
          <w:p w14:paraId="0AC7235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25,989,291.15</w:t>
            </w:r>
          </w:p>
        </w:tc>
      </w:tr>
      <w:tr w:rsidR="00C6733C" w14:paraId="20576A99" w14:textId="77777777">
        <w:trPr>
          <w:trHeight w:val="555"/>
          <w:jc w:val="center"/>
        </w:trPr>
        <w:tc>
          <w:tcPr>
            <w:tcW w:w="6081" w:type="dxa"/>
            <w:tcBorders>
              <w:top w:val="nil"/>
              <w:left w:val="nil"/>
              <w:bottom w:val="nil"/>
              <w:right w:val="nil"/>
            </w:tcBorders>
            <w:shd w:val="clear" w:color="auto" w:fill="auto"/>
            <w:vAlign w:val="center"/>
            <w:hideMark/>
          </w:tcPr>
          <w:p w14:paraId="0BE0870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mobiliarios y equipos de administración</w:t>
            </w:r>
          </w:p>
        </w:tc>
        <w:tc>
          <w:tcPr>
            <w:tcW w:w="1819" w:type="dxa"/>
            <w:tcBorders>
              <w:top w:val="nil"/>
              <w:left w:val="nil"/>
              <w:bottom w:val="nil"/>
              <w:right w:val="nil"/>
            </w:tcBorders>
            <w:shd w:val="clear" w:color="auto" w:fill="auto"/>
            <w:vAlign w:val="center"/>
            <w:hideMark/>
          </w:tcPr>
          <w:p w14:paraId="3FA7B85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34,000.00</w:t>
            </w:r>
          </w:p>
        </w:tc>
      </w:tr>
      <w:tr w:rsidR="00C6733C" w14:paraId="72A4EA0A" w14:textId="77777777">
        <w:trPr>
          <w:trHeight w:val="555"/>
          <w:jc w:val="center"/>
        </w:trPr>
        <w:tc>
          <w:tcPr>
            <w:tcW w:w="6081" w:type="dxa"/>
            <w:tcBorders>
              <w:top w:val="nil"/>
              <w:left w:val="nil"/>
              <w:bottom w:val="nil"/>
              <w:right w:val="nil"/>
            </w:tcBorders>
            <w:shd w:val="clear" w:color="auto" w:fill="auto"/>
            <w:vAlign w:val="center"/>
            <w:hideMark/>
          </w:tcPr>
          <w:p w14:paraId="54A141A1"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Mobiliario y equipo educacional y recreativo</w:t>
            </w:r>
          </w:p>
        </w:tc>
        <w:tc>
          <w:tcPr>
            <w:tcW w:w="1819" w:type="dxa"/>
            <w:tcBorders>
              <w:top w:val="nil"/>
              <w:left w:val="nil"/>
              <w:bottom w:val="nil"/>
              <w:right w:val="nil"/>
            </w:tcBorders>
            <w:shd w:val="clear" w:color="auto" w:fill="auto"/>
            <w:vAlign w:val="center"/>
            <w:hideMark/>
          </w:tcPr>
          <w:p w14:paraId="495F935B"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40,133,539.00</w:t>
            </w:r>
          </w:p>
        </w:tc>
      </w:tr>
      <w:tr w:rsidR="00C6733C" w14:paraId="12750FB9" w14:textId="77777777">
        <w:trPr>
          <w:trHeight w:val="555"/>
          <w:jc w:val="center"/>
        </w:trPr>
        <w:tc>
          <w:tcPr>
            <w:tcW w:w="6081" w:type="dxa"/>
            <w:tcBorders>
              <w:top w:val="nil"/>
              <w:left w:val="nil"/>
              <w:bottom w:val="nil"/>
              <w:right w:val="nil"/>
            </w:tcBorders>
            <w:shd w:val="clear" w:color="auto" w:fill="auto"/>
            <w:vAlign w:val="center"/>
            <w:hideMark/>
          </w:tcPr>
          <w:p w14:paraId="3BB3759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Equipos y aparatos audiovisuales</w:t>
            </w:r>
          </w:p>
        </w:tc>
        <w:tc>
          <w:tcPr>
            <w:tcW w:w="1819" w:type="dxa"/>
            <w:tcBorders>
              <w:top w:val="nil"/>
              <w:left w:val="nil"/>
              <w:bottom w:val="nil"/>
              <w:right w:val="nil"/>
            </w:tcBorders>
            <w:shd w:val="clear" w:color="auto" w:fill="auto"/>
            <w:vAlign w:val="center"/>
            <w:hideMark/>
          </w:tcPr>
          <w:p w14:paraId="6EB4357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4EC88A27" w14:textId="77777777">
        <w:trPr>
          <w:trHeight w:val="555"/>
          <w:jc w:val="center"/>
        </w:trPr>
        <w:tc>
          <w:tcPr>
            <w:tcW w:w="6081" w:type="dxa"/>
            <w:tcBorders>
              <w:top w:val="nil"/>
              <w:left w:val="nil"/>
              <w:bottom w:val="nil"/>
              <w:right w:val="nil"/>
            </w:tcBorders>
            <w:shd w:val="clear" w:color="auto" w:fill="auto"/>
            <w:vAlign w:val="center"/>
            <w:hideMark/>
          </w:tcPr>
          <w:p w14:paraId="2FE8E3E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Cámaras fotog</w:t>
            </w:r>
            <w:r>
              <w:rPr>
                <w:rFonts w:ascii="Arial" w:eastAsia="Times New Roman" w:hAnsi="Arial" w:cs="Arial"/>
                <w:color w:val="000000"/>
                <w:lang w:bidi="ar-SA"/>
              </w:rPr>
              <w:t>ráficas y de video</w:t>
            </w:r>
          </w:p>
        </w:tc>
        <w:tc>
          <w:tcPr>
            <w:tcW w:w="1819" w:type="dxa"/>
            <w:tcBorders>
              <w:top w:val="nil"/>
              <w:left w:val="nil"/>
              <w:bottom w:val="nil"/>
              <w:right w:val="nil"/>
            </w:tcBorders>
            <w:shd w:val="clear" w:color="auto" w:fill="auto"/>
            <w:vAlign w:val="center"/>
            <w:hideMark/>
          </w:tcPr>
          <w:p w14:paraId="147B070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28,769.00</w:t>
            </w:r>
          </w:p>
        </w:tc>
      </w:tr>
      <w:tr w:rsidR="00C6733C" w14:paraId="0A8830DB" w14:textId="77777777">
        <w:trPr>
          <w:trHeight w:val="555"/>
          <w:jc w:val="center"/>
        </w:trPr>
        <w:tc>
          <w:tcPr>
            <w:tcW w:w="6081" w:type="dxa"/>
            <w:tcBorders>
              <w:top w:val="nil"/>
              <w:left w:val="nil"/>
              <w:bottom w:val="nil"/>
              <w:right w:val="nil"/>
            </w:tcBorders>
            <w:shd w:val="clear" w:color="auto" w:fill="auto"/>
            <w:vAlign w:val="center"/>
            <w:hideMark/>
          </w:tcPr>
          <w:p w14:paraId="7E68DD5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 mobiliario y equipo educacional y recreativo</w:t>
            </w:r>
          </w:p>
        </w:tc>
        <w:tc>
          <w:tcPr>
            <w:tcW w:w="1819" w:type="dxa"/>
            <w:tcBorders>
              <w:top w:val="nil"/>
              <w:left w:val="nil"/>
              <w:bottom w:val="nil"/>
              <w:right w:val="nil"/>
            </w:tcBorders>
            <w:shd w:val="clear" w:color="auto" w:fill="auto"/>
            <w:vAlign w:val="center"/>
            <w:hideMark/>
          </w:tcPr>
          <w:p w14:paraId="1801723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40,104,770.00</w:t>
            </w:r>
          </w:p>
        </w:tc>
      </w:tr>
      <w:tr w:rsidR="00C6733C" w14:paraId="58B0AE5D" w14:textId="77777777">
        <w:trPr>
          <w:trHeight w:val="555"/>
          <w:jc w:val="center"/>
        </w:trPr>
        <w:tc>
          <w:tcPr>
            <w:tcW w:w="6081" w:type="dxa"/>
            <w:tcBorders>
              <w:top w:val="nil"/>
              <w:left w:val="nil"/>
              <w:bottom w:val="nil"/>
              <w:right w:val="nil"/>
            </w:tcBorders>
            <w:shd w:val="clear" w:color="auto" w:fill="auto"/>
            <w:vAlign w:val="center"/>
            <w:hideMark/>
          </w:tcPr>
          <w:p w14:paraId="25C6F8D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Equipo e instrumental médico y de laboratorio</w:t>
            </w:r>
          </w:p>
        </w:tc>
        <w:tc>
          <w:tcPr>
            <w:tcW w:w="1819" w:type="dxa"/>
            <w:tcBorders>
              <w:top w:val="nil"/>
              <w:left w:val="nil"/>
              <w:bottom w:val="nil"/>
              <w:right w:val="nil"/>
            </w:tcBorders>
            <w:shd w:val="clear" w:color="auto" w:fill="auto"/>
            <w:vAlign w:val="center"/>
            <w:hideMark/>
          </w:tcPr>
          <w:p w14:paraId="5D45C558"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185,458,625.00</w:t>
            </w:r>
          </w:p>
        </w:tc>
      </w:tr>
      <w:tr w:rsidR="00C6733C" w14:paraId="33FCBE91" w14:textId="77777777">
        <w:trPr>
          <w:trHeight w:val="555"/>
          <w:jc w:val="center"/>
        </w:trPr>
        <w:tc>
          <w:tcPr>
            <w:tcW w:w="6081" w:type="dxa"/>
            <w:tcBorders>
              <w:top w:val="nil"/>
              <w:left w:val="nil"/>
              <w:bottom w:val="nil"/>
              <w:right w:val="nil"/>
            </w:tcBorders>
            <w:shd w:val="clear" w:color="auto" w:fill="auto"/>
            <w:vAlign w:val="center"/>
            <w:hideMark/>
          </w:tcPr>
          <w:p w14:paraId="0D1E071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Equipo médico y de laboratorio</w:t>
            </w:r>
          </w:p>
        </w:tc>
        <w:tc>
          <w:tcPr>
            <w:tcW w:w="1819" w:type="dxa"/>
            <w:tcBorders>
              <w:top w:val="nil"/>
              <w:left w:val="nil"/>
              <w:bottom w:val="nil"/>
              <w:right w:val="nil"/>
            </w:tcBorders>
            <w:shd w:val="clear" w:color="auto" w:fill="auto"/>
            <w:vAlign w:val="center"/>
            <w:hideMark/>
          </w:tcPr>
          <w:p w14:paraId="5403E1D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129,932,162.89</w:t>
            </w:r>
          </w:p>
        </w:tc>
      </w:tr>
      <w:tr w:rsidR="00C6733C" w14:paraId="308D3EC7" w14:textId="77777777">
        <w:trPr>
          <w:trHeight w:val="555"/>
          <w:jc w:val="center"/>
        </w:trPr>
        <w:tc>
          <w:tcPr>
            <w:tcW w:w="6081" w:type="dxa"/>
            <w:tcBorders>
              <w:top w:val="nil"/>
              <w:left w:val="nil"/>
              <w:bottom w:val="nil"/>
              <w:right w:val="nil"/>
            </w:tcBorders>
            <w:shd w:val="clear" w:color="auto" w:fill="auto"/>
            <w:vAlign w:val="center"/>
            <w:hideMark/>
          </w:tcPr>
          <w:p w14:paraId="02278E0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Instrumental médico y de  laboratorio</w:t>
            </w:r>
          </w:p>
        </w:tc>
        <w:tc>
          <w:tcPr>
            <w:tcW w:w="1819" w:type="dxa"/>
            <w:tcBorders>
              <w:top w:val="nil"/>
              <w:left w:val="nil"/>
              <w:bottom w:val="nil"/>
              <w:right w:val="nil"/>
            </w:tcBorders>
            <w:shd w:val="clear" w:color="auto" w:fill="auto"/>
            <w:vAlign w:val="center"/>
            <w:hideMark/>
          </w:tcPr>
          <w:p w14:paraId="427F813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55,526,462.11</w:t>
            </w:r>
          </w:p>
        </w:tc>
      </w:tr>
      <w:tr w:rsidR="00C6733C" w14:paraId="7EF24843" w14:textId="77777777">
        <w:trPr>
          <w:trHeight w:val="555"/>
          <w:jc w:val="center"/>
        </w:trPr>
        <w:tc>
          <w:tcPr>
            <w:tcW w:w="6081" w:type="dxa"/>
            <w:tcBorders>
              <w:top w:val="nil"/>
              <w:left w:val="nil"/>
              <w:bottom w:val="nil"/>
              <w:right w:val="nil"/>
            </w:tcBorders>
            <w:shd w:val="clear" w:color="auto" w:fill="auto"/>
            <w:vAlign w:val="center"/>
            <w:hideMark/>
          </w:tcPr>
          <w:p w14:paraId="35AE2552"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Vehículos y equipo de transporte</w:t>
            </w:r>
          </w:p>
        </w:tc>
        <w:tc>
          <w:tcPr>
            <w:tcW w:w="1819" w:type="dxa"/>
            <w:tcBorders>
              <w:top w:val="nil"/>
              <w:left w:val="nil"/>
              <w:bottom w:val="nil"/>
              <w:right w:val="nil"/>
            </w:tcBorders>
            <w:shd w:val="clear" w:color="auto" w:fill="auto"/>
            <w:vAlign w:val="center"/>
            <w:hideMark/>
          </w:tcPr>
          <w:p w14:paraId="74DA8A23"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1,665,000.00</w:t>
            </w:r>
          </w:p>
        </w:tc>
      </w:tr>
      <w:tr w:rsidR="00C6733C" w14:paraId="31CE5922" w14:textId="77777777">
        <w:trPr>
          <w:trHeight w:val="555"/>
          <w:jc w:val="center"/>
        </w:trPr>
        <w:tc>
          <w:tcPr>
            <w:tcW w:w="6081" w:type="dxa"/>
            <w:tcBorders>
              <w:top w:val="nil"/>
              <w:left w:val="nil"/>
              <w:bottom w:val="nil"/>
              <w:right w:val="nil"/>
            </w:tcBorders>
            <w:shd w:val="clear" w:color="auto" w:fill="auto"/>
            <w:vAlign w:val="center"/>
            <w:hideMark/>
          </w:tcPr>
          <w:p w14:paraId="2FCB33B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Vehículos y equipo terrestre</w:t>
            </w:r>
          </w:p>
        </w:tc>
        <w:tc>
          <w:tcPr>
            <w:tcW w:w="1819" w:type="dxa"/>
            <w:tcBorders>
              <w:top w:val="nil"/>
              <w:left w:val="nil"/>
              <w:bottom w:val="nil"/>
              <w:right w:val="nil"/>
            </w:tcBorders>
            <w:shd w:val="clear" w:color="auto" w:fill="auto"/>
            <w:vAlign w:val="center"/>
            <w:hideMark/>
          </w:tcPr>
          <w:p w14:paraId="218CCE2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1,600,000.00</w:t>
            </w:r>
          </w:p>
        </w:tc>
      </w:tr>
      <w:tr w:rsidR="00C6733C" w14:paraId="0816D990" w14:textId="77777777">
        <w:trPr>
          <w:trHeight w:val="555"/>
          <w:jc w:val="center"/>
        </w:trPr>
        <w:tc>
          <w:tcPr>
            <w:tcW w:w="6081" w:type="dxa"/>
            <w:tcBorders>
              <w:top w:val="nil"/>
              <w:left w:val="nil"/>
              <w:bottom w:val="nil"/>
              <w:right w:val="nil"/>
            </w:tcBorders>
            <w:shd w:val="clear" w:color="auto" w:fill="auto"/>
            <w:vAlign w:val="center"/>
            <w:hideMark/>
          </w:tcPr>
          <w:p w14:paraId="543E3D7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equipos de transporte</w:t>
            </w:r>
          </w:p>
        </w:tc>
        <w:tc>
          <w:tcPr>
            <w:tcW w:w="1819" w:type="dxa"/>
            <w:tcBorders>
              <w:top w:val="nil"/>
              <w:left w:val="nil"/>
              <w:bottom w:val="nil"/>
              <w:right w:val="nil"/>
            </w:tcBorders>
            <w:shd w:val="clear" w:color="auto" w:fill="auto"/>
            <w:vAlign w:val="center"/>
            <w:hideMark/>
          </w:tcPr>
          <w:p w14:paraId="72C8454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65,000.00</w:t>
            </w:r>
          </w:p>
        </w:tc>
      </w:tr>
      <w:tr w:rsidR="00C6733C" w14:paraId="15F24993" w14:textId="77777777">
        <w:trPr>
          <w:trHeight w:val="555"/>
          <w:jc w:val="center"/>
        </w:trPr>
        <w:tc>
          <w:tcPr>
            <w:tcW w:w="6081" w:type="dxa"/>
            <w:tcBorders>
              <w:top w:val="nil"/>
              <w:left w:val="nil"/>
              <w:bottom w:val="nil"/>
              <w:right w:val="nil"/>
            </w:tcBorders>
            <w:shd w:val="clear" w:color="auto" w:fill="auto"/>
            <w:vAlign w:val="center"/>
            <w:hideMark/>
          </w:tcPr>
          <w:p w14:paraId="6FA52D45"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Maquinaria, otros equipos y herramientas</w:t>
            </w:r>
          </w:p>
        </w:tc>
        <w:tc>
          <w:tcPr>
            <w:tcW w:w="1819" w:type="dxa"/>
            <w:tcBorders>
              <w:top w:val="nil"/>
              <w:left w:val="nil"/>
              <w:bottom w:val="nil"/>
              <w:right w:val="nil"/>
            </w:tcBorders>
            <w:shd w:val="clear" w:color="auto" w:fill="auto"/>
            <w:vAlign w:val="center"/>
            <w:hideMark/>
          </w:tcPr>
          <w:p w14:paraId="2EC6A69B"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160,000.00</w:t>
            </w:r>
          </w:p>
        </w:tc>
      </w:tr>
      <w:tr w:rsidR="00C6733C" w14:paraId="142213D7" w14:textId="77777777">
        <w:trPr>
          <w:trHeight w:val="555"/>
          <w:jc w:val="center"/>
        </w:trPr>
        <w:tc>
          <w:tcPr>
            <w:tcW w:w="6081" w:type="dxa"/>
            <w:tcBorders>
              <w:top w:val="nil"/>
              <w:left w:val="nil"/>
              <w:bottom w:val="nil"/>
              <w:right w:val="nil"/>
            </w:tcBorders>
            <w:shd w:val="clear" w:color="auto" w:fill="auto"/>
            <w:vAlign w:val="center"/>
            <w:hideMark/>
          </w:tcPr>
          <w:p w14:paraId="0AFD47E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Maquinaria y equipo agropecuario</w:t>
            </w:r>
          </w:p>
        </w:tc>
        <w:tc>
          <w:tcPr>
            <w:tcW w:w="1819" w:type="dxa"/>
            <w:tcBorders>
              <w:top w:val="nil"/>
              <w:left w:val="nil"/>
              <w:bottom w:val="nil"/>
              <w:right w:val="nil"/>
            </w:tcBorders>
            <w:shd w:val="clear" w:color="auto" w:fill="auto"/>
            <w:vAlign w:val="center"/>
            <w:hideMark/>
          </w:tcPr>
          <w:p w14:paraId="31BBFE9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10,000.00</w:t>
            </w:r>
          </w:p>
        </w:tc>
      </w:tr>
      <w:tr w:rsidR="00C6733C" w14:paraId="53654B72" w14:textId="77777777">
        <w:trPr>
          <w:trHeight w:val="555"/>
          <w:jc w:val="center"/>
        </w:trPr>
        <w:tc>
          <w:tcPr>
            <w:tcW w:w="6081" w:type="dxa"/>
            <w:tcBorders>
              <w:top w:val="nil"/>
              <w:left w:val="nil"/>
              <w:bottom w:val="nil"/>
              <w:right w:val="nil"/>
            </w:tcBorders>
            <w:shd w:val="clear" w:color="auto" w:fill="auto"/>
            <w:vAlign w:val="center"/>
            <w:hideMark/>
          </w:tcPr>
          <w:p w14:paraId="7A5FC8B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Sistemas de aire acondicionado, calefacción y de refrigeración industrial y comercial</w:t>
            </w:r>
          </w:p>
        </w:tc>
        <w:tc>
          <w:tcPr>
            <w:tcW w:w="1819" w:type="dxa"/>
            <w:tcBorders>
              <w:top w:val="nil"/>
              <w:left w:val="nil"/>
              <w:bottom w:val="nil"/>
              <w:right w:val="nil"/>
            </w:tcBorders>
            <w:shd w:val="clear" w:color="auto" w:fill="auto"/>
            <w:vAlign w:val="center"/>
            <w:hideMark/>
          </w:tcPr>
          <w:p w14:paraId="47A300D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2EDB75C7" w14:textId="77777777">
        <w:trPr>
          <w:trHeight w:val="555"/>
          <w:jc w:val="center"/>
        </w:trPr>
        <w:tc>
          <w:tcPr>
            <w:tcW w:w="6081" w:type="dxa"/>
            <w:tcBorders>
              <w:top w:val="nil"/>
              <w:left w:val="nil"/>
              <w:bottom w:val="nil"/>
              <w:right w:val="nil"/>
            </w:tcBorders>
            <w:shd w:val="clear" w:color="auto" w:fill="auto"/>
            <w:vAlign w:val="center"/>
            <w:hideMark/>
          </w:tcPr>
          <w:p w14:paraId="700C257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Equipo de comunicación y telecomunicación</w:t>
            </w:r>
          </w:p>
        </w:tc>
        <w:tc>
          <w:tcPr>
            <w:tcW w:w="1819" w:type="dxa"/>
            <w:tcBorders>
              <w:top w:val="nil"/>
              <w:left w:val="nil"/>
              <w:bottom w:val="nil"/>
              <w:right w:val="nil"/>
            </w:tcBorders>
            <w:shd w:val="clear" w:color="auto" w:fill="auto"/>
            <w:vAlign w:val="center"/>
            <w:hideMark/>
          </w:tcPr>
          <w:p w14:paraId="1D06F46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100,000.00</w:t>
            </w:r>
          </w:p>
        </w:tc>
      </w:tr>
      <w:tr w:rsidR="00C6733C" w14:paraId="68583F54" w14:textId="77777777">
        <w:trPr>
          <w:trHeight w:val="555"/>
          <w:jc w:val="center"/>
        </w:trPr>
        <w:tc>
          <w:tcPr>
            <w:tcW w:w="6081" w:type="dxa"/>
            <w:tcBorders>
              <w:top w:val="nil"/>
              <w:left w:val="nil"/>
              <w:bottom w:val="nil"/>
              <w:right w:val="nil"/>
            </w:tcBorders>
            <w:shd w:val="clear" w:color="auto" w:fill="auto"/>
            <w:vAlign w:val="center"/>
            <w:hideMark/>
          </w:tcPr>
          <w:p w14:paraId="3442230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Herramientas y máquinas-herramienta</w:t>
            </w:r>
          </w:p>
        </w:tc>
        <w:tc>
          <w:tcPr>
            <w:tcW w:w="1819" w:type="dxa"/>
            <w:tcBorders>
              <w:top w:val="nil"/>
              <w:left w:val="nil"/>
              <w:bottom w:val="nil"/>
              <w:right w:val="nil"/>
            </w:tcBorders>
            <w:shd w:val="clear" w:color="auto" w:fill="auto"/>
            <w:vAlign w:val="center"/>
            <w:hideMark/>
          </w:tcPr>
          <w:p w14:paraId="6846347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38,000.00</w:t>
            </w:r>
          </w:p>
        </w:tc>
      </w:tr>
      <w:tr w:rsidR="00C6733C" w14:paraId="78F36D1C" w14:textId="77777777">
        <w:trPr>
          <w:trHeight w:val="555"/>
          <w:jc w:val="center"/>
        </w:trPr>
        <w:tc>
          <w:tcPr>
            <w:tcW w:w="6081" w:type="dxa"/>
            <w:tcBorders>
              <w:top w:val="nil"/>
              <w:left w:val="nil"/>
              <w:bottom w:val="nil"/>
              <w:right w:val="nil"/>
            </w:tcBorders>
            <w:shd w:val="clear" w:color="auto" w:fill="auto"/>
            <w:vAlign w:val="center"/>
            <w:hideMark/>
          </w:tcPr>
          <w:p w14:paraId="1C8261E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equipos</w:t>
            </w:r>
          </w:p>
        </w:tc>
        <w:tc>
          <w:tcPr>
            <w:tcW w:w="1819" w:type="dxa"/>
            <w:tcBorders>
              <w:top w:val="nil"/>
              <w:left w:val="nil"/>
              <w:bottom w:val="nil"/>
              <w:right w:val="nil"/>
            </w:tcBorders>
            <w:shd w:val="clear" w:color="auto" w:fill="auto"/>
            <w:vAlign w:val="center"/>
            <w:hideMark/>
          </w:tcPr>
          <w:p w14:paraId="50F242A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12,000.00</w:t>
            </w:r>
          </w:p>
        </w:tc>
      </w:tr>
      <w:tr w:rsidR="00C6733C" w14:paraId="179867D8" w14:textId="77777777">
        <w:trPr>
          <w:trHeight w:val="555"/>
          <w:jc w:val="center"/>
        </w:trPr>
        <w:tc>
          <w:tcPr>
            <w:tcW w:w="6081" w:type="dxa"/>
            <w:tcBorders>
              <w:top w:val="nil"/>
              <w:left w:val="nil"/>
              <w:bottom w:val="nil"/>
              <w:right w:val="nil"/>
            </w:tcBorders>
            <w:shd w:val="clear" w:color="auto" w:fill="auto"/>
            <w:vAlign w:val="center"/>
            <w:hideMark/>
          </w:tcPr>
          <w:p w14:paraId="2DADBBB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Activos intangibles</w:t>
            </w:r>
          </w:p>
        </w:tc>
        <w:tc>
          <w:tcPr>
            <w:tcW w:w="1819" w:type="dxa"/>
            <w:tcBorders>
              <w:top w:val="nil"/>
              <w:left w:val="nil"/>
              <w:bottom w:val="nil"/>
              <w:right w:val="nil"/>
            </w:tcBorders>
            <w:shd w:val="clear" w:color="auto" w:fill="auto"/>
            <w:vAlign w:val="center"/>
            <w:hideMark/>
          </w:tcPr>
          <w:p w14:paraId="7D072EB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1,038,800.00</w:t>
            </w:r>
          </w:p>
        </w:tc>
      </w:tr>
      <w:tr w:rsidR="00C6733C" w14:paraId="322D9FF4" w14:textId="77777777">
        <w:trPr>
          <w:trHeight w:val="555"/>
          <w:jc w:val="center"/>
        </w:trPr>
        <w:tc>
          <w:tcPr>
            <w:tcW w:w="6081" w:type="dxa"/>
            <w:tcBorders>
              <w:top w:val="nil"/>
              <w:left w:val="nil"/>
              <w:bottom w:val="nil"/>
              <w:right w:val="nil"/>
            </w:tcBorders>
            <w:shd w:val="clear" w:color="auto" w:fill="auto"/>
            <w:vAlign w:val="center"/>
            <w:hideMark/>
          </w:tcPr>
          <w:p w14:paraId="4CD48E0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Licencias informáticas e intelectuales</w:t>
            </w:r>
          </w:p>
        </w:tc>
        <w:tc>
          <w:tcPr>
            <w:tcW w:w="1819" w:type="dxa"/>
            <w:tcBorders>
              <w:top w:val="nil"/>
              <w:left w:val="nil"/>
              <w:bottom w:val="nil"/>
              <w:right w:val="nil"/>
            </w:tcBorders>
            <w:shd w:val="clear" w:color="auto" w:fill="auto"/>
            <w:vAlign w:val="center"/>
            <w:hideMark/>
          </w:tcPr>
          <w:p w14:paraId="1159841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1,038,800.00</w:t>
            </w:r>
          </w:p>
        </w:tc>
      </w:tr>
      <w:tr w:rsidR="00C6733C" w14:paraId="6364EFB6" w14:textId="77777777">
        <w:trPr>
          <w:trHeight w:val="555"/>
          <w:jc w:val="center"/>
        </w:trPr>
        <w:tc>
          <w:tcPr>
            <w:tcW w:w="6081" w:type="dxa"/>
            <w:tcBorders>
              <w:top w:val="nil"/>
              <w:left w:val="nil"/>
              <w:bottom w:val="nil"/>
              <w:right w:val="nil"/>
            </w:tcBorders>
            <w:shd w:val="clear" w:color="auto" w:fill="auto"/>
            <w:vAlign w:val="center"/>
            <w:hideMark/>
          </w:tcPr>
          <w:p w14:paraId="1B5E2A8F"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INVERSIÓN PÚBLICA</w:t>
            </w:r>
          </w:p>
        </w:tc>
        <w:tc>
          <w:tcPr>
            <w:tcW w:w="1819" w:type="dxa"/>
            <w:tcBorders>
              <w:top w:val="nil"/>
              <w:left w:val="nil"/>
              <w:bottom w:val="nil"/>
              <w:right w:val="nil"/>
            </w:tcBorders>
            <w:shd w:val="clear" w:color="auto" w:fill="auto"/>
            <w:vAlign w:val="center"/>
            <w:hideMark/>
          </w:tcPr>
          <w:p w14:paraId="06937E67"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4,390,578,510.06</w:t>
            </w:r>
          </w:p>
        </w:tc>
      </w:tr>
      <w:tr w:rsidR="00C6733C" w14:paraId="79F83285" w14:textId="77777777">
        <w:trPr>
          <w:trHeight w:val="555"/>
          <w:jc w:val="center"/>
        </w:trPr>
        <w:tc>
          <w:tcPr>
            <w:tcW w:w="6081" w:type="dxa"/>
            <w:tcBorders>
              <w:top w:val="nil"/>
              <w:left w:val="nil"/>
              <w:bottom w:val="nil"/>
              <w:right w:val="nil"/>
            </w:tcBorders>
            <w:shd w:val="clear" w:color="auto" w:fill="auto"/>
            <w:vAlign w:val="center"/>
            <w:hideMark/>
          </w:tcPr>
          <w:p w14:paraId="324CFF1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Obra pública en bienes de dominio público</w:t>
            </w:r>
          </w:p>
        </w:tc>
        <w:tc>
          <w:tcPr>
            <w:tcW w:w="1819" w:type="dxa"/>
            <w:tcBorders>
              <w:top w:val="nil"/>
              <w:left w:val="nil"/>
              <w:bottom w:val="nil"/>
              <w:right w:val="nil"/>
            </w:tcBorders>
            <w:shd w:val="clear" w:color="auto" w:fill="auto"/>
            <w:vAlign w:val="center"/>
            <w:hideMark/>
          </w:tcPr>
          <w:p w14:paraId="4EE31DB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2,724,322,059.00</w:t>
            </w:r>
          </w:p>
        </w:tc>
      </w:tr>
      <w:tr w:rsidR="00C6733C" w14:paraId="1946E469" w14:textId="77777777">
        <w:trPr>
          <w:trHeight w:val="555"/>
          <w:jc w:val="center"/>
        </w:trPr>
        <w:tc>
          <w:tcPr>
            <w:tcW w:w="6081" w:type="dxa"/>
            <w:tcBorders>
              <w:top w:val="nil"/>
              <w:left w:val="nil"/>
              <w:bottom w:val="nil"/>
              <w:right w:val="nil"/>
            </w:tcBorders>
            <w:shd w:val="clear" w:color="auto" w:fill="auto"/>
            <w:vAlign w:val="center"/>
            <w:hideMark/>
          </w:tcPr>
          <w:p w14:paraId="41B7233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Edificación no habitacional</w:t>
            </w:r>
          </w:p>
        </w:tc>
        <w:tc>
          <w:tcPr>
            <w:tcW w:w="1819" w:type="dxa"/>
            <w:tcBorders>
              <w:top w:val="nil"/>
              <w:left w:val="nil"/>
              <w:bottom w:val="nil"/>
              <w:right w:val="nil"/>
            </w:tcBorders>
            <w:shd w:val="clear" w:color="auto" w:fill="auto"/>
            <w:vAlign w:val="center"/>
            <w:hideMark/>
          </w:tcPr>
          <w:p w14:paraId="29CF85A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2,487,800,224.00</w:t>
            </w:r>
          </w:p>
        </w:tc>
      </w:tr>
      <w:tr w:rsidR="00C6733C" w14:paraId="17A6627F" w14:textId="77777777">
        <w:trPr>
          <w:trHeight w:val="555"/>
          <w:jc w:val="center"/>
        </w:trPr>
        <w:tc>
          <w:tcPr>
            <w:tcW w:w="6081" w:type="dxa"/>
            <w:tcBorders>
              <w:top w:val="nil"/>
              <w:left w:val="nil"/>
              <w:bottom w:val="nil"/>
              <w:right w:val="nil"/>
            </w:tcBorders>
            <w:shd w:val="clear" w:color="auto" w:fill="auto"/>
            <w:vAlign w:val="center"/>
            <w:hideMark/>
          </w:tcPr>
          <w:p w14:paraId="4FB53EF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Otras construcciones de ingeniería civil u </w:t>
            </w:r>
            <w:r>
              <w:rPr>
                <w:rFonts w:ascii="Arial" w:eastAsia="Times New Roman" w:hAnsi="Arial" w:cs="Arial"/>
                <w:color w:val="000000"/>
                <w:lang w:bidi="ar-SA"/>
              </w:rPr>
              <w:t>obra pesada</w:t>
            </w:r>
          </w:p>
        </w:tc>
        <w:tc>
          <w:tcPr>
            <w:tcW w:w="1819" w:type="dxa"/>
            <w:tcBorders>
              <w:top w:val="nil"/>
              <w:left w:val="nil"/>
              <w:bottom w:val="nil"/>
              <w:right w:val="nil"/>
            </w:tcBorders>
            <w:shd w:val="clear" w:color="auto" w:fill="auto"/>
            <w:vAlign w:val="center"/>
            <w:hideMark/>
          </w:tcPr>
          <w:p w14:paraId="773DC47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236,521,835.00</w:t>
            </w:r>
          </w:p>
        </w:tc>
      </w:tr>
      <w:tr w:rsidR="00C6733C" w14:paraId="006888E6" w14:textId="77777777">
        <w:trPr>
          <w:trHeight w:val="555"/>
          <w:jc w:val="center"/>
        </w:trPr>
        <w:tc>
          <w:tcPr>
            <w:tcW w:w="6081" w:type="dxa"/>
            <w:tcBorders>
              <w:top w:val="nil"/>
              <w:left w:val="nil"/>
              <w:bottom w:val="nil"/>
              <w:right w:val="nil"/>
            </w:tcBorders>
            <w:shd w:val="clear" w:color="auto" w:fill="auto"/>
            <w:vAlign w:val="center"/>
            <w:hideMark/>
          </w:tcPr>
          <w:p w14:paraId="651D5935"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Proyectos productivos y acciones de fomento</w:t>
            </w:r>
          </w:p>
        </w:tc>
        <w:tc>
          <w:tcPr>
            <w:tcW w:w="1819" w:type="dxa"/>
            <w:tcBorders>
              <w:top w:val="nil"/>
              <w:left w:val="nil"/>
              <w:bottom w:val="nil"/>
              <w:right w:val="nil"/>
            </w:tcBorders>
            <w:shd w:val="clear" w:color="auto" w:fill="auto"/>
            <w:vAlign w:val="center"/>
            <w:hideMark/>
          </w:tcPr>
          <w:p w14:paraId="31F43380"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1,666,256,451.06</w:t>
            </w:r>
          </w:p>
        </w:tc>
      </w:tr>
      <w:tr w:rsidR="00C6733C" w14:paraId="25461D40" w14:textId="77777777">
        <w:trPr>
          <w:trHeight w:val="555"/>
          <w:jc w:val="center"/>
        </w:trPr>
        <w:tc>
          <w:tcPr>
            <w:tcW w:w="6081" w:type="dxa"/>
            <w:tcBorders>
              <w:top w:val="nil"/>
              <w:left w:val="nil"/>
              <w:bottom w:val="nil"/>
              <w:right w:val="nil"/>
            </w:tcBorders>
            <w:shd w:val="clear" w:color="auto" w:fill="auto"/>
            <w:vAlign w:val="center"/>
            <w:hideMark/>
          </w:tcPr>
          <w:p w14:paraId="4558996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Ejecución de proyectos productivos no incluidos en conceptos anteriores de este capitulo</w:t>
            </w:r>
          </w:p>
        </w:tc>
        <w:tc>
          <w:tcPr>
            <w:tcW w:w="1819" w:type="dxa"/>
            <w:tcBorders>
              <w:top w:val="nil"/>
              <w:left w:val="nil"/>
              <w:bottom w:val="nil"/>
              <w:right w:val="nil"/>
            </w:tcBorders>
            <w:shd w:val="clear" w:color="auto" w:fill="auto"/>
            <w:vAlign w:val="center"/>
            <w:hideMark/>
          </w:tcPr>
          <w:p w14:paraId="7301C09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1,666,256,451.06</w:t>
            </w:r>
          </w:p>
        </w:tc>
      </w:tr>
      <w:tr w:rsidR="00C6733C" w14:paraId="7383252B" w14:textId="77777777">
        <w:trPr>
          <w:trHeight w:val="555"/>
          <w:jc w:val="center"/>
        </w:trPr>
        <w:tc>
          <w:tcPr>
            <w:tcW w:w="6081" w:type="dxa"/>
            <w:tcBorders>
              <w:top w:val="nil"/>
              <w:left w:val="nil"/>
              <w:bottom w:val="nil"/>
              <w:right w:val="nil"/>
            </w:tcBorders>
            <w:shd w:val="clear" w:color="auto" w:fill="auto"/>
            <w:vAlign w:val="center"/>
            <w:hideMark/>
          </w:tcPr>
          <w:p w14:paraId="0DDCE350"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PARTICIPACIONES Y APORTACIONES</w:t>
            </w:r>
          </w:p>
        </w:tc>
        <w:tc>
          <w:tcPr>
            <w:tcW w:w="1819" w:type="dxa"/>
            <w:tcBorders>
              <w:top w:val="nil"/>
              <w:left w:val="nil"/>
              <w:bottom w:val="nil"/>
              <w:right w:val="nil"/>
            </w:tcBorders>
            <w:shd w:val="clear" w:color="auto" w:fill="auto"/>
            <w:vAlign w:val="center"/>
            <w:hideMark/>
          </w:tcPr>
          <w:p w14:paraId="6E093D57"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15,809,748,388.27</w:t>
            </w:r>
          </w:p>
        </w:tc>
      </w:tr>
      <w:tr w:rsidR="00C6733C" w14:paraId="42143680" w14:textId="77777777">
        <w:trPr>
          <w:trHeight w:val="555"/>
          <w:jc w:val="center"/>
        </w:trPr>
        <w:tc>
          <w:tcPr>
            <w:tcW w:w="6081" w:type="dxa"/>
            <w:tcBorders>
              <w:top w:val="nil"/>
              <w:left w:val="nil"/>
              <w:bottom w:val="nil"/>
              <w:right w:val="nil"/>
            </w:tcBorders>
            <w:shd w:val="clear" w:color="auto" w:fill="auto"/>
            <w:vAlign w:val="center"/>
            <w:hideMark/>
          </w:tcPr>
          <w:p w14:paraId="0935D87D"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Participa</w:t>
            </w:r>
            <w:r>
              <w:rPr>
                <w:rFonts w:ascii="Arial" w:eastAsia="Times New Roman" w:hAnsi="Arial" w:cs="Arial"/>
                <w:b/>
                <w:bCs/>
                <w:color w:val="000000"/>
                <w:lang w:bidi="ar-SA"/>
              </w:rPr>
              <w:t>ciones</w:t>
            </w:r>
          </w:p>
        </w:tc>
        <w:tc>
          <w:tcPr>
            <w:tcW w:w="1819" w:type="dxa"/>
            <w:tcBorders>
              <w:top w:val="nil"/>
              <w:left w:val="nil"/>
              <w:bottom w:val="nil"/>
              <w:right w:val="nil"/>
            </w:tcBorders>
            <w:shd w:val="clear" w:color="auto" w:fill="auto"/>
            <w:vAlign w:val="center"/>
            <w:hideMark/>
          </w:tcPr>
          <w:p w14:paraId="71BEDC3E"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5,510,973,028.27</w:t>
            </w:r>
          </w:p>
        </w:tc>
      </w:tr>
      <w:tr w:rsidR="00C6733C" w14:paraId="34BCACA0" w14:textId="77777777">
        <w:trPr>
          <w:trHeight w:val="555"/>
          <w:jc w:val="center"/>
        </w:trPr>
        <w:tc>
          <w:tcPr>
            <w:tcW w:w="6081" w:type="dxa"/>
            <w:tcBorders>
              <w:top w:val="nil"/>
              <w:left w:val="nil"/>
              <w:bottom w:val="nil"/>
              <w:right w:val="nil"/>
            </w:tcBorders>
            <w:shd w:val="clear" w:color="auto" w:fill="auto"/>
            <w:vAlign w:val="center"/>
            <w:hideMark/>
          </w:tcPr>
          <w:p w14:paraId="1C7BAFA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general de participaciones</w:t>
            </w:r>
          </w:p>
        </w:tc>
        <w:tc>
          <w:tcPr>
            <w:tcW w:w="1819" w:type="dxa"/>
            <w:tcBorders>
              <w:top w:val="nil"/>
              <w:left w:val="nil"/>
              <w:bottom w:val="nil"/>
              <w:right w:val="nil"/>
            </w:tcBorders>
            <w:shd w:val="clear" w:color="auto" w:fill="auto"/>
            <w:vAlign w:val="center"/>
            <w:hideMark/>
          </w:tcPr>
          <w:p w14:paraId="500D993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3,829,666,420.67</w:t>
            </w:r>
          </w:p>
        </w:tc>
      </w:tr>
      <w:tr w:rsidR="00C6733C" w14:paraId="41A73FF2" w14:textId="77777777">
        <w:trPr>
          <w:trHeight w:val="555"/>
          <w:jc w:val="center"/>
        </w:trPr>
        <w:tc>
          <w:tcPr>
            <w:tcW w:w="6081" w:type="dxa"/>
            <w:tcBorders>
              <w:top w:val="nil"/>
              <w:left w:val="nil"/>
              <w:bottom w:val="nil"/>
              <w:right w:val="nil"/>
            </w:tcBorders>
            <w:shd w:val="clear" w:color="auto" w:fill="auto"/>
            <w:vAlign w:val="center"/>
            <w:hideMark/>
          </w:tcPr>
          <w:p w14:paraId="45374C7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fomento municipal</w:t>
            </w:r>
          </w:p>
        </w:tc>
        <w:tc>
          <w:tcPr>
            <w:tcW w:w="1819" w:type="dxa"/>
            <w:tcBorders>
              <w:top w:val="nil"/>
              <w:left w:val="nil"/>
              <w:bottom w:val="nil"/>
              <w:right w:val="nil"/>
            </w:tcBorders>
            <w:shd w:val="clear" w:color="auto" w:fill="auto"/>
            <w:vAlign w:val="center"/>
            <w:hideMark/>
          </w:tcPr>
          <w:p w14:paraId="757C6E7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1,458,899,360.00</w:t>
            </w:r>
          </w:p>
        </w:tc>
      </w:tr>
      <w:tr w:rsidR="00C6733C" w14:paraId="32F2EBDA" w14:textId="77777777">
        <w:trPr>
          <w:trHeight w:val="555"/>
          <w:jc w:val="center"/>
        </w:trPr>
        <w:tc>
          <w:tcPr>
            <w:tcW w:w="6081" w:type="dxa"/>
            <w:tcBorders>
              <w:top w:val="nil"/>
              <w:left w:val="nil"/>
              <w:bottom w:val="nil"/>
              <w:right w:val="nil"/>
            </w:tcBorders>
            <w:shd w:val="clear" w:color="auto" w:fill="auto"/>
            <w:vAlign w:val="center"/>
            <w:hideMark/>
          </w:tcPr>
          <w:p w14:paraId="484D0A0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conceptos participables de la federación a  entidades federativas</w:t>
            </w:r>
          </w:p>
        </w:tc>
        <w:tc>
          <w:tcPr>
            <w:tcW w:w="1819" w:type="dxa"/>
            <w:tcBorders>
              <w:top w:val="nil"/>
              <w:left w:val="nil"/>
              <w:bottom w:val="nil"/>
              <w:right w:val="nil"/>
            </w:tcBorders>
            <w:shd w:val="clear" w:color="auto" w:fill="auto"/>
            <w:vAlign w:val="center"/>
            <w:hideMark/>
          </w:tcPr>
          <w:p w14:paraId="4E872DC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222,407,247.60</w:t>
            </w:r>
          </w:p>
        </w:tc>
      </w:tr>
      <w:tr w:rsidR="00C6733C" w14:paraId="6EE9CC14" w14:textId="77777777">
        <w:trPr>
          <w:trHeight w:val="555"/>
          <w:jc w:val="center"/>
        </w:trPr>
        <w:tc>
          <w:tcPr>
            <w:tcW w:w="6081" w:type="dxa"/>
            <w:tcBorders>
              <w:top w:val="nil"/>
              <w:left w:val="nil"/>
              <w:bottom w:val="nil"/>
              <w:right w:val="nil"/>
            </w:tcBorders>
            <w:shd w:val="clear" w:color="auto" w:fill="auto"/>
            <w:vAlign w:val="center"/>
            <w:hideMark/>
          </w:tcPr>
          <w:p w14:paraId="2C4EE08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Aportaciones</w:t>
            </w:r>
          </w:p>
        </w:tc>
        <w:tc>
          <w:tcPr>
            <w:tcW w:w="1819" w:type="dxa"/>
            <w:tcBorders>
              <w:top w:val="nil"/>
              <w:left w:val="nil"/>
              <w:bottom w:val="nil"/>
              <w:right w:val="nil"/>
            </w:tcBorders>
            <w:shd w:val="clear" w:color="auto" w:fill="auto"/>
            <w:vAlign w:val="center"/>
            <w:hideMark/>
          </w:tcPr>
          <w:p w14:paraId="6907E504"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10,298,775,360.00</w:t>
            </w:r>
          </w:p>
        </w:tc>
      </w:tr>
      <w:tr w:rsidR="00C6733C" w14:paraId="4E36449B" w14:textId="77777777">
        <w:trPr>
          <w:trHeight w:val="555"/>
          <w:jc w:val="center"/>
        </w:trPr>
        <w:tc>
          <w:tcPr>
            <w:tcW w:w="6081" w:type="dxa"/>
            <w:tcBorders>
              <w:top w:val="nil"/>
              <w:left w:val="nil"/>
              <w:bottom w:val="nil"/>
              <w:right w:val="nil"/>
            </w:tcBorders>
            <w:shd w:val="clear" w:color="auto" w:fill="auto"/>
            <w:vAlign w:val="center"/>
            <w:hideMark/>
          </w:tcPr>
          <w:p w14:paraId="1A46FE4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Aportaciones de la federación a municipios</w:t>
            </w:r>
          </w:p>
        </w:tc>
        <w:tc>
          <w:tcPr>
            <w:tcW w:w="1819" w:type="dxa"/>
            <w:tcBorders>
              <w:top w:val="nil"/>
              <w:left w:val="nil"/>
              <w:bottom w:val="nil"/>
              <w:right w:val="nil"/>
            </w:tcBorders>
            <w:shd w:val="clear" w:color="auto" w:fill="auto"/>
            <w:vAlign w:val="center"/>
            <w:hideMark/>
          </w:tcPr>
          <w:p w14:paraId="30948EC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10,298,775,360.00</w:t>
            </w:r>
          </w:p>
        </w:tc>
      </w:tr>
      <w:tr w:rsidR="00C6733C" w14:paraId="47C36CF5" w14:textId="77777777">
        <w:trPr>
          <w:trHeight w:val="555"/>
          <w:jc w:val="center"/>
        </w:trPr>
        <w:tc>
          <w:tcPr>
            <w:tcW w:w="6081" w:type="dxa"/>
            <w:tcBorders>
              <w:top w:val="nil"/>
              <w:left w:val="nil"/>
              <w:bottom w:val="nil"/>
              <w:right w:val="nil"/>
            </w:tcBorders>
            <w:shd w:val="clear" w:color="auto" w:fill="auto"/>
            <w:vAlign w:val="center"/>
            <w:hideMark/>
          </w:tcPr>
          <w:p w14:paraId="12F2BFC2"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DEUDA PÚBLICA</w:t>
            </w:r>
          </w:p>
        </w:tc>
        <w:tc>
          <w:tcPr>
            <w:tcW w:w="1819" w:type="dxa"/>
            <w:tcBorders>
              <w:top w:val="nil"/>
              <w:left w:val="nil"/>
              <w:bottom w:val="nil"/>
              <w:right w:val="nil"/>
            </w:tcBorders>
            <w:shd w:val="clear" w:color="auto" w:fill="auto"/>
            <w:vAlign w:val="center"/>
            <w:hideMark/>
          </w:tcPr>
          <w:p w14:paraId="05B339F7"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3,887,656,538.97</w:t>
            </w:r>
          </w:p>
        </w:tc>
      </w:tr>
      <w:tr w:rsidR="00C6733C" w14:paraId="3631E2AA" w14:textId="77777777">
        <w:trPr>
          <w:trHeight w:val="555"/>
          <w:jc w:val="center"/>
        </w:trPr>
        <w:tc>
          <w:tcPr>
            <w:tcW w:w="6081" w:type="dxa"/>
            <w:tcBorders>
              <w:top w:val="nil"/>
              <w:left w:val="nil"/>
              <w:bottom w:val="nil"/>
              <w:right w:val="nil"/>
            </w:tcBorders>
            <w:shd w:val="clear" w:color="auto" w:fill="auto"/>
            <w:vAlign w:val="center"/>
            <w:hideMark/>
          </w:tcPr>
          <w:p w14:paraId="2F37BDA2"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Amortización de la deuda pública</w:t>
            </w:r>
          </w:p>
        </w:tc>
        <w:tc>
          <w:tcPr>
            <w:tcW w:w="1819" w:type="dxa"/>
            <w:tcBorders>
              <w:top w:val="nil"/>
              <w:left w:val="nil"/>
              <w:bottom w:val="nil"/>
              <w:right w:val="nil"/>
            </w:tcBorders>
            <w:shd w:val="clear" w:color="auto" w:fill="auto"/>
            <w:vAlign w:val="center"/>
            <w:hideMark/>
          </w:tcPr>
          <w:p w14:paraId="0872C66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2,395,981,325.00</w:t>
            </w:r>
          </w:p>
        </w:tc>
      </w:tr>
      <w:tr w:rsidR="00C6733C" w14:paraId="382C2AF7" w14:textId="77777777">
        <w:trPr>
          <w:trHeight w:val="555"/>
          <w:jc w:val="center"/>
        </w:trPr>
        <w:tc>
          <w:tcPr>
            <w:tcW w:w="6081" w:type="dxa"/>
            <w:tcBorders>
              <w:top w:val="nil"/>
              <w:left w:val="nil"/>
              <w:bottom w:val="nil"/>
              <w:right w:val="nil"/>
            </w:tcBorders>
            <w:shd w:val="clear" w:color="auto" w:fill="auto"/>
            <w:vAlign w:val="center"/>
            <w:hideMark/>
          </w:tcPr>
          <w:p w14:paraId="32D162A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Amortización de la deuda interna con instituciones de crédito</w:t>
            </w:r>
          </w:p>
        </w:tc>
        <w:tc>
          <w:tcPr>
            <w:tcW w:w="1819" w:type="dxa"/>
            <w:tcBorders>
              <w:top w:val="nil"/>
              <w:left w:val="nil"/>
              <w:bottom w:val="nil"/>
              <w:right w:val="nil"/>
            </w:tcBorders>
            <w:shd w:val="clear" w:color="auto" w:fill="auto"/>
            <w:vAlign w:val="center"/>
            <w:hideMark/>
          </w:tcPr>
          <w:p w14:paraId="25C2AB2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2,395,981,325.00</w:t>
            </w:r>
          </w:p>
        </w:tc>
      </w:tr>
      <w:tr w:rsidR="00C6733C" w14:paraId="42669F4F" w14:textId="77777777">
        <w:trPr>
          <w:trHeight w:val="555"/>
          <w:jc w:val="center"/>
        </w:trPr>
        <w:tc>
          <w:tcPr>
            <w:tcW w:w="6081" w:type="dxa"/>
            <w:tcBorders>
              <w:top w:val="nil"/>
              <w:left w:val="nil"/>
              <w:bottom w:val="nil"/>
              <w:right w:val="nil"/>
            </w:tcBorders>
            <w:shd w:val="clear" w:color="auto" w:fill="auto"/>
            <w:vAlign w:val="center"/>
            <w:hideMark/>
          </w:tcPr>
          <w:p w14:paraId="117929FD"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Intereses de la deuda pública</w:t>
            </w:r>
          </w:p>
        </w:tc>
        <w:tc>
          <w:tcPr>
            <w:tcW w:w="1819" w:type="dxa"/>
            <w:tcBorders>
              <w:top w:val="nil"/>
              <w:left w:val="nil"/>
              <w:bottom w:val="nil"/>
              <w:right w:val="nil"/>
            </w:tcBorders>
            <w:shd w:val="clear" w:color="auto" w:fill="auto"/>
            <w:vAlign w:val="center"/>
            <w:hideMark/>
          </w:tcPr>
          <w:p w14:paraId="704C83BB"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1,321,951,159.00</w:t>
            </w:r>
          </w:p>
        </w:tc>
      </w:tr>
      <w:tr w:rsidR="00C6733C" w14:paraId="546FBB50" w14:textId="77777777">
        <w:trPr>
          <w:trHeight w:val="555"/>
          <w:jc w:val="center"/>
        </w:trPr>
        <w:tc>
          <w:tcPr>
            <w:tcW w:w="6081" w:type="dxa"/>
            <w:tcBorders>
              <w:top w:val="nil"/>
              <w:left w:val="nil"/>
              <w:bottom w:val="nil"/>
              <w:right w:val="nil"/>
            </w:tcBorders>
            <w:shd w:val="clear" w:color="auto" w:fill="auto"/>
            <w:vAlign w:val="center"/>
            <w:hideMark/>
          </w:tcPr>
          <w:p w14:paraId="75FA75A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Intereses de la deuda interna con instituciones de crédito</w:t>
            </w:r>
          </w:p>
        </w:tc>
        <w:tc>
          <w:tcPr>
            <w:tcW w:w="1819" w:type="dxa"/>
            <w:tcBorders>
              <w:top w:val="nil"/>
              <w:left w:val="nil"/>
              <w:bottom w:val="nil"/>
              <w:right w:val="nil"/>
            </w:tcBorders>
            <w:shd w:val="clear" w:color="auto" w:fill="auto"/>
            <w:vAlign w:val="center"/>
            <w:hideMark/>
          </w:tcPr>
          <w:p w14:paraId="247FC33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1,321,951,159.00</w:t>
            </w:r>
          </w:p>
        </w:tc>
      </w:tr>
      <w:tr w:rsidR="00C6733C" w14:paraId="06A6358D" w14:textId="77777777">
        <w:trPr>
          <w:trHeight w:val="555"/>
          <w:jc w:val="center"/>
        </w:trPr>
        <w:tc>
          <w:tcPr>
            <w:tcW w:w="6081" w:type="dxa"/>
            <w:tcBorders>
              <w:top w:val="nil"/>
              <w:left w:val="nil"/>
              <w:bottom w:val="nil"/>
              <w:right w:val="nil"/>
            </w:tcBorders>
            <w:shd w:val="clear" w:color="auto" w:fill="auto"/>
            <w:vAlign w:val="center"/>
            <w:hideMark/>
          </w:tcPr>
          <w:p w14:paraId="5D71D2B6"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Gastos de la deuda pública</w:t>
            </w:r>
          </w:p>
        </w:tc>
        <w:tc>
          <w:tcPr>
            <w:tcW w:w="1819" w:type="dxa"/>
            <w:tcBorders>
              <w:top w:val="nil"/>
              <w:left w:val="nil"/>
              <w:bottom w:val="nil"/>
              <w:right w:val="nil"/>
            </w:tcBorders>
            <w:shd w:val="clear" w:color="auto" w:fill="auto"/>
            <w:vAlign w:val="center"/>
            <w:hideMark/>
          </w:tcPr>
          <w:p w14:paraId="72AD8A7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13,270,448.97</w:t>
            </w:r>
          </w:p>
        </w:tc>
      </w:tr>
      <w:tr w:rsidR="00C6733C" w14:paraId="735680DC" w14:textId="77777777">
        <w:trPr>
          <w:trHeight w:val="555"/>
          <w:jc w:val="center"/>
        </w:trPr>
        <w:tc>
          <w:tcPr>
            <w:tcW w:w="6081" w:type="dxa"/>
            <w:tcBorders>
              <w:top w:val="nil"/>
              <w:left w:val="nil"/>
              <w:bottom w:val="nil"/>
              <w:right w:val="nil"/>
            </w:tcBorders>
            <w:shd w:val="clear" w:color="auto" w:fill="auto"/>
            <w:vAlign w:val="center"/>
            <w:hideMark/>
          </w:tcPr>
          <w:p w14:paraId="316123C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Gastos de la deuda pública interna</w:t>
            </w:r>
          </w:p>
        </w:tc>
        <w:tc>
          <w:tcPr>
            <w:tcW w:w="1819" w:type="dxa"/>
            <w:tcBorders>
              <w:top w:val="nil"/>
              <w:left w:val="nil"/>
              <w:bottom w:val="nil"/>
              <w:right w:val="nil"/>
            </w:tcBorders>
            <w:shd w:val="clear" w:color="auto" w:fill="auto"/>
            <w:vAlign w:val="center"/>
            <w:hideMark/>
          </w:tcPr>
          <w:p w14:paraId="76A6AD6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13,270,448.97</w:t>
            </w:r>
          </w:p>
        </w:tc>
      </w:tr>
      <w:tr w:rsidR="00C6733C" w14:paraId="2C38EBE5" w14:textId="77777777">
        <w:trPr>
          <w:trHeight w:val="555"/>
          <w:jc w:val="center"/>
        </w:trPr>
        <w:tc>
          <w:tcPr>
            <w:tcW w:w="6081" w:type="dxa"/>
            <w:tcBorders>
              <w:top w:val="nil"/>
              <w:left w:val="nil"/>
              <w:bottom w:val="nil"/>
              <w:right w:val="nil"/>
            </w:tcBorders>
            <w:shd w:val="clear" w:color="auto" w:fill="auto"/>
            <w:vAlign w:val="center"/>
            <w:hideMark/>
          </w:tcPr>
          <w:p w14:paraId="589A664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Costo por </w:t>
            </w:r>
            <w:r>
              <w:rPr>
                <w:rFonts w:ascii="Arial" w:eastAsia="Times New Roman" w:hAnsi="Arial" w:cs="Arial"/>
                <w:b/>
                <w:bCs/>
                <w:color w:val="000000"/>
                <w:lang w:bidi="ar-SA"/>
              </w:rPr>
              <w:t>coberturas</w:t>
            </w:r>
          </w:p>
        </w:tc>
        <w:tc>
          <w:tcPr>
            <w:tcW w:w="1819" w:type="dxa"/>
            <w:tcBorders>
              <w:top w:val="nil"/>
              <w:left w:val="nil"/>
              <w:bottom w:val="nil"/>
              <w:right w:val="nil"/>
            </w:tcBorders>
            <w:shd w:val="clear" w:color="auto" w:fill="auto"/>
            <w:vAlign w:val="center"/>
            <w:hideMark/>
          </w:tcPr>
          <w:p w14:paraId="36531427"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156,453,606.00</w:t>
            </w:r>
          </w:p>
        </w:tc>
      </w:tr>
      <w:tr w:rsidR="00C6733C" w14:paraId="51E34E44" w14:textId="77777777">
        <w:trPr>
          <w:trHeight w:val="555"/>
          <w:jc w:val="center"/>
        </w:trPr>
        <w:tc>
          <w:tcPr>
            <w:tcW w:w="6081" w:type="dxa"/>
            <w:tcBorders>
              <w:top w:val="nil"/>
              <w:left w:val="nil"/>
              <w:bottom w:val="nil"/>
              <w:right w:val="nil"/>
            </w:tcBorders>
            <w:shd w:val="clear" w:color="auto" w:fill="auto"/>
            <w:vAlign w:val="center"/>
            <w:hideMark/>
          </w:tcPr>
          <w:p w14:paraId="1EBE6DD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Costos por coberturas</w:t>
            </w:r>
          </w:p>
        </w:tc>
        <w:tc>
          <w:tcPr>
            <w:tcW w:w="1819" w:type="dxa"/>
            <w:tcBorders>
              <w:top w:val="nil"/>
              <w:left w:val="nil"/>
              <w:bottom w:val="nil"/>
              <w:right w:val="nil"/>
            </w:tcBorders>
            <w:shd w:val="clear" w:color="auto" w:fill="auto"/>
            <w:vAlign w:val="center"/>
            <w:hideMark/>
          </w:tcPr>
          <w:p w14:paraId="0A89573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156,453,606.00</w:t>
            </w:r>
          </w:p>
        </w:tc>
      </w:tr>
      <w:tr w:rsidR="00C6733C" w14:paraId="445D5997" w14:textId="77777777">
        <w:trPr>
          <w:trHeight w:val="555"/>
          <w:jc w:val="center"/>
        </w:trPr>
        <w:tc>
          <w:tcPr>
            <w:tcW w:w="6081" w:type="dxa"/>
            <w:tcBorders>
              <w:top w:val="nil"/>
              <w:left w:val="nil"/>
              <w:bottom w:val="nil"/>
              <w:right w:val="nil"/>
            </w:tcBorders>
            <w:shd w:val="clear" w:color="auto" w:fill="auto"/>
            <w:vAlign w:val="center"/>
            <w:hideMark/>
          </w:tcPr>
          <w:p w14:paraId="183E6185"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819" w:type="dxa"/>
            <w:tcBorders>
              <w:top w:val="nil"/>
              <w:left w:val="nil"/>
              <w:bottom w:val="nil"/>
              <w:right w:val="nil"/>
            </w:tcBorders>
            <w:shd w:val="clear" w:color="auto" w:fill="auto"/>
            <w:vAlign w:val="center"/>
            <w:hideMark/>
          </w:tcPr>
          <w:p w14:paraId="2C2FE47D"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14:paraId="4C42C8F3" w14:textId="77777777" w:rsidR="00C6733C" w:rsidRDefault="00C6733C">
      <w:pPr>
        <w:pStyle w:val="Textoindependiente"/>
        <w:ind w:right="-29"/>
        <w:jc w:val="both"/>
        <w:rPr>
          <w:b/>
          <w:sz w:val="22"/>
          <w:szCs w:val="22"/>
        </w:rPr>
      </w:pPr>
    </w:p>
    <w:p w14:paraId="3923FCFA" w14:textId="77777777" w:rsidR="00C6733C" w:rsidRDefault="006D0638">
      <w:pPr>
        <w:pStyle w:val="Textoindependiente"/>
        <w:ind w:right="-29"/>
        <w:jc w:val="both"/>
        <w:rPr>
          <w:sz w:val="22"/>
          <w:szCs w:val="22"/>
        </w:rPr>
      </w:pPr>
      <w:r>
        <w:rPr>
          <w:b/>
          <w:sz w:val="22"/>
          <w:szCs w:val="22"/>
        </w:rPr>
        <w:t xml:space="preserve">Artículo 49. </w:t>
      </w:r>
      <w:r>
        <w:rPr>
          <w:sz w:val="22"/>
          <w:szCs w:val="22"/>
        </w:rPr>
        <w:t xml:space="preserve">El gasto público atendiendo a la Clasificación Funcional, homologada a las disposiciones emitidas a nivel nacional por el Consejo </w:t>
      </w:r>
      <w:r>
        <w:rPr>
          <w:sz w:val="22"/>
          <w:szCs w:val="22"/>
        </w:rPr>
        <w:t>Nacional de Armonización Contable, se distribuye de la siguiente manera:</w:t>
      </w:r>
    </w:p>
    <w:p w14:paraId="34ACCF79" w14:textId="77777777" w:rsidR="00C6733C" w:rsidRDefault="00C6733C">
      <w:pPr>
        <w:pStyle w:val="Textoindependiente"/>
        <w:rPr>
          <w:sz w:val="22"/>
          <w:szCs w:val="22"/>
        </w:rPr>
      </w:pPr>
    </w:p>
    <w:tbl>
      <w:tblPr>
        <w:tblW w:w="7840" w:type="dxa"/>
        <w:jc w:val="center"/>
        <w:tblCellMar>
          <w:left w:w="70" w:type="dxa"/>
          <w:right w:w="70" w:type="dxa"/>
        </w:tblCellMar>
        <w:tblLook w:val="04A0" w:firstRow="1" w:lastRow="0" w:firstColumn="1" w:lastColumn="0" w:noHBand="0" w:noVBand="1"/>
      </w:tblPr>
      <w:tblGrid>
        <w:gridCol w:w="5580"/>
        <w:gridCol w:w="2260"/>
      </w:tblGrid>
      <w:tr w:rsidR="00C6733C" w14:paraId="70C56F36" w14:textId="77777777">
        <w:trPr>
          <w:trHeight w:val="540"/>
          <w:jc w:val="center"/>
        </w:trPr>
        <w:tc>
          <w:tcPr>
            <w:tcW w:w="5580" w:type="dxa"/>
            <w:tcBorders>
              <w:top w:val="nil"/>
              <w:left w:val="nil"/>
              <w:bottom w:val="nil"/>
              <w:right w:val="nil"/>
            </w:tcBorders>
            <w:shd w:val="clear" w:color="auto" w:fill="auto"/>
            <w:noWrap/>
            <w:vAlign w:val="center"/>
            <w:hideMark/>
          </w:tcPr>
          <w:p w14:paraId="64A027D3" w14:textId="77777777" w:rsidR="00C6733C" w:rsidRDefault="00C6733C">
            <w:pPr>
              <w:widowControl/>
              <w:autoSpaceDE/>
              <w:autoSpaceDN/>
              <w:rPr>
                <w:rFonts w:ascii="Arial" w:eastAsia="Times New Roman" w:hAnsi="Arial" w:cs="Arial"/>
                <w:lang w:bidi="ar-SA"/>
              </w:rPr>
            </w:pPr>
          </w:p>
        </w:tc>
        <w:tc>
          <w:tcPr>
            <w:tcW w:w="2260" w:type="dxa"/>
            <w:tcBorders>
              <w:top w:val="nil"/>
              <w:left w:val="nil"/>
              <w:bottom w:val="nil"/>
              <w:right w:val="nil"/>
            </w:tcBorders>
            <w:shd w:val="clear" w:color="auto" w:fill="auto"/>
            <w:noWrap/>
            <w:vAlign w:val="center"/>
            <w:hideMark/>
          </w:tcPr>
          <w:p w14:paraId="6F24C5CE"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7589A96F" w14:textId="77777777">
        <w:trPr>
          <w:trHeight w:val="540"/>
          <w:jc w:val="center"/>
        </w:trPr>
        <w:tc>
          <w:tcPr>
            <w:tcW w:w="5580" w:type="dxa"/>
            <w:tcBorders>
              <w:top w:val="nil"/>
              <w:left w:val="nil"/>
              <w:bottom w:val="nil"/>
              <w:right w:val="nil"/>
            </w:tcBorders>
            <w:shd w:val="clear" w:color="auto" w:fill="auto"/>
            <w:vAlign w:val="center"/>
            <w:hideMark/>
          </w:tcPr>
          <w:p w14:paraId="614862B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GOBIERNO</w:t>
            </w:r>
          </w:p>
        </w:tc>
        <w:tc>
          <w:tcPr>
            <w:tcW w:w="2260" w:type="dxa"/>
            <w:tcBorders>
              <w:top w:val="nil"/>
              <w:left w:val="nil"/>
              <w:bottom w:val="nil"/>
              <w:right w:val="nil"/>
            </w:tcBorders>
            <w:shd w:val="clear" w:color="auto" w:fill="auto"/>
            <w:noWrap/>
            <w:vAlign w:val="center"/>
            <w:hideMark/>
          </w:tcPr>
          <w:p w14:paraId="31005A0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9,369,193,279.36</w:t>
            </w:r>
          </w:p>
        </w:tc>
      </w:tr>
      <w:tr w:rsidR="00C6733C" w14:paraId="04148EC4" w14:textId="77777777">
        <w:trPr>
          <w:trHeight w:val="540"/>
          <w:jc w:val="center"/>
        </w:trPr>
        <w:tc>
          <w:tcPr>
            <w:tcW w:w="5580" w:type="dxa"/>
            <w:tcBorders>
              <w:top w:val="nil"/>
              <w:left w:val="nil"/>
              <w:bottom w:val="nil"/>
              <w:right w:val="nil"/>
            </w:tcBorders>
            <w:shd w:val="clear" w:color="auto" w:fill="auto"/>
            <w:vAlign w:val="center"/>
            <w:hideMark/>
          </w:tcPr>
          <w:p w14:paraId="3D35F5B2"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LEGISLACIÓN</w:t>
            </w:r>
          </w:p>
        </w:tc>
        <w:tc>
          <w:tcPr>
            <w:tcW w:w="2260" w:type="dxa"/>
            <w:tcBorders>
              <w:top w:val="nil"/>
              <w:left w:val="nil"/>
              <w:bottom w:val="nil"/>
              <w:right w:val="nil"/>
            </w:tcBorders>
            <w:shd w:val="clear" w:color="auto" w:fill="auto"/>
            <w:noWrap/>
            <w:vAlign w:val="center"/>
            <w:hideMark/>
          </w:tcPr>
          <w:p w14:paraId="5A1F769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521,564,292.00</w:t>
            </w:r>
          </w:p>
        </w:tc>
      </w:tr>
      <w:tr w:rsidR="00C6733C" w14:paraId="5238B49F" w14:textId="77777777">
        <w:trPr>
          <w:trHeight w:val="540"/>
          <w:jc w:val="center"/>
        </w:trPr>
        <w:tc>
          <w:tcPr>
            <w:tcW w:w="5580" w:type="dxa"/>
            <w:tcBorders>
              <w:top w:val="nil"/>
              <w:left w:val="nil"/>
              <w:bottom w:val="nil"/>
              <w:right w:val="nil"/>
            </w:tcBorders>
            <w:shd w:val="clear" w:color="auto" w:fill="auto"/>
            <w:vAlign w:val="center"/>
            <w:hideMark/>
          </w:tcPr>
          <w:p w14:paraId="23B5B2D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Legislación</w:t>
            </w:r>
          </w:p>
        </w:tc>
        <w:tc>
          <w:tcPr>
            <w:tcW w:w="2260" w:type="dxa"/>
            <w:tcBorders>
              <w:top w:val="nil"/>
              <w:left w:val="nil"/>
              <w:bottom w:val="nil"/>
              <w:right w:val="nil"/>
            </w:tcBorders>
            <w:shd w:val="clear" w:color="auto" w:fill="auto"/>
            <w:vAlign w:val="center"/>
            <w:hideMark/>
          </w:tcPr>
          <w:p w14:paraId="0C9BDB4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418,696,586.00</w:t>
            </w:r>
          </w:p>
        </w:tc>
      </w:tr>
      <w:tr w:rsidR="00C6733C" w14:paraId="1F00715E" w14:textId="77777777">
        <w:trPr>
          <w:trHeight w:val="540"/>
          <w:jc w:val="center"/>
        </w:trPr>
        <w:tc>
          <w:tcPr>
            <w:tcW w:w="5580" w:type="dxa"/>
            <w:tcBorders>
              <w:top w:val="nil"/>
              <w:left w:val="nil"/>
              <w:bottom w:val="nil"/>
              <w:right w:val="nil"/>
            </w:tcBorders>
            <w:shd w:val="clear" w:color="auto" w:fill="auto"/>
            <w:vAlign w:val="center"/>
            <w:hideMark/>
          </w:tcPr>
          <w:p w14:paraId="6476129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Fiscalización</w:t>
            </w:r>
          </w:p>
        </w:tc>
        <w:tc>
          <w:tcPr>
            <w:tcW w:w="2260" w:type="dxa"/>
            <w:tcBorders>
              <w:top w:val="nil"/>
              <w:left w:val="nil"/>
              <w:bottom w:val="nil"/>
              <w:right w:val="nil"/>
            </w:tcBorders>
            <w:shd w:val="clear" w:color="auto" w:fill="auto"/>
            <w:vAlign w:val="center"/>
            <w:hideMark/>
          </w:tcPr>
          <w:p w14:paraId="20B370F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102,867,706.00</w:t>
            </w:r>
          </w:p>
        </w:tc>
      </w:tr>
      <w:tr w:rsidR="00C6733C" w14:paraId="5174BE5C" w14:textId="77777777">
        <w:trPr>
          <w:trHeight w:val="540"/>
          <w:jc w:val="center"/>
        </w:trPr>
        <w:tc>
          <w:tcPr>
            <w:tcW w:w="5580" w:type="dxa"/>
            <w:tcBorders>
              <w:top w:val="nil"/>
              <w:left w:val="nil"/>
              <w:bottom w:val="nil"/>
              <w:right w:val="nil"/>
            </w:tcBorders>
            <w:shd w:val="clear" w:color="auto" w:fill="auto"/>
            <w:vAlign w:val="center"/>
            <w:hideMark/>
          </w:tcPr>
          <w:p w14:paraId="6F09F63E"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JUSTICIA</w:t>
            </w:r>
          </w:p>
        </w:tc>
        <w:tc>
          <w:tcPr>
            <w:tcW w:w="2260" w:type="dxa"/>
            <w:tcBorders>
              <w:top w:val="nil"/>
              <w:left w:val="nil"/>
              <w:bottom w:val="nil"/>
              <w:right w:val="nil"/>
            </w:tcBorders>
            <w:shd w:val="clear" w:color="auto" w:fill="auto"/>
            <w:noWrap/>
            <w:vAlign w:val="center"/>
            <w:hideMark/>
          </w:tcPr>
          <w:p w14:paraId="6C389338"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2,262,388,940.58</w:t>
            </w:r>
          </w:p>
        </w:tc>
      </w:tr>
      <w:tr w:rsidR="00C6733C" w14:paraId="2AADDB8A" w14:textId="77777777">
        <w:trPr>
          <w:trHeight w:val="540"/>
          <w:jc w:val="center"/>
        </w:trPr>
        <w:tc>
          <w:tcPr>
            <w:tcW w:w="5580" w:type="dxa"/>
            <w:tcBorders>
              <w:top w:val="nil"/>
              <w:left w:val="nil"/>
              <w:bottom w:val="nil"/>
              <w:right w:val="nil"/>
            </w:tcBorders>
            <w:shd w:val="clear" w:color="auto" w:fill="auto"/>
            <w:vAlign w:val="center"/>
            <w:hideMark/>
          </w:tcPr>
          <w:p w14:paraId="06B7A25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Impartición de Justicia</w:t>
            </w:r>
          </w:p>
        </w:tc>
        <w:tc>
          <w:tcPr>
            <w:tcW w:w="2260" w:type="dxa"/>
            <w:tcBorders>
              <w:top w:val="nil"/>
              <w:left w:val="nil"/>
              <w:bottom w:val="nil"/>
              <w:right w:val="nil"/>
            </w:tcBorders>
            <w:shd w:val="clear" w:color="auto" w:fill="auto"/>
            <w:vAlign w:val="center"/>
            <w:hideMark/>
          </w:tcPr>
          <w:p w14:paraId="4DDCCCE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1,014,823,605.61</w:t>
            </w:r>
          </w:p>
        </w:tc>
      </w:tr>
      <w:tr w:rsidR="00C6733C" w14:paraId="7F7AD0B6" w14:textId="77777777">
        <w:trPr>
          <w:trHeight w:val="540"/>
          <w:jc w:val="center"/>
        </w:trPr>
        <w:tc>
          <w:tcPr>
            <w:tcW w:w="5580" w:type="dxa"/>
            <w:tcBorders>
              <w:top w:val="nil"/>
              <w:left w:val="nil"/>
              <w:bottom w:val="nil"/>
              <w:right w:val="nil"/>
            </w:tcBorders>
            <w:shd w:val="clear" w:color="auto" w:fill="auto"/>
            <w:vAlign w:val="center"/>
            <w:hideMark/>
          </w:tcPr>
          <w:p w14:paraId="6ACC0F4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Procuración de Justicia</w:t>
            </w:r>
          </w:p>
        </w:tc>
        <w:tc>
          <w:tcPr>
            <w:tcW w:w="2260" w:type="dxa"/>
            <w:tcBorders>
              <w:top w:val="nil"/>
              <w:left w:val="nil"/>
              <w:bottom w:val="nil"/>
              <w:right w:val="nil"/>
            </w:tcBorders>
            <w:shd w:val="clear" w:color="auto" w:fill="auto"/>
            <w:vAlign w:val="center"/>
            <w:hideMark/>
          </w:tcPr>
          <w:p w14:paraId="31720D7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871,983,622.69</w:t>
            </w:r>
          </w:p>
        </w:tc>
      </w:tr>
      <w:tr w:rsidR="00C6733C" w14:paraId="55973A1B" w14:textId="77777777">
        <w:trPr>
          <w:trHeight w:val="540"/>
          <w:jc w:val="center"/>
        </w:trPr>
        <w:tc>
          <w:tcPr>
            <w:tcW w:w="5580" w:type="dxa"/>
            <w:tcBorders>
              <w:top w:val="nil"/>
              <w:left w:val="nil"/>
              <w:bottom w:val="nil"/>
              <w:right w:val="nil"/>
            </w:tcBorders>
            <w:shd w:val="clear" w:color="auto" w:fill="auto"/>
            <w:vAlign w:val="center"/>
            <w:hideMark/>
          </w:tcPr>
          <w:p w14:paraId="25A5D17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Reclusión y Readaptación Social</w:t>
            </w:r>
          </w:p>
        </w:tc>
        <w:tc>
          <w:tcPr>
            <w:tcW w:w="2260" w:type="dxa"/>
            <w:tcBorders>
              <w:top w:val="nil"/>
              <w:left w:val="nil"/>
              <w:bottom w:val="nil"/>
              <w:right w:val="nil"/>
            </w:tcBorders>
            <w:shd w:val="clear" w:color="auto" w:fill="auto"/>
            <w:vAlign w:val="center"/>
            <w:hideMark/>
          </w:tcPr>
          <w:p w14:paraId="6561020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258,943,439.63</w:t>
            </w:r>
          </w:p>
        </w:tc>
      </w:tr>
      <w:tr w:rsidR="00C6733C" w14:paraId="2A4E48BD" w14:textId="77777777">
        <w:trPr>
          <w:trHeight w:val="540"/>
          <w:jc w:val="center"/>
        </w:trPr>
        <w:tc>
          <w:tcPr>
            <w:tcW w:w="5580" w:type="dxa"/>
            <w:tcBorders>
              <w:top w:val="nil"/>
              <w:left w:val="nil"/>
              <w:bottom w:val="nil"/>
              <w:right w:val="nil"/>
            </w:tcBorders>
            <w:shd w:val="clear" w:color="auto" w:fill="auto"/>
            <w:vAlign w:val="center"/>
            <w:hideMark/>
          </w:tcPr>
          <w:p w14:paraId="259CF1C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Derechos Humanos</w:t>
            </w:r>
          </w:p>
        </w:tc>
        <w:tc>
          <w:tcPr>
            <w:tcW w:w="2260" w:type="dxa"/>
            <w:tcBorders>
              <w:top w:val="nil"/>
              <w:left w:val="nil"/>
              <w:bottom w:val="nil"/>
              <w:right w:val="nil"/>
            </w:tcBorders>
            <w:shd w:val="clear" w:color="auto" w:fill="auto"/>
            <w:vAlign w:val="center"/>
            <w:hideMark/>
          </w:tcPr>
          <w:p w14:paraId="10F5371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116,638,272.65</w:t>
            </w:r>
          </w:p>
        </w:tc>
      </w:tr>
      <w:tr w:rsidR="00C6733C" w14:paraId="5F36BEFB" w14:textId="77777777">
        <w:trPr>
          <w:trHeight w:val="540"/>
          <w:jc w:val="center"/>
        </w:trPr>
        <w:tc>
          <w:tcPr>
            <w:tcW w:w="5580" w:type="dxa"/>
            <w:tcBorders>
              <w:top w:val="nil"/>
              <w:left w:val="nil"/>
              <w:bottom w:val="nil"/>
              <w:right w:val="nil"/>
            </w:tcBorders>
            <w:shd w:val="clear" w:color="auto" w:fill="auto"/>
            <w:vAlign w:val="center"/>
            <w:hideMark/>
          </w:tcPr>
          <w:p w14:paraId="1849520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COORDINACIÓN DE LA POLÍTICA DE GOBIERNO</w:t>
            </w:r>
          </w:p>
        </w:tc>
        <w:tc>
          <w:tcPr>
            <w:tcW w:w="2260" w:type="dxa"/>
            <w:tcBorders>
              <w:top w:val="nil"/>
              <w:left w:val="nil"/>
              <w:bottom w:val="nil"/>
              <w:right w:val="nil"/>
            </w:tcBorders>
            <w:shd w:val="clear" w:color="auto" w:fill="auto"/>
            <w:noWrap/>
            <w:vAlign w:val="center"/>
            <w:hideMark/>
          </w:tcPr>
          <w:p w14:paraId="4FDCA870"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1,289,600,765.52</w:t>
            </w:r>
          </w:p>
        </w:tc>
      </w:tr>
      <w:tr w:rsidR="00C6733C" w14:paraId="4D1E8F97" w14:textId="77777777">
        <w:trPr>
          <w:trHeight w:val="540"/>
          <w:jc w:val="center"/>
        </w:trPr>
        <w:tc>
          <w:tcPr>
            <w:tcW w:w="5580" w:type="dxa"/>
            <w:tcBorders>
              <w:top w:val="nil"/>
              <w:left w:val="nil"/>
              <w:bottom w:val="nil"/>
              <w:right w:val="nil"/>
            </w:tcBorders>
            <w:shd w:val="clear" w:color="auto" w:fill="auto"/>
            <w:vAlign w:val="center"/>
            <w:hideMark/>
          </w:tcPr>
          <w:p w14:paraId="52498B6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Presidencia/Gubernatura</w:t>
            </w:r>
          </w:p>
        </w:tc>
        <w:tc>
          <w:tcPr>
            <w:tcW w:w="2260" w:type="dxa"/>
            <w:tcBorders>
              <w:top w:val="nil"/>
              <w:left w:val="nil"/>
              <w:bottom w:val="nil"/>
              <w:right w:val="nil"/>
            </w:tcBorders>
            <w:shd w:val="clear" w:color="auto" w:fill="auto"/>
            <w:vAlign w:val="center"/>
            <w:hideMark/>
          </w:tcPr>
          <w:p w14:paraId="6A76080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301,560,879.02</w:t>
            </w:r>
          </w:p>
        </w:tc>
      </w:tr>
      <w:tr w:rsidR="00C6733C" w14:paraId="4FFB4998" w14:textId="77777777">
        <w:trPr>
          <w:trHeight w:val="540"/>
          <w:jc w:val="center"/>
        </w:trPr>
        <w:tc>
          <w:tcPr>
            <w:tcW w:w="5580" w:type="dxa"/>
            <w:tcBorders>
              <w:top w:val="nil"/>
              <w:left w:val="nil"/>
              <w:bottom w:val="nil"/>
              <w:right w:val="nil"/>
            </w:tcBorders>
            <w:shd w:val="clear" w:color="auto" w:fill="auto"/>
            <w:vAlign w:val="center"/>
            <w:hideMark/>
          </w:tcPr>
          <w:p w14:paraId="287783A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Política </w:t>
            </w:r>
            <w:r>
              <w:rPr>
                <w:rFonts w:ascii="Arial" w:eastAsia="Times New Roman" w:hAnsi="Arial" w:cs="Arial"/>
                <w:color w:val="000000"/>
                <w:lang w:bidi="ar-SA"/>
              </w:rPr>
              <w:t>Interior</w:t>
            </w:r>
          </w:p>
        </w:tc>
        <w:tc>
          <w:tcPr>
            <w:tcW w:w="2260" w:type="dxa"/>
            <w:tcBorders>
              <w:top w:val="nil"/>
              <w:left w:val="nil"/>
              <w:bottom w:val="nil"/>
              <w:right w:val="nil"/>
            </w:tcBorders>
            <w:shd w:val="clear" w:color="auto" w:fill="auto"/>
            <w:vAlign w:val="center"/>
            <w:hideMark/>
          </w:tcPr>
          <w:p w14:paraId="0C02517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518,816,109.60</w:t>
            </w:r>
          </w:p>
        </w:tc>
      </w:tr>
      <w:tr w:rsidR="00C6733C" w14:paraId="2681CE62" w14:textId="77777777">
        <w:trPr>
          <w:trHeight w:val="540"/>
          <w:jc w:val="center"/>
        </w:trPr>
        <w:tc>
          <w:tcPr>
            <w:tcW w:w="5580" w:type="dxa"/>
            <w:tcBorders>
              <w:top w:val="nil"/>
              <w:left w:val="nil"/>
              <w:bottom w:val="nil"/>
              <w:right w:val="nil"/>
            </w:tcBorders>
            <w:shd w:val="clear" w:color="auto" w:fill="auto"/>
            <w:vAlign w:val="center"/>
            <w:hideMark/>
          </w:tcPr>
          <w:p w14:paraId="76433B7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Preservación y Cuidado del Patrimonio Público</w:t>
            </w:r>
          </w:p>
        </w:tc>
        <w:tc>
          <w:tcPr>
            <w:tcW w:w="2260" w:type="dxa"/>
            <w:tcBorders>
              <w:top w:val="nil"/>
              <w:left w:val="nil"/>
              <w:bottom w:val="nil"/>
              <w:right w:val="nil"/>
            </w:tcBorders>
            <w:shd w:val="clear" w:color="auto" w:fill="auto"/>
            <w:vAlign w:val="center"/>
            <w:hideMark/>
          </w:tcPr>
          <w:p w14:paraId="0C4DFA2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100,000,000.00</w:t>
            </w:r>
          </w:p>
        </w:tc>
      </w:tr>
      <w:tr w:rsidR="00C6733C" w14:paraId="38E9F422" w14:textId="77777777">
        <w:trPr>
          <w:trHeight w:val="540"/>
          <w:jc w:val="center"/>
        </w:trPr>
        <w:tc>
          <w:tcPr>
            <w:tcW w:w="5580" w:type="dxa"/>
            <w:tcBorders>
              <w:top w:val="nil"/>
              <w:left w:val="nil"/>
              <w:bottom w:val="nil"/>
              <w:right w:val="nil"/>
            </w:tcBorders>
            <w:shd w:val="clear" w:color="auto" w:fill="auto"/>
            <w:vAlign w:val="center"/>
            <w:hideMark/>
          </w:tcPr>
          <w:p w14:paraId="5CD74BE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Función Pública</w:t>
            </w:r>
          </w:p>
        </w:tc>
        <w:tc>
          <w:tcPr>
            <w:tcW w:w="2260" w:type="dxa"/>
            <w:tcBorders>
              <w:top w:val="nil"/>
              <w:left w:val="nil"/>
              <w:bottom w:val="nil"/>
              <w:right w:val="nil"/>
            </w:tcBorders>
            <w:shd w:val="clear" w:color="auto" w:fill="auto"/>
            <w:vAlign w:val="center"/>
            <w:hideMark/>
          </w:tcPr>
          <w:p w14:paraId="4A87057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107,497,562.63</w:t>
            </w:r>
          </w:p>
        </w:tc>
      </w:tr>
      <w:tr w:rsidR="00C6733C" w14:paraId="3A62160A" w14:textId="77777777">
        <w:trPr>
          <w:trHeight w:val="540"/>
          <w:jc w:val="center"/>
        </w:trPr>
        <w:tc>
          <w:tcPr>
            <w:tcW w:w="5580" w:type="dxa"/>
            <w:tcBorders>
              <w:top w:val="nil"/>
              <w:left w:val="nil"/>
              <w:bottom w:val="nil"/>
              <w:right w:val="nil"/>
            </w:tcBorders>
            <w:shd w:val="clear" w:color="auto" w:fill="auto"/>
            <w:vAlign w:val="center"/>
            <w:hideMark/>
          </w:tcPr>
          <w:p w14:paraId="02479BE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Organización de Procesos Electorales</w:t>
            </w:r>
          </w:p>
        </w:tc>
        <w:tc>
          <w:tcPr>
            <w:tcW w:w="2260" w:type="dxa"/>
            <w:tcBorders>
              <w:top w:val="nil"/>
              <w:left w:val="nil"/>
              <w:bottom w:val="nil"/>
              <w:right w:val="nil"/>
            </w:tcBorders>
            <w:shd w:val="clear" w:color="auto" w:fill="auto"/>
            <w:vAlign w:val="center"/>
            <w:hideMark/>
          </w:tcPr>
          <w:p w14:paraId="10341DA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257,480,429.42</w:t>
            </w:r>
          </w:p>
        </w:tc>
      </w:tr>
      <w:tr w:rsidR="00C6733C" w14:paraId="4F08D5B1" w14:textId="77777777">
        <w:trPr>
          <w:trHeight w:val="540"/>
          <w:jc w:val="center"/>
        </w:trPr>
        <w:tc>
          <w:tcPr>
            <w:tcW w:w="5580" w:type="dxa"/>
            <w:tcBorders>
              <w:top w:val="nil"/>
              <w:left w:val="nil"/>
              <w:bottom w:val="nil"/>
              <w:right w:val="nil"/>
            </w:tcBorders>
            <w:shd w:val="clear" w:color="auto" w:fill="auto"/>
            <w:vAlign w:val="center"/>
            <w:hideMark/>
          </w:tcPr>
          <w:p w14:paraId="5FF458F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Territorio</w:t>
            </w:r>
          </w:p>
        </w:tc>
        <w:tc>
          <w:tcPr>
            <w:tcW w:w="2260" w:type="dxa"/>
            <w:tcBorders>
              <w:top w:val="nil"/>
              <w:left w:val="nil"/>
              <w:bottom w:val="nil"/>
              <w:right w:val="nil"/>
            </w:tcBorders>
            <w:shd w:val="clear" w:color="auto" w:fill="auto"/>
            <w:vAlign w:val="center"/>
            <w:hideMark/>
          </w:tcPr>
          <w:p w14:paraId="3C060C0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4,245,784.85</w:t>
            </w:r>
          </w:p>
        </w:tc>
      </w:tr>
      <w:tr w:rsidR="00C6733C" w14:paraId="78090626" w14:textId="77777777">
        <w:trPr>
          <w:trHeight w:val="540"/>
          <w:jc w:val="center"/>
        </w:trPr>
        <w:tc>
          <w:tcPr>
            <w:tcW w:w="5580" w:type="dxa"/>
            <w:tcBorders>
              <w:top w:val="nil"/>
              <w:left w:val="nil"/>
              <w:bottom w:val="nil"/>
              <w:right w:val="nil"/>
            </w:tcBorders>
            <w:shd w:val="clear" w:color="auto" w:fill="auto"/>
            <w:vAlign w:val="center"/>
            <w:hideMark/>
          </w:tcPr>
          <w:p w14:paraId="20FABD05"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ASUNTOS FINANCIEROS Y HACENDARIOS</w:t>
            </w:r>
          </w:p>
        </w:tc>
        <w:tc>
          <w:tcPr>
            <w:tcW w:w="2260" w:type="dxa"/>
            <w:tcBorders>
              <w:top w:val="nil"/>
              <w:left w:val="nil"/>
              <w:bottom w:val="nil"/>
              <w:right w:val="nil"/>
            </w:tcBorders>
            <w:shd w:val="clear" w:color="auto" w:fill="auto"/>
            <w:noWrap/>
            <w:vAlign w:val="center"/>
            <w:hideMark/>
          </w:tcPr>
          <w:p w14:paraId="4E323ADD"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1,114,361,952.45</w:t>
            </w:r>
          </w:p>
        </w:tc>
      </w:tr>
      <w:tr w:rsidR="00C6733C" w14:paraId="67D9B359" w14:textId="77777777">
        <w:trPr>
          <w:trHeight w:val="540"/>
          <w:jc w:val="center"/>
        </w:trPr>
        <w:tc>
          <w:tcPr>
            <w:tcW w:w="5580" w:type="dxa"/>
            <w:tcBorders>
              <w:top w:val="nil"/>
              <w:left w:val="nil"/>
              <w:bottom w:val="nil"/>
              <w:right w:val="nil"/>
            </w:tcBorders>
            <w:shd w:val="clear" w:color="auto" w:fill="auto"/>
            <w:vAlign w:val="center"/>
            <w:hideMark/>
          </w:tcPr>
          <w:p w14:paraId="0D3DE62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Asuntos Financieros</w:t>
            </w:r>
          </w:p>
        </w:tc>
        <w:tc>
          <w:tcPr>
            <w:tcW w:w="2260" w:type="dxa"/>
            <w:tcBorders>
              <w:top w:val="nil"/>
              <w:left w:val="nil"/>
              <w:bottom w:val="nil"/>
              <w:right w:val="nil"/>
            </w:tcBorders>
            <w:shd w:val="clear" w:color="auto" w:fill="auto"/>
            <w:vAlign w:val="center"/>
            <w:hideMark/>
          </w:tcPr>
          <w:p w14:paraId="1AB333D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323,325,390.93</w:t>
            </w:r>
          </w:p>
        </w:tc>
      </w:tr>
      <w:tr w:rsidR="00C6733C" w14:paraId="0AE4148F" w14:textId="77777777">
        <w:trPr>
          <w:trHeight w:val="540"/>
          <w:jc w:val="center"/>
        </w:trPr>
        <w:tc>
          <w:tcPr>
            <w:tcW w:w="5580" w:type="dxa"/>
            <w:tcBorders>
              <w:top w:val="nil"/>
              <w:left w:val="nil"/>
              <w:bottom w:val="nil"/>
              <w:right w:val="nil"/>
            </w:tcBorders>
            <w:shd w:val="clear" w:color="auto" w:fill="auto"/>
            <w:vAlign w:val="center"/>
            <w:hideMark/>
          </w:tcPr>
          <w:p w14:paraId="25C2462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Asuntos Hacendarios</w:t>
            </w:r>
          </w:p>
        </w:tc>
        <w:tc>
          <w:tcPr>
            <w:tcW w:w="2260" w:type="dxa"/>
            <w:tcBorders>
              <w:top w:val="nil"/>
              <w:left w:val="nil"/>
              <w:bottom w:val="nil"/>
              <w:right w:val="nil"/>
            </w:tcBorders>
            <w:shd w:val="clear" w:color="auto" w:fill="auto"/>
            <w:vAlign w:val="center"/>
            <w:hideMark/>
          </w:tcPr>
          <w:p w14:paraId="290A4AC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791,036,561.52</w:t>
            </w:r>
          </w:p>
        </w:tc>
      </w:tr>
      <w:tr w:rsidR="00C6733C" w14:paraId="2E799E1A" w14:textId="77777777">
        <w:trPr>
          <w:trHeight w:val="540"/>
          <w:jc w:val="center"/>
        </w:trPr>
        <w:tc>
          <w:tcPr>
            <w:tcW w:w="5580" w:type="dxa"/>
            <w:tcBorders>
              <w:top w:val="nil"/>
              <w:left w:val="nil"/>
              <w:bottom w:val="nil"/>
              <w:right w:val="nil"/>
            </w:tcBorders>
            <w:shd w:val="clear" w:color="auto" w:fill="auto"/>
            <w:vAlign w:val="center"/>
            <w:hideMark/>
          </w:tcPr>
          <w:p w14:paraId="6AF5580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ASUNTOS DE ORDEN PÚBLICO Y DE SEGURIDAD INTERIOR</w:t>
            </w:r>
          </w:p>
        </w:tc>
        <w:tc>
          <w:tcPr>
            <w:tcW w:w="2260" w:type="dxa"/>
            <w:tcBorders>
              <w:top w:val="nil"/>
              <w:left w:val="nil"/>
              <w:bottom w:val="nil"/>
              <w:right w:val="nil"/>
            </w:tcBorders>
            <w:shd w:val="clear" w:color="auto" w:fill="auto"/>
            <w:noWrap/>
            <w:vAlign w:val="center"/>
            <w:hideMark/>
          </w:tcPr>
          <w:p w14:paraId="613E4F6B"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1,792,103,057.40</w:t>
            </w:r>
          </w:p>
        </w:tc>
      </w:tr>
      <w:tr w:rsidR="00C6733C" w14:paraId="19E86EDE" w14:textId="77777777">
        <w:trPr>
          <w:trHeight w:val="540"/>
          <w:jc w:val="center"/>
        </w:trPr>
        <w:tc>
          <w:tcPr>
            <w:tcW w:w="5580" w:type="dxa"/>
            <w:tcBorders>
              <w:top w:val="nil"/>
              <w:left w:val="nil"/>
              <w:bottom w:val="nil"/>
              <w:right w:val="nil"/>
            </w:tcBorders>
            <w:shd w:val="clear" w:color="auto" w:fill="auto"/>
            <w:vAlign w:val="center"/>
            <w:hideMark/>
          </w:tcPr>
          <w:p w14:paraId="0AB32A4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Policía</w:t>
            </w:r>
          </w:p>
        </w:tc>
        <w:tc>
          <w:tcPr>
            <w:tcW w:w="2260" w:type="dxa"/>
            <w:tcBorders>
              <w:top w:val="nil"/>
              <w:left w:val="nil"/>
              <w:bottom w:val="nil"/>
              <w:right w:val="nil"/>
            </w:tcBorders>
            <w:shd w:val="clear" w:color="auto" w:fill="auto"/>
            <w:vAlign w:val="center"/>
            <w:hideMark/>
          </w:tcPr>
          <w:p w14:paraId="166ACA8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1,568,703,548.92</w:t>
            </w:r>
          </w:p>
        </w:tc>
      </w:tr>
      <w:tr w:rsidR="00C6733C" w14:paraId="27F89852" w14:textId="77777777">
        <w:trPr>
          <w:trHeight w:val="540"/>
          <w:jc w:val="center"/>
        </w:trPr>
        <w:tc>
          <w:tcPr>
            <w:tcW w:w="5580" w:type="dxa"/>
            <w:tcBorders>
              <w:top w:val="nil"/>
              <w:left w:val="nil"/>
              <w:bottom w:val="nil"/>
              <w:right w:val="nil"/>
            </w:tcBorders>
            <w:shd w:val="clear" w:color="auto" w:fill="auto"/>
            <w:vAlign w:val="center"/>
            <w:hideMark/>
          </w:tcPr>
          <w:p w14:paraId="04F1FB9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Protección Civil</w:t>
            </w:r>
          </w:p>
        </w:tc>
        <w:tc>
          <w:tcPr>
            <w:tcW w:w="2260" w:type="dxa"/>
            <w:tcBorders>
              <w:top w:val="nil"/>
              <w:left w:val="nil"/>
              <w:bottom w:val="nil"/>
              <w:right w:val="nil"/>
            </w:tcBorders>
            <w:shd w:val="clear" w:color="auto" w:fill="auto"/>
            <w:vAlign w:val="center"/>
            <w:hideMark/>
          </w:tcPr>
          <w:p w14:paraId="524E7C0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193,399,508.48</w:t>
            </w:r>
          </w:p>
        </w:tc>
      </w:tr>
      <w:tr w:rsidR="00C6733C" w14:paraId="7DDBF3C9" w14:textId="77777777">
        <w:trPr>
          <w:trHeight w:val="540"/>
          <w:jc w:val="center"/>
        </w:trPr>
        <w:tc>
          <w:tcPr>
            <w:tcW w:w="5580" w:type="dxa"/>
            <w:tcBorders>
              <w:top w:val="nil"/>
              <w:left w:val="nil"/>
              <w:bottom w:val="nil"/>
              <w:right w:val="nil"/>
            </w:tcBorders>
            <w:shd w:val="clear" w:color="auto" w:fill="auto"/>
            <w:vAlign w:val="center"/>
            <w:hideMark/>
          </w:tcPr>
          <w:p w14:paraId="06F846B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Otros Asuntos de Orden Público y </w:t>
            </w:r>
            <w:r>
              <w:rPr>
                <w:rFonts w:ascii="Arial" w:eastAsia="Times New Roman" w:hAnsi="Arial" w:cs="Arial"/>
                <w:color w:val="000000"/>
                <w:lang w:bidi="ar-SA"/>
              </w:rPr>
              <w:t>Seguridad</w:t>
            </w:r>
          </w:p>
        </w:tc>
        <w:tc>
          <w:tcPr>
            <w:tcW w:w="2260" w:type="dxa"/>
            <w:tcBorders>
              <w:top w:val="nil"/>
              <w:left w:val="nil"/>
              <w:bottom w:val="nil"/>
              <w:right w:val="nil"/>
            </w:tcBorders>
            <w:shd w:val="clear" w:color="auto" w:fill="auto"/>
            <w:vAlign w:val="center"/>
            <w:hideMark/>
          </w:tcPr>
          <w:p w14:paraId="7DBE053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30,000,000.00</w:t>
            </w:r>
          </w:p>
        </w:tc>
      </w:tr>
      <w:tr w:rsidR="00C6733C" w14:paraId="521DCDE2" w14:textId="77777777">
        <w:trPr>
          <w:trHeight w:val="540"/>
          <w:jc w:val="center"/>
        </w:trPr>
        <w:tc>
          <w:tcPr>
            <w:tcW w:w="5580" w:type="dxa"/>
            <w:tcBorders>
              <w:top w:val="nil"/>
              <w:left w:val="nil"/>
              <w:bottom w:val="nil"/>
              <w:right w:val="nil"/>
            </w:tcBorders>
            <w:shd w:val="clear" w:color="auto" w:fill="auto"/>
            <w:vAlign w:val="center"/>
            <w:hideMark/>
          </w:tcPr>
          <w:p w14:paraId="7A246552"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OTROS SERVICIOS GENERALES</w:t>
            </w:r>
          </w:p>
        </w:tc>
        <w:tc>
          <w:tcPr>
            <w:tcW w:w="2260" w:type="dxa"/>
            <w:tcBorders>
              <w:top w:val="nil"/>
              <w:left w:val="nil"/>
              <w:bottom w:val="nil"/>
              <w:right w:val="nil"/>
            </w:tcBorders>
            <w:shd w:val="clear" w:color="auto" w:fill="auto"/>
            <w:noWrap/>
            <w:vAlign w:val="center"/>
            <w:hideMark/>
          </w:tcPr>
          <w:p w14:paraId="614FEC0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2,389,174,271.41</w:t>
            </w:r>
          </w:p>
        </w:tc>
      </w:tr>
      <w:tr w:rsidR="00C6733C" w14:paraId="45007878" w14:textId="77777777">
        <w:trPr>
          <w:trHeight w:val="540"/>
          <w:jc w:val="center"/>
        </w:trPr>
        <w:tc>
          <w:tcPr>
            <w:tcW w:w="5580" w:type="dxa"/>
            <w:tcBorders>
              <w:top w:val="nil"/>
              <w:left w:val="nil"/>
              <w:bottom w:val="nil"/>
              <w:right w:val="nil"/>
            </w:tcBorders>
            <w:shd w:val="clear" w:color="auto" w:fill="auto"/>
            <w:vAlign w:val="center"/>
            <w:hideMark/>
          </w:tcPr>
          <w:p w14:paraId="5C704A0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Registrales, Administrativos y Patrimoniales</w:t>
            </w:r>
          </w:p>
        </w:tc>
        <w:tc>
          <w:tcPr>
            <w:tcW w:w="2260" w:type="dxa"/>
            <w:tcBorders>
              <w:top w:val="nil"/>
              <w:left w:val="nil"/>
              <w:bottom w:val="nil"/>
              <w:right w:val="nil"/>
            </w:tcBorders>
            <w:shd w:val="clear" w:color="auto" w:fill="auto"/>
            <w:vAlign w:val="center"/>
            <w:hideMark/>
          </w:tcPr>
          <w:p w14:paraId="5AD553E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2,034,929,396.93</w:t>
            </w:r>
          </w:p>
        </w:tc>
      </w:tr>
      <w:tr w:rsidR="00C6733C" w14:paraId="07C9CDC8" w14:textId="77777777">
        <w:trPr>
          <w:trHeight w:val="540"/>
          <w:jc w:val="center"/>
        </w:trPr>
        <w:tc>
          <w:tcPr>
            <w:tcW w:w="5580" w:type="dxa"/>
            <w:tcBorders>
              <w:top w:val="nil"/>
              <w:left w:val="nil"/>
              <w:bottom w:val="nil"/>
              <w:right w:val="nil"/>
            </w:tcBorders>
            <w:shd w:val="clear" w:color="auto" w:fill="auto"/>
            <w:vAlign w:val="center"/>
            <w:hideMark/>
          </w:tcPr>
          <w:p w14:paraId="3E1A6C3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Estadísticos</w:t>
            </w:r>
          </w:p>
        </w:tc>
        <w:tc>
          <w:tcPr>
            <w:tcW w:w="2260" w:type="dxa"/>
            <w:tcBorders>
              <w:top w:val="nil"/>
              <w:left w:val="nil"/>
              <w:bottom w:val="nil"/>
              <w:right w:val="nil"/>
            </w:tcBorders>
            <w:shd w:val="clear" w:color="auto" w:fill="auto"/>
            <w:vAlign w:val="center"/>
            <w:hideMark/>
          </w:tcPr>
          <w:p w14:paraId="16B70F1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0.00</w:t>
            </w:r>
          </w:p>
        </w:tc>
      </w:tr>
      <w:tr w:rsidR="00C6733C" w14:paraId="4E3E9A43" w14:textId="77777777">
        <w:trPr>
          <w:trHeight w:val="540"/>
          <w:jc w:val="center"/>
        </w:trPr>
        <w:tc>
          <w:tcPr>
            <w:tcW w:w="5580" w:type="dxa"/>
            <w:tcBorders>
              <w:top w:val="nil"/>
              <w:left w:val="nil"/>
              <w:bottom w:val="nil"/>
              <w:right w:val="nil"/>
            </w:tcBorders>
            <w:shd w:val="clear" w:color="auto" w:fill="auto"/>
            <w:vAlign w:val="center"/>
            <w:hideMark/>
          </w:tcPr>
          <w:p w14:paraId="63E8138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Comunicación y Medios</w:t>
            </w:r>
          </w:p>
        </w:tc>
        <w:tc>
          <w:tcPr>
            <w:tcW w:w="2260" w:type="dxa"/>
            <w:tcBorders>
              <w:top w:val="nil"/>
              <w:left w:val="nil"/>
              <w:bottom w:val="nil"/>
              <w:right w:val="nil"/>
            </w:tcBorders>
            <w:shd w:val="clear" w:color="auto" w:fill="auto"/>
            <w:vAlign w:val="center"/>
            <w:hideMark/>
          </w:tcPr>
          <w:p w14:paraId="5941D96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278,090,511.51</w:t>
            </w:r>
          </w:p>
        </w:tc>
      </w:tr>
      <w:tr w:rsidR="00C6733C" w14:paraId="3FC7E278" w14:textId="77777777">
        <w:trPr>
          <w:trHeight w:val="540"/>
          <w:jc w:val="center"/>
        </w:trPr>
        <w:tc>
          <w:tcPr>
            <w:tcW w:w="5580" w:type="dxa"/>
            <w:tcBorders>
              <w:top w:val="nil"/>
              <w:left w:val="nil"/>
              <w:bottom w:val="nil"/>
              <w:right w:val="nil"/>
            </w:tcBorders>
            <w:shd w:val="clear" w:color="auto" w:fill="auto"/>
            <w:vAlign w:val="center"/>
            <w:hideMark/>
          </w:tcPr>
          <w:p w14:paraId="52B0E59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Acceso a la Información </w:t>
            </w:r>
            <w:r>
              <w:rPr>
                <w:rFonts w:ascii="Arial" w:eastAsia="Times New Roman" w:hAnsi="Arial" w:cs="Arial"/>
                <w:color w:val="000000"/>
                <w:lang w:bidi="ar-SA"/>
              </w:rPr>
              <w:t>Pública Gubernamental</w:t>
            </w:r>
          </w:p>
        </w:tc>
        <w:tc>
          <w:tcPr>
            <w:tcW w:w="2260" w:type="dxa"/>
            <w:tcBorders>
              <w:top w:val="nil"/>
              <w:left w:val="nil"/>
              <w:bottom w:val="nil"/>
              <w:right w:val="nil"/>
            </w:tcBorders>
            <w:shd w:val="clear" w:color="auto" w:fill="auto"/>
            <w:vAlign w:val="center"/>
            <w:hideMark/>
          </w:tcPr>
          <w:p w14:paraId="676599B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69,390,751.42</w:t>
            </w:r>
          </w:p>
        </w:tc>
      </w:tr>
      <w:tr w:rsidR="00C6733C" w14:paraId="4BE9DC64" w14:textId="77777777">
        <w:trPr>
          <w:trHeight w:val="540"/>
          <w:jc w:val="center"/>
        </w:trPr>
        <w:tc>
          <w:tcPr>
            <w:tcW w:w="5580" w:type="dxa"/>
            <w:tcBorders>
              <w:top w:val="nil"/>
              <w:left w:val="nil"/>
              <w:bottom w:val="nil"/>
              <w:right w:val="nil"/>
            </w:tcBorders>
            <w:shd w:val="clear" w:color="auto" w:fill="auto"/>
            <w:vAlign w:val="center"/>
            <w:hideMark/>
          </w:tcPr>
          <w:p w14:paraId="7247E44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w:t>
            </w:r>
          </w:p>
        </w:tc>
        <w:tc>
          <w:tcPr>
            <w:tcW w:w="2260" w:type="dxa"/>
            <w:tcBorders>
              <w:top w:val="nil"/>
              <w:left w:val="nil"/>
              <w:bottom w:val="nil"/>
              <w:right w:val="nil"/>
            </w:tcBorders>
            <w:shd w:val="clear" w:color="auto" w:fill="auto"/>
            <w:vAlign w:val="center"/>
            <w:hideMark/>
          </w:tcPr>
          <w:p w14:paraId="4B0CFA44"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6,763,611.55</w:t>
            </w:r>
          </w:p>
        </w:tc>
      </w:tr>
      <w:tr w:rsidR="00C6733C" w14:paraId="4A0381E9" w14:textId="77777777">
        <w:trPr>
          <w:trHeight w:val="540"/>
          <w:jc w:val="center"/>
        </w:trPr>
        <w:tc>
          <w:tcPr>
            <w:tcW w:w="5580" w:type="dxa"/>
            <w:tcBorders>
              <w:top w:val="nil"/>
              <w:left w:val="nil"/>
              <w:bottom w:val="nil"/>
              <w:right w:val="nil"/>
            </w:tcBorders>
            <w:shd w:val="clear" w:color="auto" w:fill="auto"/>
            <w:vAlign w:val="center"/>
            <w:hideMark/>
          </w:tcPr>
          <w:p w14:paraId="65B8D26D"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DESARROLLO SOCIAL</w:t>
            </w:r>
          </w:p>
        </w:tc>
        <w:tc>
          <w:tcPr>
            <w:tcW w:w="2260" w:type="dxa"/>
            <w:tcBorders>
              <w:top w:val="nil"/>
              <w:left w:val="nil"/>
              <w:bottom w:val="nil"/>
              <w:right w:val="nil"/>
            </w:tcBorders>
            <w:shd w:val="clear" w:color="auto" w:fill="auto"/>
            <w:noWrap/>
            <w:vAlign w:val="center"/>
            <w:hideMark/>
          </w:tcPr>
          <w:p w14:paraId="7E6D813A"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44,732,827,201.97</w:t>
            </w:r>
          </w:p>
        </w:tc>
      </w:tr>
      <w:tr w:rsidR="00C6733C" w14:paraId="5774D54B" w14:textId="77777777">
        <w:trPr>
          <w:trHeight w:val="540"/>
          <w:jc w:val="center"/>
        </w:trPr>
        <w:tc>
          <w:tcPr>
            <w:tcW w:w="5580" w:type="dxa"/>
            <w:tcBorders>
              <w:top w:val="nil"/>
              <w:left w:val="nil"/>
              <w:bottom w:val="nil"/>
              <w:right w:val="nil"/>
            </w:tcBorders>
            <w:shd w:val="clear" w:color="auto" w:fill="auto"/>
            <w:vAlign w:val="center"/>
            <w:hideMark/>
          </w:tcPr>
          <w:p w14:paraId="039B9A9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PROTECCIÓN AMBIENTAL</w:t>
            </w:r>
          </w:p>
        </w:tc>
        <w:tc>
          <w:tcPr>
            <w:tcW w:w="2260" w:type="dxa"/>
            <w:tcBorders>
              <w:top w:val="nil"/>
              <w:left w:val="nil"/>
              <w:bottom w:val="nil"/>
              <w:right w:val="nil"/>
            </w:tcBorders>
            <w:shd w:val="clear" w:color="auto" w:fill="auto"/>
            <w:noWrap/>
            <w:vAlign w:val="center"/>
            <w:hideMark/>
          </w:tcPr>
          <w:p w14:paraId="03866F9F"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209,945,485.06</w:t>
            </w:r>
          </w:p>
        </w:tc>
      </w:tr>
      <w:tr w:rsidR="00C6733C" w14:paraId="388F7969" w14:textId="77777777">
        <w:trPr>
          <w:trHeight w:val="540"/>
          <w:jc w:val="center"/>
        </w:trPr>
        <w:tc>
          <w:tcPr>
            <w:tcW w:w="5580" w:type="dxa"/>
            <w:tcBorders>
              <w:top w:val="nil"/>
              <w:left w:val="nil"/>
              <w:bottom w:val="nil"/>
              <w:right w:val="nil"/>
            </w:tcBorders>
            <w:shd w:val="clear" w:color="auto" w:fill="auto"/>
            <w:vAlign w:val="center"/>
            <w:hideMark/>
          </w:tcPr>
          <w:p w14:paraId="3827705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Ordenación de Desechos</w:t>
            </w:r>
          </w:p>
        </w:tc>
        <w:tc>
          <w:tcPr>
            <w:tcW w:w="2260" w:type="dxa"/>
            <w:tcBorders>
              <w:top w:val="nil"/>
              <w:left w:val="nil"/>
              <w:bottom w:val="nil"/>
              <w:right w:val="nil"/>
            </w:tcBorders>
            <w:shd w:val="clear" w:color="auto" w:fill="auto"/>
            <w:vAlign w:val="center"/>
            <w:hideMark/>
          </w:tcPr>
          <w:p w14:paraId="5C0EA2F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28,545,849.18</w:t>
            </w:r>
          </w:p>
        </w:tc>
      </w:tr>
      <w:tr w:rsidR="00C6733C" w14:paraId="69E55E02" w14:textId="77777777">
        <w:trPr>
          <w:trHeight w:val="540"/>
          <w:jc w:val="center"/>
        </w:trPr>
        <w:tc>
          <w:tcPr>
            <w:tcW w:w="5580" w:type="dxa"/>
            <w:tcBorders>
              <w:top w:val="nil"/>
              <w:left w:val="nil"/>
              <w:bottom w:val="nil"/>
              <w:right w:val="nil"/>
            </w:tcBorders>
            <w:shd w:val="clear" w:color="auto" w:fill="auto"/>
            <w:vAlign w:val="center"/>
            <w:hideMark/>
          </w:tcPr>
          <w:p w14:paraId="73317F2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Ordenación de Aguas Residuales, Drenaje y Alcantarillado</w:t>
            </w:r>
          </w:p>
        </w:tc>
        <w:tc>
          <w:tcPr>
            <w:tcW w:w="2260" w:type="dxa"/>
            <w:tcBorders>
              <w:top w:val="nil"/>
              <w:left w:val="nil"/>
              <w:bottom w:val="nil"/>
              <w:right w:val="nil"/>
            </w:tcBorders>
            <w:shd w:val="clear" w:color="auto" w:fill="auto"/>
            <w:vAlign w:val="center"/>
            <w:hideMark/>
          </w:tcPr>
          <w:p w14:paraId="4CE78BA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120,377,075.87</w:t>
            </w:r>
          </w:p>
        </w:tc>
      </w:tr>
      <w:tr w:rsidR="00C6733C" w14:paraId="28756516" w14:textId="77777777">
        <w:trPr>
          <w:trHeight w:val="540"/>
          <w:jc w:val="center"/>
        </w:trPr>
        <w:tc>
          <w:tcPr>
            <w:tcW w:w="5580" w:type="dxa"/>
            <w:tcBorders>
              <w:top w:val="nil"/>
              <w:left w:val="nil"/>
              <w:bottom w:val="nil"/>
              <w:right w:val="nil"/>
            </w:tcBorders>
            <w:shd w:val="clear" w:color="auto" w:fill="auto"/>
            <w:vAlign w:val="center"/>
            <w:hideMark/>
          </w:tcPr>
          <w:p w14:paraId="1F54527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Protección de la Diversidad Biológica y del Paisaje</w:t>
            </w:r>
          </w:p>
        </w:tc>
        <w:tc>
          <w:tcPr>
            <w:tcW w:w="2260" w:type="dxa"/>
            <w:tcBorders>
              <w:top w:val="nil"/>
              <w:left w:val="nil"/>
              <w:bottom w:val="nil"/>
              <w:right w:val="nil"/>
            </w:tcBorders>
            <w:shd w:val="clear" w:color="auto" w:fill="auto"/>
            <w:vAlign w:val="center"/>
            <w:hideMark/>
          </w:tcPr>
          <w:p w14:paraId="00ED3E2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5,207,332.00</w:t>
            </w:r>
          </w:p>
        </w:tc>
      </w:tr>
      <w:tr w:rsidR="00C6733C" w14:paraId="7B7734F6" w14:textId="77777777">
        <w:trPr>
          <w:trHeight w:val="540"/>
          <w:jc w:val="center"/>
        </w:trPr>
        <w:tc>
          <w:tcPr>
            <w:tcW w:w="5580" w:type="dxa"/>
            <w:tcBorders>
              <w:top w:val="nil"/>
              <w:left w:val="nil"/>
              <w:bottom w:val="nil"/>
              <w:right w:val="nil"/>
            </w:tcBorders>
            <w:shd w:val="clear" w:color="auto" w:fill="auto"/>
            <w:vAlign w:val="center"/>
            <w:hideMark/>
          </w:tcPr>
          <w:p w14:paraId="3AB3C27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de Protección Ambiental</w:t>
            </w:r>
          </w:p>
        </w:tc>
        <w:tc>
          <w:tcPr>
            <w:tcW w:w="2260" w:type="dxa"/>
            <w:tcBorders>
              <w:top w:val="nil"/>
              <w:left w:val="nil"/>
              <w:bottom w:val="nil"/>
              <w:right w:val="nil"/>
            </w:tcBorders>
            <w:shd w:val="clear" w:color="auto" w:fill="auto"/>
            <w:vAlign w:val="center"/>
            <w:hideMark/>
          </w:tcPr>
          <w:p w14:paraId="1D37A9B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55,815,228.01</w:t>
            </w:r>
          </w:p>
        </w:tc>
      </w:tr>
      <w:tr w:rsidR="00C6733C" w14:paraId="2C8B088E" w14:textId="77777777">
        <w:trPr>
          <w:trHeight w:val="540"/>
          <w:jc w:val="center"/>
        </w:trPr>
        <w:tc>
          <w:tcPr>
            <w:tcW w:w="5580" w:type="dxa"/>
            <w:tcBorders>
              <w:top w:val="nil"/>
              <w:left w:val="nil"/>
              <w:bottom w:val="nil"/>
              <w:right w:val="nil"/>
            </w:tcBorders>
            <w:shd w:val="clear" w:color="auto" w:fill="auto"/>
            <w:vAlign w:val="center"/>
            <w:hideMark/>
          </w:tcPr>
          <w:p w14:paraId="2737ACE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VIVIENDA Y SERVICIOS A LA COMUNIDAD</w:t>
            </w:r>
          </w:p>
        </w:tc>
        <w:tc>
          <w:tcPr>
            <w:tcW w:w="2260" w:type="dxa"/>
            <w:tcBorders>
              <w:top w:val="nil"/>
              <w:left w:val="nil"/>
              <w:bottom w:val="nil"/>
              <w:right w:val="nil"/>
            </w:tcBorders>
            <w:shd w:val="clear" w:color="auto" w:fill="auto"/>
            <w:noWrap/>
            <w:vAlign w:val="center"/>
            <w:hideMark/>
          </w:tcPr>
          <w:p w14:paraId="1DF0737B"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2,654,812,177.70</w:t>
            </w:r>
          </w:p>
        </w:tc>
      </w:tr>
      <w:tr w:rsidR="00C6733C" w14:paraId="39BE165C" w14:textId="77777777">
        <w:trPr>
          <w:trHeight w:val="540"/>
          <w:jc w:val="center"/>
        </w:trPr>
        <w:tc>
          <w:tcPr>
            <w:tcW w:w="5580" w:type="dxa"/>
            <w:tcBorders>
              <w:top w:val="nil"/>
              <w:left w:val="nil"/>
              <w:bottom w:val="nil"/>
              <w:right w:val="nil"/>
            </w:tcBorders>
            <w:shd w:val="clear" w:color="auto" w:fill="auto"/>
            <w:vAlign w:val="center"/>
            <w:hideMark/>
          </w:tcPr>
          <w:p w14:paraId="6CD4056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Urbanización</w:t>
            </w:r>
          </w:p>
        </w:tc>
        <w:tc>
          <w:tcPr>
            <w:tcW w:w="2260" w:type="dxa"/>
            <w:tcBorders>
              <w:top w:val="nil"/>
              <w:left w:val="nil"/>
              <w:bottom w:val="nil"/>
              <w:right w:val="nil"/>
            </w:tcBorders>
            <w:shd w:val="clear" w:color="auto" w:fill="auto"/>
            <w:vAlign w:val="center"/>
            <w:hideMark/>
          </w:tcPr>
          <w:p w14:paraId="1CDF334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274,457,018.42</w:t>
            </w:r>
          </w:p>
        </w:tc>
      </w:tr>
      <w:tr w:rsidR="00C6733C" w14:paraId="24189DF8" w14:textId="77777777">
        <w:trPr>
          <w:trHeight w:val="540"/>
          <w:jc w:val="center"/>
        </w:trPr>
        <w:tc>
          <w:tcPr>
            <w:tcW w:w="5580" w:type="dxa"/>
            <w:tcBorders>
              <w:top w:val="nil"/>
              <w:left w:val="nil"/>
              <w:bottom w:val="nil"/>
              <w:right w:val="nil"/>
            </w:tcBorders>
            <w:shd w:val="clear" w:color="auto" w:fill="auto"/>
            <w:vAlign w:val="center"/>
            <w:hideMark/>
          </w:tcPr>
          <w:p w14:paraId="4C6CA7C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Desarrollo Comunitario</w:t>
            </w:r>
          </w:p>
        </w:tc>
        <w:tc>
          <w:tcPr>
            <w:tcW w:w="2260" w:type="dxa"/>
            <w:tcBorders>
              <w:top w:val="nil"/>
              <w:left w:val="nil"/>
              <w:bottom w:val="nil"/>
              <w:right w:val="nil"/>
            </w:tcBorders>
            <w:shd w:val="clear" w:color="auto" w:fill="auto"/>
            <w:vAlign w:val="center"/>
            <w:hideMark/>
          </w:tcPr>
          <w:p w14:paraId="7F6D6DC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122,119,871.03</w:t>
            </w:r>
          </w:p>
        </w:tc>
      </w:tr>
      <w:tr w:rsidR="00C6733C" w14:paraId="1DA530E5" w14:textId="77777777">
        <w:trPr>
          <w:trHeight w:val="540"/>
          <w:jc w:val="center"/>
        </w:trPr>
        <w:tc>
          <w:tcPr>
            <w:tcW w:w="5580" w:type="dxa"/>
            <w:tcBorders>
              <w:top w:val="nil"/>
              <w:left w:val="nil"/>
              <w:bottom w:val="nil"/>
              <w:right w:val="nil"/>
            </w:tcBorders>
            <w:shd w:val="clear" w:color="auto" w:fill="auto"/>
            <w:vAlign w:val="center"/>
            <w:hideMark/>
          </w:tcPr>
          <w:p w14:paraId="5F70FB8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Abastecimiento de Agua</w:t>
            </w:r>
          </w:p>
        </w:tc>
        <w:tc>
          <w:tcPr>
            <w:tcW w:w="2260" w:type="dxa"/>
            <w:tcBorders>
              <w:top w:val="nil"/>
              <w:left w:val="nil"/>
              <w:bottom w:val="nil"/>
              <w:right w:val="nil"/>
            </w:tcBorders>
            <w:shd w:val="clear" w:color="auto" w:fill="auto"/>
            <w:vAlign w:val="center"/>
            <w:hideMark/>
          </w:tcPr>
          <w:p w14:paraId="0C6F1C8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484,790,964.00</w:t>
            </w:r>
          </w:p>
        </w:tc>
      </w:tr>
      <w:tr w:rsidR="00C6733C" w14:paraId="1B49CFFA" w14:textId="77777777">
        <w:trPr>
          <w:trHeight w:val="540"/>
          <w:jc w:val="center"/>
        </w:trPr>
        <w:tc>
          <w:tcPr>
            <w:tcW w:w="5580" w:type="dxa"/>
            <w:tcBorders>
              <w:top w:val="nil"/>
              <w:left w:val="nil"/>
              <w:bottom w:val="nil"/>
              <w:right w:val="nil"/>
            </w:tcBorders>
            <w:shd w:val="clear" w:color="auto" w:fill="auto"/>
            <w:vAlign w:val="center"/>
            <w:hideMark/>
          </w:tcPr>
          <w:p w14:paraId="6551853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Vivienda</w:t>
            </w:r>
          </w:p>
        </w:tc>
        <w:tc>
          <w:tcPr>
            <w:tcW w:w="2260" w:type="dxa"/>
            <w:tcBorders>
              <w:top w:val="nil"/>
              <w:left w:val="nil"/>
              <w:bottom w:val="nil"/>
              <w:right w:val="nil"/>
            </w:tcBorders>
            <w:shd w:val="clear" w:color="auto" w:fill="auto"/>
            <w:vAlign w:val="center"/>
            <w:hideMark/>
          </w:tcPr>
          <w:p w14:paraId="0370D93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591,257,387.29</w:t>
            </w:r>
          </w:p>
        </w:tc>
      </w:tr>
      <w:tr w:rsidR="00C6733C" w14:paraId="32F44DA3" w14:textId="77777777">
        <w:trPr>
          <w:trHeight w:val="540"/>
          <w:jc w:val="center"/>
        </w:trPr>
        <w:tc>
          <w:tcPr>
            <w:tcW w:w="5580" w:type="dxa"/>
            <w:tcBorders>
              <w:top w:val="nil"/>
              <w:left w:val="nil"/>
              <w:bottom w:val="nil"/>
              <w:right w:val="nil"/>
            </w:tcBorders>
            <w:shd w:val="clear" w:color="auto" w:fill="auto"/>
            <w:vAlign w:val="center"/>
            <w:hideMark/>
          </w:tcPr>
          <w:p w14:paraId="79BC57C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Desarrollo Regional</w:t>
            </w:r>
          </w:p>
        </w:tc>
        <w:tc>
          <w:tcPr>
            <w:tcW w:w="2260" w:type="dxa"/>
            <w:tcBorders>
              <w:top w:val="nil"/>
              <w:left w:val="nil"/>
              <w:bottom w:val="nil"/>
              <w:right w:val="nil"/>
            </w:tcBorders>
            <w:shd w:val="clear" w:color="auto" w:fill="auto"/>
            <w:vAlign w:val="center"/>
            <w:hideMark/>
          </w:tcPr>
          <w:p w14:paraId="497F47D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1,182,186,936.96</w:t>
            </w:r>
          </w:p>
        </w:tc>
      </w:tr>
      <w:tr w:rsidR="00C6733C" w14:paraId="2D5ACD4A" w14:textId="77777777">
        <w:trPr>
          <w:trHeight w:val="540"/>
          <w:jc w:val="center"/>
        </w:trPr>
        <w:tc>
          <w:tcPr>
            <w:tcW w:w="5580" w:type="dxa"/>
            <w:tcBorders>
              <w:top w:val="nil"/>
              <w:left w:val="nil"/>
              <w:bottom w:val="nil"/>
              <w:right w:val="nil"/>
            </w:tcBorders>
            <w:shd w:val="clear" w:color="auto" w:fill="auto"/>
            <w:vAlign w:val="center"/>
            <w:hideMark/>
          </w:tcPr>
          <w:p w14:paraId="61533F1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SALUD</w:t>
            </w:r>
          </w:p>
        </w:tc>
        <w:tc>
          <w:tcPr>
            <w:tcW w:w="2260" w:type="dxa"/>
            <w:tcBorders>
              <w:top w:val="nil"/>
              <w:left w:val="nil"/>
              <w:bottom w:val="nil"/>
              <w:right w:val="nil"/>
            </w:tcBorders>
            <w:shd w:val="clear" w:color="auto" w:fill="auto"/>
            <w:noWrap/>
            <w:vAlign w:val="center"/>
            <w:hideMark/>
          </w:tcPr>
          <w:p w14:paraId="51A7CC70"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9,130,425,961.27</w:t>
            </w:r>
          </w:p>
        </w:tc>
      </w:tr>
      <w:tr w:rsidR="00C6733C" w14:paraId="04CB2430" w14:textId="77777777">
        <w:trPr>
          <w:trHeight w:val="540"/>
          <w:jc w:val="center"/>
        </w:trPr>
        <w:tc>
          <w:tcPr>
            <w:tcW w:w="5580" w:type="dxa"/>
            <w:tcBorders>
              <w:top w:val="nil"/>
              <w:left w:val="nil"/>
              <w:bottom w:val="nil"/>
              <w:right w:val="nil"/>
            </w:tcBorders>
            <w:shd w:val="clear" w:color="auto" w:fill="auto"/>
            <w:vAlign w:val="center"/>
            <w:hideMark/>
          </w:tcPr>
          <w:p w14:paraId="0F82593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Prestación de Servicios de Salud a la Comunidad</w:t>
            </w:r>
          </w:p>
        </w:tc>
        <w:tc>
          <w:tcPr>
            <w:tcW w:w="2260" w:type="dxa"/>
            <w:tcBorders>
              <w:top w:val="nil"/>
              <w:left w:val="nil"/>
              <w:bottom w:val="nil"/>
              <w:right w:val="nil"/>
            </w:tcBorders>
            <w:shd w:val="clear" w:color="auto" w:fill="auto"/>
            <w:vAlign w:val="center"/>
            <w:hideMark/>
          </w:tcPr>
          <w:p w14:paraId="16A64C5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1,049,198,512.94</w:t>
            </w:r>
          </w:p>
        </w:tc>
      </w:tr>
      <w:tr w:rsidR="00C6733C" w14:paraId="1B9831DC" w14:textId="77777777">
        <w:trPr>
          <w:trHeight w:val="540"/>
          <w:jc w:val="center"/>
        </w:trPr>
        <w:tc>
          <w:tcPr>
            <w:tcW w:w="5580" w:type="dxa"/>
            <w:tcBorders>
              <w:top w:val="nil"/>
              <w:left w:val="nil"/>
              <w:bottom w:val="nil"/>
              <w:right w:val="nil"/>
            </w:tcBorders>
            <w:shd w:val="clear" w:color="auto" w:fill="auto"/>
            <w:vAlign w:val="center"/>
            <w:hideMark/>
          </w:tcPr>
          <w:p w14:paraId="0037E79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Prestación de Servicios de Salud a la Persona</w:t>
            </w:r>
          </w:p>
        </w:tc>
        <w:tc>
          <w:tcPr>
            <w:tcW w:w="2260" w:type="dxa"/>
            <w:tcBorders>
              <w:top w:val="nil"/>
              <w:left w:val="nil"/>
              <w:bottom w:val="nil"/>
              <w:right w:val="nil"/>
            </w:tcBorders>
            <w:shd w:val="clear" w:color="auto" w:fill="auto"/>
            <w:vAlign w:val="center"/>
            <w:hideMark/>
          </w:tcPr>
          <w:p w14:paraId="7BBCF88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7,550,245,366.15</w:t>
            </w:r>
          </w:p>
        </w:tc>
      </w:tr>
      <w:tr w:rsidR="00C6733C" w14:paraId="258E4942" w14:textId="77777777">
        <w:trPr>
          <w:trHeight w:val="540"/>
          <w:jc w:val="center"/>
        </w:trPr>
        <w:tc>
          <w:tcPr>
            <w:tcW w:w="5580" w:type="dxa"/>
            <w:tcBorders>
              <w:top w:val="nil"/>
              <w:left w:val="nil"/>
              <w:bottom w:val="nil"/>
              <w:right w:val="nil"/>
            </w:tcBorders>
            <w:shd w:val="clear" w:color="auto" w:fill="auto"/>
            <w:vAlign w:val="center"/>
            <w:hideMark/>
          </w:tcPr>
          <w:p w14:paraId="38BD97B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Generación de Recursos para la Salud</w:t>
            </w:r>
          </w:p>
        </w:tc>
        <w:tc>
          <w:tcPr>
            <w:tcW w:w="2260" w:type="dxa"/>
            <w:tcBorders>
              <w:top w:val="nil"/>
              <w:left w:val="nil"/>
              <w:bottom w:val="nil"/>
              <w:right w:val="nil"/>
            </w:tcBorders>
            <w:shd w:val="clear" w:color="auto" w:fill="auto"/>
            <w:vAlign w:val="center"/>
            <w:hideMark/>
          </w:tcPr>
          <w:p w14:paraId="5C723CA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530,982,082.18</w:t>
            </w:r>
          </w:p>
        </w:tc>
      </w:tr>
      <w:tr w:rsidR="00C6733C" w14:paraId="7B7C9253" w14:textId="77777777">
        <w:trPr>
          <w:trHeight w:val="540"/>
          <w:jc w:val="center"/>
        </w:trPr>
        <w:tc>
          <w:tcPr>
            <w:tcW w:w="5580" w:type="dxa"/>
            <w:tcBorders>
              <w:top w:val="nil"/>
              <w:left w:val="nil"/>
              <w:bottom w:val="nil"/>
              <w:right w:val="nil"/>
            </w:tcBorders>
            <w:shd w:val="clear" w:color="auto" w:fill="auto"/>
            <w:vAlign w:val="center"/>
            <w:hideMark/>
          </w:tcPr>
          <w:p w14:paraId="5E9D3A5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RECREACIÓN, CULTURA Y OTRAS MANIFESTACIONES SOCIALES</w:t>
            </w:r>
          </w:p>
        </w:tc>
        <w:tc>
          <w:tcPr>
            <w:tcW w:w="2260" w:type="dxa"/>
            <w:tcBorders>
              <w:top w:val="nil"/>
              <w:left w:val="nil"/>
              <w:bottom w:val="nil"/>
              <w:right w:val="nil"/>
            </w:tcBorders>
            <w:shd w:val="clear" w:color="auto" w:fill="auto"/>
            <w:noWrap/>
            <w:vAlign w:val="center"/>
            <w:hideMark/>
          </w:tcPr>
          <w:p w14:paraId="50D44C3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379,085,583.81</w:t>
            </w:r>
          </w:p>
        </w:tc>
      </w:tr>
      <w:tr w:rsidR="00C6733C" w14:paraId="77F1A402" w14:textId="77777777">
        <w:trPr>
          <w:trHeight w:val="540"/>
          <w:jc w:val="center"/>
        </w:trPr>
        <w:tc>
          <w:tcPr>
            <w:tcW w:w="5580" w:type="dxa"/>
            <w:tcBorders>
              <w:top w:val="nil"/>
              <w:left w:val="nil"/>
              <w:bottom w:val="nil"/>
              <w:right w:val="nil"/>
            </w:tcBorders>
            <w:shd w:val="clear" w:color="auto" w:fill="auto"/>
            <w:vAlign w:val="center"/>
            <w:hideMark/>
          </w:tcPr>
          <w:p w14:paraId="75066AC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Deporte y Recreación</w:t>
            </w:r>
          </w:p>
        </w:tc>
        <w:tc>
          <w:tcPr>
            <w:tcW w:w="2260" w:type="dxa"/>
            <w:tcBorders>
              <w:top w:val="nil"/>
              <w:left w:val="nil"/>
              <w:bottom w:val="nil"/>
              <w:right w:val="nil"/>
            </w:tcBorders>
            <w:shd w:val="clear" w:color="auto" w:fill="auto"/>
            <w:vAlign w:val="center"/>
            <w:hideMark/>
          </w:tcPr>
          <w:p w14:paraId="123AE1B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85,940,353.87</w:t>
            </w:r>
          </w:p>
        </w:tc>
      </w:tr>
      <w:tr w:rsidR="00C6733C" w14:paraId="71EC9A05" w14:textId="77777777">
        <w:trPr>
          <w:trHeight w:val="540"/>
          <w:jc w:val="center"/>
        </w:trPr>
        <w:tc>
          <w:tcPr>
            <w:tcW w:w="5580" w:type="dxa"/>
            <w:tcBorders>
              <w:top w:val="nil"/>
              <w:left w:val="nil"/>
              <w:bottom w:val="nil"/>
              <w:right w:val="nil"/>
            </w:tcBorders>
            <w:shd w:val="clear" w:color="auto" w:fill="auto"/>
            <w:vAlign w:val="center"/>
            <w:hideMark/>
          </w:tcPr>
          <w:p w14:paraId="0C2DD6F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Cultura</w:t>
            </w:r>
          </w:p>
        </w:tc>
        <w:tc>
          <w:tcPr>
            <w:tcW w:w="2260" w:type="dxa"/>
            <w:tcBorders>
              <w:top w:val="nil"/>
              <w:left w:val="nil"/>
              <w:bottom w:val="nil"/>
              <w:right w:val="nil"/>
            </w:tcBorders>
            <w:shd w:val="clear" w:color="auto" w:fill="auto"/>
            <w:vAlign w:val="center"/>
            <w:hideMark/>
          </w:tcPr>
          <w:p w14:paraId="559C8D7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235,285,259.59</w:t>
            </w:r>
          </w:p>
        </w:tc>
      </w:tr>
      <w:tr w:rsidR="00C6733C" w14:paraId="14EBC565" w14:textId="77777777">
        <w:trPr>
          <w:trHeight w:val="540"/>
          <w:jc w:val="center"/>
        </w:trPr>
        <w:tc>
          <w:tcPr>
            <w:tcW w:w="5580" w:type="dxa"/>
            <w:tcBorders>
              <w:top w:val="nil"/>
              <w:left w:val="nil"/>
              <w:bottom w:val="nil"/>
              <w:right w:val="nil"/>
            </w:tcBorders>
            <w:shd w:val="clear" w:color="auto" w:fill="auto"/>
            <w:vAlign w:val="center"/>
            <w:hideMark/>
          </w:tcPr>
          <w:p w14:paraId="1CDDB91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Radio, Televisión y Editoriales</w:t>
            </w:r>
          </w:p>
        </w:tc>
        <w:tc>
          <w:tcPr>
            <w:tcW w:w="2260" w:type="dxa"/>
            <w:tcBorders>
              <w:top w:val="nil"/>
              <w:left w:val="nil"/>
              <w:bottom w:val="nil"/>
              <w:right w:val="nil"/>
            </w:tcBorders>
            <w:shd w:val="clear" w:color="auto" w:fill="auto"/>
            <w:vAlign w:val="center"/>
            <w:hideMark/>
          </w:tcPr>
          <w:p w14:paraId="01116F6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57,859,970.35</w:t>
            </w:r>
          </w:p>
        </w:tc>
      </w:tr>
      <w:tr w:rsidR="00C6733C" w14:paraId="47A2145B" w14:textId="77777777">
        <w:trPr>
          <w:trHeight w:val="540"/>
          <w:jc w:val="center"/>
        </w:trPr>
        <w:tc>
          <w:tcPr>
            <w:tcW w:w="5580" w:type="dxa"/>
            <w:tcBorders>
              <w:top w:val="nil"/>
              <w:left w:val="nil"/>
              <w:bottom w:val="nil"/>
              <w:right w:val="nil"/>
            </w:tcBorders>
            <w:shd w:val="clear" w:color="auto" w:fill="auto"/>
            <w:vAlign w:val="center"/>
            <w:hideMark/>
          </w:tcPr>
          <w:p w14:paraId="34007AA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EDUCACIÓN</w:t>
            </w:r>
          </w:p>
        </w:tc>
        <w:tc>
          <w:tcPr>
            <w:tcW w:w="2260" w:type="dxa"/>
            <w:tcBorders>
              <w:top w:val="nil"/>
              <w:left w:val="nil"/>
              <w:bottom w:val="nil"/>
              <w:right w:val="nil"/>
            </w:tcBorders>
            <w:shd w:val="clear" w:color="auto" w:fill="auto"/>
            <w:noWrap/>
            <w:vAlign w:val="center"/>
            <w:hideMark/>
          </w:tcPr>
          <w:p w14:paraId="116E182C"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29,180,027,085.94</w:t>
            </w:r>
          </w:p>
        </w:tc>
      </w:tr>
      <w:tr w:rsidR="00C6733C" w14:paraId="5904B2B1" w14:textId="77777777">
        <w:trPr>
          <w:trHeight w:val="540"/>
          <w:jc w:val="center"/>
        </w:trPr>
        <w:tc>
          <w:tcPr>
            <w:tcW w:w="5580" w:type="dxa"/>
            <w:tcBorders>
              <w:top w:val="nil"/>
              <w:left w:val="nil"/>
              <w:bottom w:val="nil"/>
              <w:right w:val="nil"/>
            </w:tcBorders>
            <w:shd w:val="clear" w:color="auto" w:fill="auto"/>
            <w:vAlign w:val="center"/>
            <w:hideMark/>
          </w:tcPr>
          <w:p w14:paraId="2FF3CA6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Educación Básica</w:t>
            </w:r>
          </w:p>
        </w:tc>
        <w:tc>
          <w:tcPr>
            <w:tcW w:w="2260" w:type="dxa"/>
            <w:tcBorders>
              <w:top w:val="nil"/>
              <w:left w:val="nil"/>
              <w:bottom w:val="nil"/>
              <w:right w:val="nil"/>
            </w:tcBorders>
            <w:shd w:val="clear" w:color="auto" w:fill="auto"/>
            <w:vAlign w:val="center"/>
            <w:hideMark/>
          </w:tcPr>
          <w:p w14:paraId="36A7A8D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23,742,616,389.24</w:t>
            </w:r>
          </w:p>
        </w:tc>
      </w:tr>
      <w:tr w:rsidR="00C6733C" w14:paraId="093A15EB" w14:textId="77777777">
        <w:trPr>
          <w:trHeight w:val="540"/>
          <w:jc w:val="center"/>
        </w:trPr>
        <w:tc>
          <w:tcPr>
            <w:tcW w:w="5580" w:type="dxa"/>
            <w:tcBorders>
              <w:top w:val="nil"/>
              <w:left w:val="nil"/>
              <w:bottom w:val="nil"/>
              <w:right w:val="nil"/>
            </w:tcBorders>
            <w:shd w:val="clear" w:color="auto" w:fill="auto"/>
            <w:vAlign w:val="center"/>
            <w:hideMark/>
          </w:tcPr>
          <w:p w14:paraId="24481CC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Educación Media Superior</w:t>
            </w:r>
          </w:p>
        </w:tc>
        <w:tc>
          <w:tcPr>
            <w:tcW w:w="2260" w:type="dxa"/>
            <w:tcBorders>
              <w:top w:val="nil"/>
              <w:left w:val="nil"/>
              <w:bottom w:val="nil"/>
              <w:right w:val="nil"/>
            </w:tcBorders>
            <w:shd w:val="clear" w:color="auto" w:fill="auto"/>
            <w:vAlign w:val="center"/>
            <w:hideMark/>
          </w:tcPr>
          <w:p w14:paraId="7D85988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2,529,506,018.95</w:t>
            </w:r>
          </w:p>
        </w:tc>
      </w:tr>
      <w:tr w:rsidR="00C6733C" w14:paraId="2BFBAFD2" w14:textId="77777777">
        <w:trPr>
          <w:trHeight w:val="540"/>
          <w:jc w:val="center"/>
        </w:trPr>
        <w:tc>
          <w:tcPr>
            <w:tcW w:w="5580" w:type="dxa"/>
            <w:tcBorders>
              <w:top w:val="nil"/>
              <w:left w:val="nil"/>
              <w:bottom w:val="nil"/>
              <w:right w:val="nil"/>
            </w:tcBorders>
            <w:shd w:val="clear" w:color="auto" w:fill="auto"/>
            <w:vAlign w:val="center"/>
            <w:hideMark/>
          </w:tcPr>
          <w:p w14:paraId="146790F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Educación Superior</w:t>
            </w:r>
          </w:p>
        </w:tc>
        <w:tc>
          <w:tcPr>
            <w:tcW w:w="2260" w:type="dxa"/>
            <w:tcBorders>
              <w:top w:val="nil"/>
              <w:left w:val="nil"/>
              <w:bottom w:val="nil"/>
              <w:right w:val="nil"/>
            </w:tcBorders>
            <w:shd w:val="clear" w:color="auto" w:fill="auto"/>
            <w:vAlign w:val="center"/>
            <w:hideMark/>
          </w:tcPr>
          <w:p w14:paraId="64304CB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2,534,414,216.52</w:t>
            </w:r>
          </w:p>
        </w:tc>
      </w:tr>
      <w:tr w:rsidR="00C6733C" w14:paraId="2D938E9D" w14:textId="77777777">
        <w:trPr>
          <w:trHeight w:val="540"/>
          <w:jc w:val="center"/>
        </w:trPr>
        <w:tc>
          <w:tcPr>
            <w:tcW w:w="5580" w:type="dxa"/>
            <w:tcBorders>
              <w:top w:val="nil"/>
              <w:left w:val="nil"/>
              <w:bottom w:val="nil"/>
              <w:right w:val="nil"/>
            </w:tcBorders>
            <w:shd w:val="clear" w:color="auto" w:fill="auto"/>
            <w:vAlign w:val="center"/>
            <w:hideMark/>
          </w:tcPr>
          <w:p w14:paraId="7194CCA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Educación para Adultos</w:t>
            </w:r>
          </w:p>
        </w:tc>
        <w:tc>
          <w:tcPr>
            <w:tcW w:w="2260" w:type="dxa"/>
            <w:tcBorders>
              <w:top w:val="nil"/>
              <w:left w:val="nil"/>
              <w:bottom w:val="nil"/>
              <w:right w:val="nil"/>
            </w:tcBorders>
            <w:shd w:val="clear" w:color="auto" w:fill="auto"/>
            <w:vAlign w:val="center"/>
            <w:hideMark/>
          </w:tcPr>
          <w:p w14:paraId="747AFEF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217,183,987.00</w:t>
            </w:r>
          </w:p>
        </w:tc>
      </w:tr>
      <w:tr w:rsidR="00C6733C" w14:paraId="70D9943D" w14:textId="77777777">
        <w:trPr>
          <w:trHeight w:val="540"/>
          <w:jc w:val="center"/>
        </w:trPr>
        <w:tc>
          <w:tcPr>
            <w:tcW w:w="5580" w:type="dxa"/>
            <w:tcBorders>
              <w:top w:val="nil"/>
              <w:left w:val="nil"/>
              <w:bottom w:val="nil"/>
              <w:right w:val="nil"/>
            </w:tcBorders>
            <w:shd w:val="clear" w:color="auto" w:fill="auto"/>
            <w:vAlign w:val="center"/>
            <w:hideMark/>
          </w:tcPr>
          <w:p w14:paraId="10D2EAE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Otros Servicios Educativos y Actividades </w:t>
            </w:r>
            <w:r>
              <w:rPr>
                <w:rFonts w:ascii="Arial" w:eastAsia="Times New Roman" w:hAnsi="Arial" w:cs="Arial"/>
                <w:color w:val="000000"/>
                <w:lang w:bidi="ar-SA"/>
              </w:rPr>
              <w:t>Inherentes</w:t>
            </w:r>
          </w:p>
        </w:tc>
        <w:tc>
          <w:tcPr>
            <w:tcW w:w="2260" w:type="dxa"/>
            <w:tcBorders>
              <w:top w:val="nil"/>
              <w:left w:val="nil"/>
              <w:bottom w:val="nil"/>
              <w:right w:val="nil"/>
            </w:tcBorders>
            <w:shd w:val="clear" w:color="auto" w:fill="auto"/>
            <w:vAlign w:val="center"/>
            <w:hideMark/>
          </w:tcPr>
          <w:p w14:paraId="0689D5B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156,306,474.23</w:t>
            </w:r>
          </w:p>
        </w:tc>
      </w:tr>
      <w:tr w:rsidR="00C6733C" w14:paraId="4A4D3159" w14:textId="77777777">
        <w:trPr>
          <w:trHeight w:val="540"/>
          <w:jc w:val="center"/>
        </w:trPr>
        <w:tc>
          <w:tcPr>
            <w:tcW w:w="5580" w:type="dxa"/>
            <w:tcBorders>
              <w:top w:val="nil"/>
              <w:left w:val="nil"/>
              <w:bottom w:val="nil"/>
              <w:right w:val="nil"/>
            </w:tcBorders>
            <w:shd w:val="clear" w:color="auto" w:fill="auto"/>
            <w:vAlign w:val="center"/>
            <w:hideMark/>
          </w:tcPr>
          <w:p w14:paraId="6618ED8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PROTECCIÓN SOCIAL</w:t>
            </w:r>
          </w:p>
        </w:tc>
        <w:tc>
          <w:tcPr>
            <w:tcW w:w="2260" w:type="dxa"/>
            <w:tcBorders>
              <w:top w:val="nil"/>
              <w:left w:val="nil"/>
              <w:bottom w:val="nil"/>
              <w:right w:val="nil"/>
            </w:tcBorders>
            <w:shd w:val="clear" w:color="auto" w:fill="auto"/>
            <w:noWrap/>
            <w:vAlign w:val="center"/>
            <w:hideMark/>
          </w:tcPr>
          <w:p w14:paraId="655D6088"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3,106,077,736.82</w:t>
            </w:r>
          </w:p>
        </w:tc>
      </w:tr>
      <w:tr w:rsidR="00C6733C" w14:paraId="3CD567A6" w14:textId="77777777">
        <w:trPr>
          <w:trHeight w:val="540"/>
          <w:jc w:val="center"/>
        </w:trPr>
        <w:tc>
          <w:tcPr>
            <w:tcW w:w="5580" w:type="dxa"/>
            <w:tcBorders>
              <w:top w:val="nil"/>
              <w:left w:val="nil"/>
              <w:bottom w:val="nil"/>
              <w:right w:val="nil"/>
            </w:tcBorders>
            <w:shd w:val="clear" w:color="auto" w:fill="auto"/>
            <w:vAlign w:val="center"/>
            <w:hideMark/>
          </w:tcPr>
          <w:p w14:paraId="0E6B0B6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Enfermedad e Incapacidad</w:t>
            </w:r>
          </w:p>
        </w:tc>
        <w:tc>
          <w:tcPr>
            <w:tcW w:w="2260" w:type="dxa"/>
            <w:tcBorders>
              <w:top w:val="nil"/>
              <w:left w:val="nil"/>
              <w:bottom w:val="nil"/>
              <w:right w:val="nil"/>
            </w:tcBorders>
            <w:shd w:val="clear" w:color="auto" w:fill="auto"/>
            <w:vAlign w:val="center"/>
            <w:hideMark/>
          </w:tcPr>
          <w:p w14:paraId="3BA17A1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155,214,861.80</w:t>
            </w:r>
          </w:p>
        </w:tc>
      </w:tr>
      <w:tr w:rsidR="00C6733C" w14:paraId="44224EF6" w14:textId="77777777">
        <w:trPr>
          <w:trHeight w:val="540"/>
          <w:jc w:val="center"/>
        </w:trPr>
        <w:tc>
          <w:tcPr>
            <w:tcW w:w="5580" w:type="dxa"/>
            <w:tcBorders>
              <w:top w:val="nil"/>
              <w:left w:val="nil"/>
              <w:bottom w:val="nil"/>
              <w:right w:val="nil"/>
            </w:tcBorders>
            <w:shd w:val="clear" w:color="auto" w:fill="auto"/>
            <w:vAlign w:val="center"/>
            <w:hideMark/>
          </w:tcPr>
          <w:p w14:paraId="61F613F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Edad Avanzada</w:t>
            </w:r>
          </w:p>
        </w:tc>
        <w:tc>
          <w:tcPr>
            <w:tcW w:w="2260" w:type="dxa"/>
            <w:tcBorders>
              <w:top w:val="nil"/>
              <w:left w:val="nil"/>
              <w:bottom w:val="nil"/>
              <w:right w:val="nil"/>
            </w:tcBorders>
            <w:shd w:val="clear" w:color="auto" w:fill="auto"/>
            <w:vAlign w:val="center"/>
            <w:hideMark/>
          </w:tcPr>
          <w:p w14:paraId="38698BB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170,601,088.44</w:t>
            </w:r>
          </w:p>
        </w:tc>
      </w:tr>
      <w:tr w:rsidR="00C6733C" w14:paraId="322FAAD6" w14:textId="77777777">
        <w:trPr>
          <w:trHeight w:val="540"/>
          <w:jc w:val="center"/>
        </w:trPr>
        <w:tc>
          <w:tcPr>
            <w:tcW w:w="5580" w:type="dxa"/>
            <w:tcBorders>
              <w:top w:val="nil"/>
              <w:left w:val="nil"/>
              <w:bottom w:val="nil"/>
              <w:right w:val="nil"/>
            </w:tcBorders>
            <w:shd w:val="clear" w:color="auto" w:fill="auto"/>
            <w:vAlign w:val="center"/>
            <w:hideMark/>
          </w:tcPr>
          <w:p w14:paraId="733C1EE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Familia e Hijos</w:t>
            </w:r>
          </w:p>
        </w:tc>
        <w:tc>
          <w:tcPr>
            <w:tcW w:w="2260" w:type="dxa"/>
            <w:tcBorders>
              <w:top w:val="nil"/>
              <w:left w:val="nil"/>
              <w:bottom w:val="nil"/>
              <w:right w:val="nil"/>
            </w:tcBorders>
            <w:shd w:val="clear" w:color="auto" w:fill="auto"/>
            <w:vAlign w:val="center"/>
            <w:hideMark/>
          </w:tcPr>
          <w:p w14:paraId="6479DD6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149,119,473.01</w:t>
            </w:r>
          </w:p>
        </w:tc>
      </w:tr>
      <w:tr w:rsidR="00C6733C" w14:paraId="598B6965" w14:textId="77777777">
        <w:trPr>
          <w:trHeight w:val="540"/>
          <w:jc w:val="center"/>
        </w:trPr>
        <w:tc>
          <w:tcPr>
            <w:tcW w:w="5580" w:type="dxa"/>
            <w:tcBorders>
              <w:top w:val="nil"/>
              <w:left w:val="nil"/>
              <w:bottom w:val="nil"/>
              <w:right w:val="nil"/>
            </w:tcBorders>
            <w:shd w:val="clear" w:color="auto" w:fill="auto"/>
            <w:vAlign w:val="center"/>
            <w:hideMark/>
          </w:tcPr>
          <w:p w14:paraId="69B9953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Desempleo</w:t>
            </w:r>
          </w:p>
        </w:tc>
        <w:tc>
          <w:tcPr>
            <w:tcW w:w="2260" w:type="dxa"/>
            <w:tcBorders>
              <w:top w:val="nil"/>
              <w:left w:val="nil"/>
              <w:bottom w:val="nil"/>
              <w:right w:val="nil"/>
            </w:tcBorders>
            <w:shd w:val="clear" w:color="auto" w:fill="auto"/>
            <w:vAlign w:val="center"/>
            <w:hideMark/>
          </w:tcPr>
          <w:p w14:paraId="0F9EC8D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99,116,198.65</w:t>
            </w:r>
          </w:p>
        </w:tc>
      </w:tr>
      <w:tr w:rsidR="00C6733C" w14:paraId="002E235B" w14:textId="77777777">
        <w:trPr>
          <w:trHeight w:val="540"/>
          <w:jc w:val="center"/>
        </w:trPr>
        <w:tc>
          <w:tcPr>
            <w:tcW w:w="5580" w:type="dxa"/>
            <w:tcBorders>
              <w:top w:val="nil"/>
              <w:left w:val="nil"/>
              <w:bottom w:val="nil"/>
              <w:right w:val="nil"/>
            </w:tcBorders>
            <w:shd w:val="clear" w:color="auto" w:fill="auto"/>
            <w:vAlign w:val="center"/>
            <w:hideMark/>
          </w:tcPr>
          <w:p w14:paraId="5457359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Alimentación y Nutrición</w:t>
            </w:r>
          </w:p>
        </w:tc>
        <w:tc>
          <w:tcPr>
            <w:tcW w:w="2260" w:type="dxa"/>
            <w:tcBorders>
              <w:top w:val="nil"/>
              <w:left w:val="nil"/>
              <w:bottom w:val="nil"/>
              <w:right w:val="nil"/>
            </w:tcBorders>
            <w:shd w:val="clear" w:color="auto" w:fill="auto"/>
            <w:vAlign w:val="center"/>
            <w:hideMark/>
          </w:tcPr>
          <w:p w14:paraId="30B08D6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1,045,209,674.52</w:t>
            </w:r>
          </w:p>
        </w:tc>
      </w:tr>
      <w:tr w:rsidR="00C6733C" w14:paraId="0C23F936" w14:textId="77777777">
        <w:trPr>
          <w:trHeight w:val="540"/>
          <w:jc w:val="center"/>
        </w:trPr>
        <w:tc>
          <w:tcPr>
            <w:tcW w:w="5580" w:type="dxa"/>
            <w:tcBorders>
              <w:top w:val="nil"/>
              <w:left w:val="nil"/>
              <w:bottom w:val="nil"/>
              <w:right w:val="nil"/>
            </w:tcBorders>
            <w:shd w:val="clear" w:color="auto" w:fill="auto"/>
            <w:vAlign w:val="center"/>
            <w:hideMark/>
          </w:tcPr>
          <w:p w14:paraId="050F199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Indígenas</w:t>
            </w:r>
          </w:p>
        </w:tc>
        <w:tc>
          <w:tcPr>
            <w:tcW w:w="2260" w:type="dxa"/>
            <w:tcBorders>
              <w:top w:val="nil"/>
              <w:left w:val="nil"/>
              <w:bottom w:val="nil"/>
              <w:right w:val="nil"/>
            </w:tcBorders>
            <w:shd w:val="clear" w:color="auto" w:fill="auto"/>
            <w:vAlign w:val="center"/>
            <w:hideMark/>
          </w:tcPr>
          <w:p w14:paraId="2F55DD9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335,104,276.40</w:t>
            </w:r>
          </w:p>
        </w:tc>
      </w:tr>
      <w:tr w:rsidR="00C6733C" w14:paraId="58639E16" w14:textId="77777777">
        <w:trPr>
          <w:trHeight w:val="540"/>
          <w:jc w:val="center"/>
        </w:trPr>
        <w:tc>
          <w:tcPr>
            <w:tcW w:w="5580" w:type="dxa"/>
            <w:tcBorders>
              <w:top w:val="nil"/>
              <w:left w:val="nil"/>
              <w:bottom w:val="nil"/>
              <w:right w:val="nil"/>
            </w:tcBorders>
            <w:shd w:val="clear" w:color="auto" w:fill="auto"/>
            <w:vAlign w:val="center"/>
            <w:hideMark/>
          </w:tcPr>
          <w:p w14:paraId="5B1C551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Grupos Vulnerables</w:t>
            </w:r>
          </w:p>
        </w:tc>
        <w:tc>
          <w:tcPr>
            <w:tcW w:w="2260" w:type="dxa"/>
            <w:tcBorders>
              <w:top w:val="nil"/>
              <w:left w:val="nil"/>
              <w:bottom w:val="nil"/>
              <w:right w:val="nil"/>
            </w:tcBorders>
            <w:shd w:val="clear" w:color="auto" w:fill="auto"/>
            <w:vAlign w:val="center"/>
            <w:hideMark/>
          </w:tcPr>
          <w:p w14:paraId="68F9F61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227,343,108.00</w:t>
            </w:r>
          </w:p>
        </w:tc>
      </w:tr>
      <w:tr w:rsidR="00C6733C" w14:paraId="33976295" w14:textId="77777777">
        <w:trPr>
          <w:trHeight w:val="540"/>
          <w:jc w:val="center"/>
        </w:trPr>
        <w:tc>
          <w:tcPr>
            <w:tcW w:w="5580" w:type="dxa"/>
            <w:tcBorders>
              <w:top w:val="nil"/>
              <w:left w:val="nil"/>
              <w:bottom w:val="nil"/>
              <w:right w:val="nil"/>
            </w:tcBorders>
            <w:shd w:val="clear" w:color="auto" w:fill="auto"/>
            <w:vAlign w:val="center"/>
            <w:hideMark/>
          </w:tcPr>
          <w:p w14:paraId="00B48CE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de Seguridad Social y Asistencia Social</w:t>
            </w:r>
          </w:p>
        </w:tc>
        <w:tc>
          <w:tcPr>
            <w:tcW w:w="2260" w:type="dxa"/>
            <w:tcBorders>
              <w:top w:val="nil"/>
              <w:left w:val="nil"/>
              <w:bottom w:val="nil"/>
              <w:right w:val="nil"/>
            </w:tcBorders>
            <w:shd w:val="clear" w:color="auto" w:fill="auto"/>
            <w:vAlign w:val="center"/>
            <w:hideMark/>
          </w:tcPr>
          <w:p w14:paraId="298D7A3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924,369,056.00</w:t>
            </w:r>
          </w:p>
        </w:tc>
      </w:tr>
      <w:tr w:rsidR="00C6733C" w14:paraId="4FC7FC24" w14:textId="77777777">
        <w:trPr>
          <w:trHeight w:val="540"/>
          <w:jc w:val="center"/>
        </w:trPr>
        <w:tc>
          <w:tcPr>
            <w:tcW w:w="5580" w:type="dxa"/>
            <w:tcBorders>
              <w:top w:val="nil"/>
              <w:left w:val="nil"/>
              <w:bottom w:val="nil"/>
              <w:right w:val="nil"/>
            </w:tcBorders>
            <w:shd w:val="clear" w:color="auto" w:fill="auto"/>
            <w:vAlign w:val="center"/>
            <w:hideMark/>
          </w:tcPr>
          <w:p w14:paraId="51ADCD1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OTROS ASUNTOS SOCIALES</w:t>
            </w:r>
          </w:p>
        </w:tc>
        <w:tc>
          <w:tcPr>
            <w:tcW w:w="2260" w:type="dxa"/>
            <w:tcBorders>
              <w:top w:val="nil"/>
              <w:left w:val="nil"/>
              <w:bottom w:val="nil"/>
              <w:right w:val="nil"/>
            </w:tcBorders>
            <w:shd w:val="clear" w:color="auto" w:fill="auto"/>
            <w:noWrap/>
            <w:vAlign w:val="center"/>
            <w:hideMark/>
          </w:tcPr>
          <w:p w14:paraId="13A22DE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72,453,171.37</w:t>
            </w:r>
          </w:p>
        </w:tc>
      </w:tr>
      <w:tr w:rsidR="00C6733C" w14:paraId="1DAB44CB" w14:textId="77777777">
        <w:trPr>
          <w:trHeight w:val="540"/>
          <w:jc w:val="center"/>
        </w:trPr>
        <w:tc>
          <w:tcPr>
            <w:tcW w:w="5580" w:type="dxa"/>
            <w:tcBorders>
              <w:top w:val="nil"/>
              <w:left w:val="nil"/>
              <w:bottom w:val="nil"/>
              <w:right w:val="nil"/>
            </w:tcBorders>
            <w:shd w:val="clear" w:color="auto" w:fill="auto"/>
            <w:vAlign w:val="center"/>
            <w:hideMark/>
          </w:tcPr>
          <w:p w14:paraId="4620C94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Asuntos Sociales</w:t>
            </w:r>
          </w:p>
        </w:tc>
        <w:tc>
          <w:tcPr>
            <w:tcW w:w="2260" w:type="dxa"/>
            <w:tcBorders>
              <w:top w:val="nil"/>
              <w:left w:val="nil"/>
              <w:bottom w:val="nil"/>
              <w:right w:val="nil"/>
            </w:tcBorders>
            <w:shd w:val="clear" w:color="auto" w:fill="auto"/>
            <w:vAlign w:val="center"/>
            <w:hideMark/>
          </w:tcPr>
          <w:p w14:paraId="72D62DE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72,453,171.37</w:t>
            </w:r>
          </w:p>
        </w:tc>
      </w:tr>
      <w:tr w:rsidR="00C6733C" w14:paraId="2AF30E84" w14:textId="77777777">
        <w:trPr>
          <w:trHeight w:val="540"/>
          <w:jc w:val="center"/>
        </w:trPr>
        <w:tc>
          <w:tcPr>
            <w:tcW w:w="5580" w:type="dxa"/>
            <w:tcBorders>
              <w:top w:val="nil"/>
              <w:left w:val="nil"/>
              <w:bottom w:val="nil"/>
              <w:right w:val="nil"/>
            </w:tcBorders>
            <w:shd w:val="clear" w:color="auto" w:fill="auto"/>
            <w:vAlign w:val="center"/>
            <w:hideMark/>
          </w:tcPr>
          <w:p w14:paraId="4E7AE5CE"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DESARROLLO ECONÓMICO </w:t>
            </w:r>
          </w:p>
        </w:tc>
        <w:tc>
          <w:tcPr>
            <w:tcW w:w="2260" w:type="dxa"/>
            <w:tcBorders>
              <w:top w:val="nil"/>
              <w:left w:val="nil"/>
              <w:bottom w:val="nil"/>
              <w:right w:val="nil"/>
            </w:tcBorders>
            <w:shd w:val="clear" w:color="auto" w:fill="auto"/>
            <w:vAlign w:val="center"/>
            <w:hideMark/>
          </w:tcPr>
          <w:p w14:paraId="5BCEE34E"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2,218,441,575.43</w:t>
            </w:r>
          </w:p>
        </w:tc>
      </w:tr>
      <w:tr w:rsidR="00C6733C" w14:paraId="64FE2D92" w14:textId="77777777">
        <w:trPr>
          <w:trHeight w:val="540"/>
          <w:jc w:val="center"/>
        </w:trPr>
        <w:tc>
          <w:tcPr>
            <w:tcW w:w="5580" w:type="dxa"/>
            <w:tcBorders>
              <w:top w:val="nil"/>
              <w:left w:val="nil"/>
              <w:bottom w:val="nil"/>
              <w:right w:val="nil"/>
            </w:tcBorders>
            <w:shd w:val="clear" w:color="auto" w:fill="auto"/>
            <w:vAlign w:val="center"/>
            <w:hideMark/>
          </w:tcPr>
          <w:p w14:paraId="49809600"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ASUNTOS </w:t>
            </w:r>
            <w:r>
              <w:rPr>
                <w:rFonts w:ascii="Arial" w:eastAsia="Times New Roman" w:hAnsi="Arial" w:cs="Arial"/>
                <w:b/>
                <w:bCs/>
                <w:color w:val="000000"/>
                <w:lang w:bidi="ar-SA"/>
              </w:rPr>
              <w:t>ECONÓMICOS, COMERCIALES Y LABORALES EN GENERAL</w:t>
            </w:r>
          </w:p>
        </w:tc>
        <w:tc>
          <w:tcPr>
            <w:tcW w:w="2260" w:type="dxa"/>
            <w:tcBorders>
              <w:top w:val="nil"/>
              <w:left w:val="nil"/>
              <w:bottom w:val="nil"/>
              <w:right w:val="nil"/>
            </w:tcBorders>
            <w:shd w:val="clear" w:color="auto" w:fill="auto"/>
            <w:noWrap/>
            <w:vAlign w:val="center"/>
            <w:hideMark/>
          </w:tcPr>
          <w:p w14:paraId="650752BE"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495,369,292.69</w:t>
            </w:r>
          </w:p>
        </w:tc>
      </w:tr>
      <w:tr w:rsidR="00C6733C" w14:paraId="5B515122" w14:textId="77777777">
        <w:trPr>
          <w:trHeight w:val="540"/>
          <w:jc w:val="center"/>
        </w:trPr>
        <w:tc>
          <w:tcPr>
            <w:tcW w:w="5580" w:type="dxa"/>
            <w:tcBorders>
              <w:top w:val="nil"/>
              <w:left w:val="nil"/>
              <w:bottom w:val="nil"/>
              <w:right w:val="nil"/>
            </w:tcBorders>
            <w:shd w:val="clear" w:color="auto" w:fill="auto"/>
            <w:vAlign w:val="center"/>
            <w:hideMark/>
          </w:tcPr>
          <w:p w14:paraId="06271F1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Asuntos Económicos y Comerciales en General</w:t>
            </w:r>
          </w:p>
        </w:tc>
        <w:tc>
          <w:tcPr>
            <w:tcW w:w="2260" w:type="dxa"/>
            <w:tcBorders>
              <w:top w:val="nil"/>
              <w:left w:val="nil"/>
              <w:bottom w:val="nil"/>
              <w:right w:val="nil"/>
            </w:tcBorders>
            <w:shd w:val="clear" w:color="auto" w:fill="auto"/>
            <w:vAlign w:val="center"/>
            <w:hideMark/>
          </w:tcPr>
          <w:p w14:paraId="25E19D0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338,270,559.07</w:t>
            </w:r>
          </w:p>
        </w:tc>
      </w:tr>
      <w:tr w:rsidR="00C6733C" w14:paraId="51FBCC45" w14:textId="77777777">
        <w:trPr>
          <w:trHeight w:val="540"/>
          <w:jc w:val="center"/>
        </w:trPr>
        <w:tc>
          <w:tcPr>
            <w:tcW w:w="5580" w:type="dxa"/>
            <w:tcBorders>
              <w:top w:val="nil"/>
              <w:left w:val="nil"/>
              <w:bottom w:val="nil"/>
              <w:right w:val="nil"/>
            </w:tcBorders>
            <w:shd w:val="clear" w:color="auto" w:fill="auto"/>
            <w:vAlign w:val="center"/>
            <w:hideMark/>
          </w:tcPr>
          <w:p w14:paraId="59A2656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Asuntos Laborales Generales</w:t>
            </w:r>
          </w:p>
        </w:tc>
        <w:tc>
          <w:tcPr>
            <w:tcW w:w="2260" w:type="dxa"/>
            <w:tcBorders>
              <w:top w:val="nil"/>
              <w:left w:val="nil"/>
              <w:bottom w:val="nil"/>
              <w:right w:val="nil"/>
            </w:tcBorders>
            <w:shd w:val="clear" w:color="auto" w:fill="auto"/>
            <w:vAlign w:val="center"/>
            <w:hideMark/>
          </w:tcPr>
          <w:p w14:paraId="461941B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157,098,733.62</w:t>
            </w:r>
          </w:p>
        </w:tc>
      </w:tr>
      <w:tr w:rsidR="00C6733C" w14:paraId="340BC29B" w14:textId="77777777">
        <w:trPr>
          <w:trHeight w:val="540"/>
          <w:jc w:val="center"/>
        </w:trPr>
        <w:tc>
          <w:tcPr>
            <w:tcW w:w="5580" w:type="dxa"/>
            <w:tcBorders>
              <w:top w:val="nil"/>
              <w:left w:val="nil"/>
              <w:bottom w:val="nil"/>
              <w:right w:val="nil"/>
            </w:tcBorders>
            <w:shd w:val="clear" w:color="auto" w:fill="auto"/>
            <w:vAlign w:val="center"/>
            <w:hideMark/>
          </w:tcPr>
          <w:p w14:paraId="43D8606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AGROPECUARIA, SILVICULTURA, PESCA Y CAZA</w:t>
            </w:r>
          </w:p>
        </w:tc>
        <w:tc>
          <w:tcPr>
            <w:tcW w:w="2260" w:type="dxa"/>
            <w:tcBorders>
              <w:top w:val="nil"/>
              <w:left w:val="nil"/>
              <w:bottom w:val="nil"/>
              <w:right w:val="nil"/>
            </w:tcBorders>
            <w:shd w:val="clear" w:color="auto" w:fill="auto"/>
            <w:noWrap/>
            <w:vAlign w:val="center"/>
            <w:hideMark/>
          </w:tcPr>
          <w:p w14:paraId="5EF69054"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495,422,234.70</w:t>
            </w:r>
          </w:p>
        </w:tc>
      </w:tr>
      <w:tr w:rsidR="00C6733C" w14:paraId="3AA17B76" w14:textId="77777777">
        <w:trPr>
          <w:trHeight w:val="540"/>
          <w:jc w:val="center"/>
        </w:trPr>
        <w:tc>
          <w:tcPr>
            <w:tcW w:w="5580" w:type="dxa"/>
            <w:tcBorders>
              <w:top w:val="nil"/>
              <w:left w:val="nil"/>
              <w:bottom w:val="nil"/>
              <w:right w:val="nil"/>
            </w:tcBorders>
            <w:shd w:val="clear" w:color="auto" w:fill="auto"/>
            <w:vAlign w:val="center"/>
            <w:hideMark/>
          </w:tcPr>
          <w:p w14:paraId="423570D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Agropecuaria</w:t>
            </w:r>
          </w:p>
        </w:tc>
        <w:tc>
          <w:tcPr>
            <w:tcW w:w="2260" w:type="dxa"/>
            <w:tcBorders>
              <w:top w:val="nil"/>
              <w:left w:val="nil"/>
              <w:bottom w:val="nil"/>
              <w:right w:val="nil"/>
            </w:tcBorders>
            <w:shd w:val="clear" w:color="auto" w:fill="auto"/>
            <w:vAlign w:val="center"/>
            <w:hideMark/>
          </w:tcPr>
          <w:p w14:paraId="17372C0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457,271,687.39</w:t>
            </w:r>
          </w:p>
        </w:tc>
      </w:tr>
      <w:tr w:rsidR="00C6733C" w14:paraId="2CF845C4" w14:textId="77777777">
        <w:trPr>
          <w:trHeight w:val="540"/>
          <w:jc w:val="center"/>
        </w:trPr>
        <w:tc>
          <w:tcPr>
            <w:tcW w:w="5580" w:type="dxa"/>
            <w:tcBorders>
              <w:top w:val="nil"/>
              <w:left w:val="nil"/>
              <w:bottom w:val="nil"/>
              <w:right w:val="nil"/>
            </w:tcBorders>
            <w:shd w:val="clear" w:color="auto" w:fill="auto"/>
            <w:vAlign w:val="center"/>
            <w:hideMark/>
          </w:tcPr>
          <w:p w14:paraId="600A330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Silvicultura</w:t>
            </w:r>
          </w:p>
        </w:tc>
        <w:tc>
          <w:tcPr>
            <w:tcW w:w="2260" w:type="dxa"/>
            <w:tcBorders>
              <w:top w:val="nil"/>
              <w:left w:val="nil"/>
              <w:bottom w:val="nil"/>
              <w:right w:val="nil"/>
            </w:tcBorders>
            <w:shd w:val="clear" w:color="auto" w:fill="auto"/>
            <w:vAlign w:val="center"/>
            <w:hideMark/>
          </w:tcPr>
          <w:p w14:paraId="0255B47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22,312,581.89</w:t>
            </w:r>
          </w:p>
        </w:tc>
      </w:tr>
      <w:tr w:rsidR="00C6733C" w14:paraId="146EB7AC" w14:textId="77777777">
        <w:trPr>
          <w:trHeight w:val="540"/>
          <w:jc w:val="center"/>
        </w:trPr>
        <w:tc>
          <w:tcPr>
            <w:tcW w:w="5580" w:type="dxa"/>
            <w:tcBorders>
              <w:top w:val="nil"/>
              <w:left w:val="nil"/>
              <w:bottom w:val="nil"/>
              <w:right w:val="nil"/>
            </w:tcBorders>
            <w:shd w:val="clear" w:color="auto" w:fill="auto"/>
            <w:vAlign w:val="center"/>
            <w:hideMark/>
          </w:tcPr>
          <w:p w14:paraId="4B994D9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Acuacultura, Pesca y Caza</w:t>
            </w:r>
          </w:p>
        </w:tc>
        <w:tc>
          <w:tcPr>
            <w:tcW w:w="2260" w:type="dxa"/>
            <w:tcBorders>
              <w:top w:val="nil"/>
              <w:left w:val="nil"/>
              <w:bottom w:val="nil"/>
              <w:right w:val="nil"/>
            </w:tcBorders>
            <w:shd w:val="clear" w:color="auto" w:fill="auto"/>
            <w:vAlign w:val="center"/>
            <w:hideMark/>
          </w:tcPr>
          <w:p w14:paraId="53418A9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15,837,965.42</w:t>
            </w:r>
          </w:p>
        </w:tc>
      </w:tr>
      <w:tr w:rsidR="00C6733C" w14:paraId="48C82426" w14:textId="77777777">
        <w:trPr>
          <w:trHeight w:val="540"/>
          <w:jc w:val="center"/>
        </w:trPr>
        <w:tc>
          <w:tcPr>
            <w:tcW w:w="5580" w:type="dxa"/>
            <w:tcBorders>
              <w:top w:val="nil"/>
              <w:left w:val="nil"/>
              <w:bottom w:val="nil"/>
              <w:right w:val="nil"/>
            </w:tcBorders>
            <w:shd w:val="clear" w:color="auto" w:fill="auto"/>
            <w:vAlign w:val="center"/>
            <w:hideMark/>
          </w:tcPr>
          <w:p w14:paraId="7688FBC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TRANSPORTE</w:t>
            </w:r>
          </w:p>
        </w:tc>
        <w:tc>
          <w:tcPr>
            <w:tcW w:w="2260" w:type="dxa"/>
            <w:tcBorders>
              <w:top w:val="nil"/>
              <w:left w:val="nil"/>
              <w:bottom w:val="nil"/>
              <w:right w:val="nil"/>
            </w:tcBorders>
            <w:shd w:val="clear" w:color="auto" w:fill="auto"/>
            <w:noWrap/>
            <w:vAlign w:val="center"/>
            <w:hideMark/>
          </w:tcPr>
          <w:p w14:paraId="002FE74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557,270,811.31</w:t>
            </w:r>
          </w:p>
        </w:tc>
      </w:tr>
      <w:tr w:rsidR="00C6733C" w14:paraId="650D649A" w14:textId="77777777">
        <w:trPr>
          <w:trHeight w:val="540"/>
          <w:jc w:val="center"/>
        </w:trPr>
        <w:tc>
          <w:tcPr>
            <w:tcW w:w="5580" w:type="dxa"/>
            <w:tcBorders>
              <w:top w:val="nil"/>
              <w:left w:val="nil"/>
              <w:bottom w:val="nil"/>
              <w:right w:val="nil"/>
            </w:tcBorders>
            <w:shd w:val="clear" w:color="auto" w:fill="auto"/>
            <w:vAlign w:val="center"/>
            <w:hideMark/>
          </w:tcPr>
          <w:p w14:paraId="411F96B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Transporte por Carretera</w:t>
            </w:r>
          </w:p>
        </w:tc>
        <w:tc>
          <w:tcPr>
            <w:tcW w:w="2260" w:type="dxa"/>
            <w:tcBorders>
              <w:top w:val="nil"/>
              <w:left w:val="nil"/>
              <w:bottom w:val="nil"/>
              <w:right w:val="nil"/>
            </w:tcBorders>
            <w:shd w:val="clear" w:color="auto" w:fill="auto"/>
            <w:vAlign w:val="center"/>
            <w:hideMark/>
          </w:tcPr>
          <w:p w14:paraId="73E64C6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555,501,811.31</w:t>
            </w:r>
          </w:p>
        </w:tc>
      </w:tr>
      <w:tr w:rsidR="00C6733C" w14:paraId="75AB2D85" w14:textId="77777777">
        <w:trPr>
          <w:trHeight w:val="540"/>
          <w:jc w:val="center"/>
        </w:trPr>
        <w:tc>
          <w:tcPr>
            <w:tcW w:w="5580" w:type="dxa"/>
            <w:tcBorders>
              <w:top w:val="nil"/>
              <w:left w:val="nil"/>
              <w:bottom w:val="nil"/>
              <w:right w:val="nil"/>
            </w:tcBorders>
            <w:shd w:val="clear" w:color="auto" w:fill="auto"/>
            <w:vAlign w:val="center"/>
            <w:hideMark/>
          </w:tcPr>
          <w:p w14:paraId="4DD964D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Relacionados con Transporte</w:t>
            </w:r>
          </w:p>
        </w:tc>
        <w:tc>
          <w:tcPr>
            <w:tcW w:w="2260" w:type="dxa"/>
            <w:tcBorders>
              <w:top w:val="nil"/>
              <w:left w:val="nil"/>
              <w:bottom w:val="nil"/>
              <w:right w:val="nil"/>
            </w:tcBorders>
            <w:shd w:val="clear" w:color="auto" w:fill="auto"/>
            <w:vAlign w:val="center"/>
            <w:hideMark/>
          </w:tcPr>
          <w:p w14:paraId="27FED12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1,769,000.00</w:t>
            </w:r>
          </w:p>
        </w:tc>
      </w:tr>
      <w:tr w:rsidR="00C6733C" w14:paraId="165DC84E" w14:textId="77777777">
        <w:trPr>
          <w:trHeight w:val="540"/>
          <w:jc w:val="center"/>
        </w:trPr>
        <w:tc>
          <w:tcPr>
            <w:tcW w:w="5580" w:type="dxa"/>
            <w:tcBorders>
              <w:top w:val="nil"/>
              <w:left w:val="nil"/>
              <w:bottom w:val="nil"/>
              <w:right w:val="nil"/>
            </w:tcBorders>
            <w:shd w:val="clear" w:color="auto" w:fill="auto"/>
            <w:vAlign w:val="center"/>
            <w:hideMark/>
          </w:tcPr>
          <w:p w14:paraId="42FE2B6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COMUNICACIONES</w:t>
            </w:r>
          </w:p>
        </w:tc>
        <w:tc>
          <w:tcPr>
            <w:tcW w:w="2260" w:type="dxa"/>
            <w:tcBorders>
              <w:top w:val="nil"/>
              <w:left w:val="nil"/>
              <w:bottom w:val="nil"/>
              <w:right w:val="nil"/>
            </w:tcBorders>
            <w:shd w:val="clear" w:color="auto" w:fill="auto"/>
            <w:vAlign w:val="center"/>
            <w:hideMark/>
          </w:tcPr>
          <w:p w14:paraId="2BD49B7D"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53,453,451.76</w:t>
            </w:r>
          </w:p>
        </w:tc>
      </w:tr>
      <w:tr w:rsidR="00C6733C" w14:paraId="72E3D537" w14:textId="77777777">
        <w:trPr>
          <w:trHeight w:val="540"/>
          <w:jc w:val="center"/>
        </w:trPr>
        <w:tc>
          <w:tcPr>
            <w:tcW w:w="5580" w:type="dxa"/>
            <w:tcBorders>
              <w:top w:val="nil"/>
              <w:left w:val="nil"/>
              <w:bottom w:val="nil"/>
              <w:right w:val="nil"/>
            </w:tcBorders>
            <w:shd w:val="clear" w:color="auto" w:fill="auto"/>
            <w:vAlign w:val="center"/>
            <w:hideMark/>
          </w:tcPr>
          <w:p w14:paraId="26DA0D2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Comunicaciones</w:t>
            </w:r>
          </w:p>
        </w:tc>
        <w:tc>
          <w:tcPr>
            <w:tcW w:w="2260" w:type="dxa"/>
            <w:tcBorders>
              <w:top w:val="nil"/>
              <w:left w:val="nil"/>
              <w:bottom w:val="nil"/>
              <w:right w:val="nil"/>
            </w:tcBorders>
            <w:shd w:val="clear" w:color="auto" w:fill="auto"/>
            <w:vAlign w:val="center"/>
            <w:hideMark/>
          </w:tcPr>
          <w:p w14:paraId="1637B9E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53,453,451.76</w:t>
            </w:r>
          </w:p>
        </w:tc>
      </w:tr>
      <w:tr w:rsidR="00C6733C" w14:paraId="647C189F" w14:textId="77777777">
        <w:trPr>
          <w:trHeight w:val="540"/>
          <w:jc w:val="center"/>
        </w:trPr>
        <w:tc>
          <w:tcPr>
            <w:tcW w:w="5580" w:type="dxa"/>
            <w:tcBorders>
              <w:top w:val="nil"/>
              <w:left w:val="nil"/>
              <w:bottom w:val="nil"/>
              <w:right w:val="nil"/>
            </w:tcBorders>
            <w:shd w:val="clear" w:color="auto" w:fill="auto"/>
            <w:vAlign w:val="center"/>
            <w:hideMark/>
          </w:tcPr>
          <w:p w14:paraId="29779A50"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TURISMO</w:t>
            </w:r>
          </w:p>
        </w:tc>
        <w:tc>
          <w:tcPr>
            <w:tcW w:w="2260" w:type="dxa"/>
            <w:tcBorders>
              <w:top w:val="nil"/>
              <w:left w:val="nil"/>
              <w:bottom w:val="nil"/>
              <w:right w:val="nil"/>
            </w:tcBorders>
            <w:shd w:val="clear" w:color="auto" w:fill="auto"/>
            <w:noWrap/>
            <w:vAlign w:val="center"/>
            <w:hideMark/>
          </w:tcPr>
          <w:p w14:paraId="6C67C84D"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416,055,942.44</w:t>
            </w:r>
          </w:p>
        </w:tc>
      </w:tr>
      <w:tr w:rsidR="00C6733C" w14:paraId="42CA5D1E" w14:textId="77777777">
        <w:trPr>
          <w:trHeight w:val="540"/>
          <w:jc w:val="center"/>
        </w:trPr>
        <w:tc>
          <w:tcPr>
            <w:tcW w:w="5580" w:type="dxa"/>
            <w:tcBorders>
              <w:top w:val="nil"/>
              <w:left w:val="nil"/>
              <w:bottom w:val="nil"/>
              <w:right w:val="nil"/>
            </w:tcBorders>
            <w:shd w:val="clear" w:color="auto" w:fill="auto"/>
            <w:vAlign w:val="center"/>
            <w:hideMark/>
          </w:tcPr>
          <w:p w14:paraId="07C9864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Turismo</w:t>
            </w:r>
          </w:p>
        </w:tc>
        <w:tc>
          <w:tcPr>
            <w:tcW w:w="2260" w:type="dxa"/>
            <w:tcBorders>
              <w:top w:val="nil"/>
              <w:left w:val="nil"/>
              <w:bottom w:val="nil"/>
              <w:right w:val="nil"/>
            </w:tcBorders>
            <w:shd w:val="clear" w:color="auto" w:fill="auto"/>
            <w:vAlign w:val="center"/>
            <w:hideMark/>
          </w:tcPr>
          <w:p w14:paraId="5930DE3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416,055,942.44</w:t>
            </w:r>
          </w:p>
        </w:tc>
      </w:tr>
      <w:tr w:rsidR="00C6733C" w14:paraId="70420FC8" w14:textId="77777777">
        <w:trPr>
          <w:trHeight w:val="540"/>
          <w:jc w:val="center"/>
        </w:trPr>
        <w:tc>
          <w:tcPr>
            <w:tcW w:w="5580" w:type="dxa"/>
            <w:tcBorders>
              <w:top w:val="nil"/>
              <w:left w:val="nil"/>
              <w:bottom w:val="nil"/>
              <w:right w:val="nil"/>
            </w:tcBorders>
            <w:shd w:val="clear" w:color="auto" w:fill="auto"/>
            <w:vAlign w:val="center"/>
            <w:hideMark/>
          </w:tcPr>
          <w:p w14:paraId="6863200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CIENCIA, TECNOLOGÍA E INNOVACIÓN</w:t>
            </w:r>
          </w:p>
        </w:tc>
        <w:tc>
          <w:tcPr>
            <w:tcW w:w="2260" w:type="dxa"/>
            <w:tcBorders>
              <w:top w:val="nil"/>
              <w:left w:val="nil"/>
              <w:bottom w:val="nil"/>
              <w:right w:val="nil"/>
            </w:tcBorders>
            <w:shd w:val="clear" w:color="auto" w:fill="auto"/>
            <w:vAlign w:val="center"/>
            <w:hideMark/>
          </w:tcPr>
          <w:p w14:paraId="3DD0044F"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200,869,842.53</w:t>
            </w:r>
          </w:p>
        </w:tc>
      </w:tr>
      <w:tr w:rsidR="00C6733C" w14:paraId="3831DA00" w14:textId="77777777">
        <w:trPr>
          <w:trHeight w:val="540"/>
          <w:jc w:val="center"/>
        </w:trPr>
        <w:tc>
          <w:tcPr>
            <w:tcW w:w="5580" w:type="dxa"/>
            <w:tcBorders>
              <w:top w:val="nil"/>
              <w:left w:val="nil"/>
              <w:bottom w:val="nil"/>
              <w:right w:val="nil"/>
            </w:tcBorders>
            <w:shd w:val="clear" w:color="auto" w:fill="auto"/>
            <w:vAlign w:val="center"/>
            <w:hideMark/>
          </w:tcPr>
          <w:p w14:paraId="316457A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Científicos y Tecnológicos</w:t>
            </w:r>
          </w:p>
        </w:tc>
        <w:tc>
          <w:tcPr>
            <w:tcW w:w="2260" w:type="dxa"/>
            <w:tcBorders>
              <w:top w:val="nil"/>
              <w:left w:val="nil"/>
              <w:bottom w:val="nil"/>
              <w:right w:val="nil"/>
            </w:tcBorders>
            <w:shd w:val="clear" w:color="auto" w:fill="auto"/>
            <w:vAlign w:val="center"/>
            <w:hideMark/>
          </w:tcPr>
          <w:p w14:paraId="71828B9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200,869,842.53</w:t>
            </w:r>
          </w:p>
        </w:tc>
      </w:tr>
      <w:tr w:rsidR="00C6733C" w14:paraId="2CD7A675" w14:textId="77777777">
        <w:trPr>
          <w:trHeight w:val="540"/>
          <w:jc w:val="center"/>
        </w:trPr>
        <w:tc>
          <w:tcPr>
            <w:tcW w:w="5580" w:type="dxa"/>
            <w:tcBorders>
              <w:top w:val="nil"/>
              <w:left w:val="nil"/>
              <w:bottom w:val="nil"/>
              <w:right w:val="nil"/>
            </w:tcBorders>
            <w:shd w:val="clear" w:color="auto" w:fill="auto"/>
            <w:vAlign w:val="center"/>
            <w:hideMark/>
          </w:tcPr>
          <w:p w14:paraId="6B850A0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OTRAS NO CLASIFICADAS EN FUNCIONES ANTERIORES</w:t>
            </w:r>
          </w:p>
        </w:tc>
        <w:tc>
          <w:tcPr>
            <w:tcW w:w="2260" w:type="dxa"/>
            <w:tcBorders>
              <w:top w:val="nil"/>
              <w:left w:val="nil"/>
              <w:bottom w:val="nil"/>
              <w:right w:val="nil"/>
            </w:tcBorders>
            <w:shd w:val="clear" w:color="auto" w:fill="auto"/>
            <w:noWrap/>
            <w:vAlign w:val="center"/>
            <w:hideMark/>
          </w:tcPr>
          <w:p w14:paraId="69DF0BE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19,688,213,967.24</w:t>
            </w:r>
          </w:p>
        </w:tc>
      </w:tr>
      <w:tr w:rsidR="00C6733C" w14:paraId="7C5E29B2" w14:textId="77777777">
        <w:trPr>
          <w:trHeight w:val="540"/>
          <w:jc w:val="center"/>
        </w:trPr>
        <w:tc>
          <w:tcPr>
            <w:tcW w:w="5580" w:type="dxa"/>
            <w:tcBorders>
              <w:top w:val="nil"/>
              <w:left w:val="nil"/>
              <w:bottom w:val="nil"/>
              <w:right w:val="nil"/>
            </w:tcBorders>
            <w:shd w:val="clear" w:color="auto" w:fill="auto"/>
            <w:vAlign w:val="center"/>
            <w:hideMark/>
          </w:tcPr>
          <w:p w14:paraId="6819A9A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TRANSACCIONES DE LA DEUDA PÚBLICA/COSTO FINANCIERO DE LA DEUDA</w:t>
            </w:r>
          </w:p>
        </w:tc>
        <w:tc>
          <w:tcPr>
            <w:tcW w:w="2260" w:type="dxa"/>
            <w:tcBorders>
              <w:top w:val="nil"/>
              <w:left w:val="nil"/>
              <w:bottom w:val="nil"/>
              <w:right w:val="nil"/>
            </w:tcBorders>
            <w:shd w:val="clear" w:color="auto" w:fill="auto"/>
            <w:noWrap/>
            <w:vAlign w:val="center"/>
            <w:hideMark/>
          </w:tcPr>
          <w:p w14:paraId="3B8F1D27"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3,878,465,578.97</w:t>
            </w:r>
          </w:p>
        </w:tc>
      </w:tr>
      <w:tr w:rsidR="00C6733C" w14:paraId="22EA73AC" w14:textId="77777777">
        <w:trPr>
          <w:trHeight w:val="540"/>
          <w:jc w:val="center"/>
        </w:trPr>
        <w:tc>
          <w:tcPr>
            <w:tcW w:w="5580" w:type="dxa"/>
            <w:tcBorders>
              <w:top w:val="nil"/>
              <w:left w:val="nil"/>
              <w:bottom w:val="nil"/>
              <w:right w:val="nil"/>
            </w:tcBorders>
            <w:shd w:val="clear" w:color="auto" w:fill="auto"/>
            <w:vAlign w:val="center"/>
            <w:hideMark/>
          </w:tcPr>
          <w:p w14:paraId="43728B4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Deuda Pública Interna</w:t>
            </w:r>
          </w:p>
        </w:tc>
        <w:tc>
          <w:tcPr>
            <w:tcW w:w="2260" w:type="dxa"/>
            <w:tcBorders>
              <w:top w:val="nil"/>
              <w:left w:val="nil"/>
              <w:bottom w:val="nil"/>
              <w:right w:val="nil"/>
            </w:tcBorders>
            <w:shd w:val="clear" w:color="auto" w:fill="auto"/>
            <w:vAlign w:val="center"/>
            <w:hideMark/>
          </w:tcPr>
          <w:p w14:paraId="1C55CEC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3,878,465,578.97</w:t>
            </w:r>
          </w:p>
        </w:tc>
      </w:tr>
      <w:tr w:rsidR="00C6733C" w14:paraId="17E9DF22" w14:textId="77777777">
        <w:trPr>
          <w:trHeight w:val="540"/>
          <w:jc w:val="center"/>
        </w:trPr>
        <w:tc>
          <w:tcPr>
            <w:tcW w:w="5580" w:type="dxa"/>
            <w:tcBorders>
              <w:top w:val="nil"/>
              <w:left w:val="nil"/>
              <w:bottom w:val="nil"/>
              <w:right w:val="nil"/>
            </w:tcBorders>
            <w:shd w:val="clear" w:color="auto" w:fill="auto"/>
            <w:vAlign w:val="center"/>
            <w:hideMark/>
          </w:tcPr>
          <w:p w14:paraId="17645CF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PARTICIPACIONES Y APORTACIONES ENTRE DIFERENTES NIVELES Y ÓRDENES DE GOBIERNO</w:t>
            </w:r>
          </w:p>
        </w:tc>
        <w:tc>
          <w:tcPr>
            <w:tcW w:w="2260" w:type="dxa"/>
            <w:tcBorders>
              <w:top w:val="nil"/>
              <w:left w:val="nil"/>
              <w:bottom w:val="nil"/>
              <w:right w:val="nil"/>
            </w:tcBorders>
            <w:shd w:val="clear" w:color="auto" w:fill="auto"/>
            <w:noWrap/>
            <w:vAlign w:val="center"/>
            <w:hideMark/>
          </w:tcPr>
          <w:p w14:paraId="004FFEAD"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15,809,748,388.27</w:t>
            </w:r>
          </w:p>
        </w:tc>
      </w:tr>
      <w:tr w:rsidR="00C6733C" w14:paraId="09A1AEF7" w14:textId="77777777">
        <w:trPr>
          <w:trHeight w:val="540"/>
          <w:jc w:val="center"/>
        </w:trPr>
        <w:tc>
          <w:tcPr>
            <w:tcW w:w="5580" w:type="dxa"/>
            <w:tcBorders>
              <w:top w:val="nil"/>
              <w:left w:val="nil"/>
              <w:bottom w:val="nil"/>
              <w:right w:val="nil"/>
            </w:tcBorders>
            <w:shd w:val="clear" w:color="auto" w:fill="auto"/>
            <w:vAlign w:val="center"/>
            <w:hideMark/>
          </w:tcPr>
          <w:p w14:paraId="0221DC3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entre Diferentes Niveles y Órdenes de Gobierno</w:t>
            </w:r>
          </w:p>
        </w:tc>
        <w:tc>
          <w:tcPr>
            <w:tcW w:w="2260" w:type="dxa"/>
            <w:tcBorders>
              <w:top w:val="nil"/>
              <w:left w:val="nil"/>
              <w:bottom w:val="nil"/>
              <w:right w:val="nil"/>
            </w:tcBorders>
            <w:shd w:val="clear" w:color="auto" w:fill="auto"/>
            <w:vAlign w:val="center"/>
            <w:hideMark/>
          </w:tcPr>
          <w:p w14:paraId="680B03E7"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13,019,185,644.27</w:t>
            </w:r>
          </w:p>
        </w:tc>
      </w:tr>
      <w:tr w:rsidR="00C6733C" w14:paraId="4320CF6F" w14:textId="77777777">
        <w:trPr>
          <w:trHeight w:val="540"/>
          <w:jc w:val="center"/>
        </w:trPr>
        <w:tc>
          <w:tcPr>
            <w:tcW w:w="5580" w:type="dxa"/>
            <w:tcBorders>
              <w:top w:val="nil"/>
              <w:left w:val="nil"/>
              <w:bottom w:val="nil"/>
              <w:right w:val="nil"/>
            </w:tcBorders>
            <w:shd w:val="clear" w:color="auto" w:fill="auto"/>
            <w:vAlign w:val="center"/>
            <w:hideMark/>
          </w:tcPr>
          <w:p w14:paraId="1AC1E19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Aportaciones entre Diferentes Niveles y Órdenes de Gobierno</w:t>
            </w:r>
          </w:p>
        </w:tc>
        <w:tc>
          <w:tcPr>
            <w:tcW w:w="2260" w:type="dxa"/>
            <w:tcBorders>
              <w:top w:val="nil"/>
              <w:left w:val="nil"/>
              <w:bottom w:val="nil"/>
              <w:right w:val="nil"/>
            </w:tcBorders>
            <w:shd w:val="clear" w:color="auto" w:fill="auto"/>
            <w:vAlign w:val="center"/>
            <w:hideMark/>
          </w:tcPr>
          <w:p w14:paraId="1AF84FF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2,790,562,744.00</w:t>
            </w:r>
          </w:p>
        </w:tc>
      </w:tr>
      <w:tr w:rsidR="00C6733C" w14:paraId="6632F892" w14:textId="77777777">
        <w:trPr>
          <w:trHeight w:val="540"/>
          <w:jc w:val="center"/>
        </w:trPr>
        <w:tc>
          <w:tcPr>
            <w:tcW w:w="5580" w:type="dxa"/>
            <w:tcBorders>
              <w:top w:val="nil"/>
              <w:left w:val="nil"/>
              <w:bottom w:val="nil"/>
              <w:right w:val="nil"/>
            </w:tcBorders>
            <w:shd w:val="clear" w:color="auto" w:fill="auto"/>
            <w:vAlign w:val="center"/>
            <w:hideMark/>
          </w:tcPr>
          <w:p w14:paraId="5CC2B634"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260" w:type="dxa"/>
            <w:tcBorders>
              <w:top w:val="nil"/>
              <w:left w:val="nil"/>
              <w:bottom w:val="nil"/>
              <w:right w:val="nil"/>
            </w:tcBorders>
            <w:shd w:val="clear" w:color="auto" w:fill="auto"/>
            <w:vAlign w:val="center"/>
            <w:hideMark/>
          </w:tcPr>
          <w:p w14:paraId="34D4E3C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14:paraId="4C76EA7B" w14:textId="77777777" w:rsidR="00C6733C" w:rsidRDefault="00C6733C">
      <w:pPr>
        <w:pStyle w:val="Textoindependiente"/>
        <w:rPr>
          <w:sz w:val="22"/>
          <w:szCs w:val="22"/>
        </w:rPr>
      </w:pPr>
    </w:p>
    <w:p w14:paraId="090E4AAD" w14:textId="77777777" w:rsidR="00C6733C" w:rsidRDefault="006D0638">
      <w:pPr>
        <w:pStyle w:val="Textoindependiente"/>
        <w:ind w:right="-29"/>
        <w:jc w:val="both"/>
        <w:rPr>
          <w:sz w:val="22"/>
          <w:szCs w:val="22"/>
        </w:rPr>
      </w:pPr>
      <w:r>
        <w:rPr>
          <w:b/>
          <w:sz w:val="22"/>
          <w:szCs w:val="22"/>
        </w:rPr>
        <w:t>Artículo 50</w:t>
      </w:r>
      <w:r>
        <w:rPr>
          <w:sz w:val="22"/>
          <w:szCs w:val="22"/>
        </w:rPr>
        <w:t xml:space="preserve">. Las asignaciones </w:t>
      </w:r>
      <w:r>
        <w:rPr>
          <w:sz w:val="22"/>
          <w:szCs w:val="22"/>
        </w:rPr>
        <w:t>presupuestarias a las Políticas Transversales contenidas en el Plan Estatal de Desarrollo de Oaxaca vigente, se detallan en el Anexo 5 mismas que son:</w:t>
      </w:r>
    </w:p>
    <w:p w14:paraId="04538819" w14:textId="77777777" w:rsidR="00C6733C" w:rsidRDefault="006D0638">
      <w:pPr>
        <w:pStyle w:val="Textoindependiente"/>
        <w:tabs>
          <w:tab w:val="left" w:pos="1064"/>
        </w:tabs>
        <w:ind w:right="-29"/>
        <w:jc w:val="both"/>
        <w:rPr>
          <w:sz w:val="22"/>
          <w:szCs w:val="22"/>
        </w:rPr>
      </w:pPr>
      <w:r>
        <w:rPr>
          <w:sz w:val="22"/>
          <w:szCs w:val="22"/>
        </w:rPr>
        <w:tab/>
      </w:r>
    </w:p>
    <w:p w14:paraId="1398D1DE" w14:textId="77777777" w:rsidR="00C6733C" w:rsidRDefault="00C6733C">
      <w:pPr>
        <w:pStyle w:val="Textoindependiente"/>
        <w:tabs>
          <w:tab w:val="left" w:pos="1064"/>
        </w:tabs>
        <w:ind w:right="-29"/>
        <w:jc w:val="both"/>
        <w:rPr>
          <w:sz w:val="22"/>
          <w:szCs w:val="22"/>
        </w:rPr>
      </w:pPr>
    </w:p>
    <w:p w14:paraId="68B8009F" w14:textId="77777777" w:rsidR="00C6733C" w:rsidRDefault="00C6733C">
      <w:pPr>
        <w:pStyle w:val="Textoindependiente"/>
        <w:tabs>
          <w:tab w:val="left" w:pos="1064"/>
        </w:tabs>
        <w:ind w:right="-29"/>
        <w:jc w:val="both"/>
        <w:rPr>
          <w:sz w:val="22"/>
          <w:szCs w:val="22"/>
        </w:rPr>
      </w:pPr>
    </w:p>
    <w:tbl>
      <w:tblPr>
        <w:tblW w:w="5960" w:type="dxa"/>
        <w:jc w:val="center"/>
        <w:tblCellMar>
          <w:left w:w="70" w:type="dxa"/>
          <w:right w:w="70" w:type="dxa"/>
        </w:tblCellMar>
        <w:tblLook w:val="04A0" w:firstRow="1" w:lastRow="0" w:firstColumn="1" w:lastColumn="0" w:noHBand="0" w:noVBand="1"/>
      </w:tblPr>
      <w:tblGrid>
        <w:gridCol w:w="3984"/>
        <w:gridCol w:w="1976"/>
      </w:tblGrid>
      <w:tr w:rsidR="00C6733C" w14:paraId="208CAFA5" w14:textId="77777777">
        <w:trPr>
          <w:trHeight w:val="300"/>
          <w:jc w:val="center"/>
        </w:trPr>
        <w:tc>
          <w:tcPr>
            <w:tcW w:w="4020" w:type="dxa"/>
            <w:tcBorders>
              <w:top w:val="nil"/>
              <w:left w:val="nil"/>
              <w:bottom w:val="nil"/>
              <w:right w:val="nil"/>
            </w:tcBorders>
            <w:shd w:val="clear" w:color="auto" w:fill="auto"/>
            <w:hideMark/>
          </w:tcPr>
          <w:p w14:paraId="75FCBED5" w14:textId="77777777" w:rsidR="00C6733C" w:rsidRDefault="00C6733C">
            <w:pPr>
              <w:widowControl/>
              <w:autoSpaceDE/>
              <w:autoSpaceDN/>
              <w:rPr>
                <w:rFonts w:ascii="Arial" w:eastAsia="Times New Roman" w:hAnsi="Arial" w:cs="Arial"/>
                <w:sz w:val="24"/>
                <w:szCs w:val="24"/>
                <w:lang w:bidi="ar-SA"/>
              </w:rPr>
            </w:pPr>
          </w:p>
        </w:tc>
        <w:tc>
          <w:tcPr>
            <w:tcW w:w="1940" w:type="dxa"/>
            <w:tcBorders>
              <w:top w:val="nil"/>
              <w:left w:val="nil"/>
              <w:bottom w:val="nil"/>
              <w:right w:val="nil"/>
            </w:tcBorders>
            <w:shd w:val="clear" w:color="auto" w:fill="auto"/>
            <w:noWrap/>
            <w:vAlign w:val="center"/>
            <w:hideMark/>
          </w:tcPr>
          <w:p w14:paraId="7C31E0DE"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3A984AF3" w14:textId="77777777">
        <w:trPr>
          <w:trHeight w:val="443"/>
          <w:jc w:val="center"/>
        </w:trPr>
        <w:tc>
          <w:tcPr>
            <w:tcW w:w="4020" w:type="dxa"/>
            <w:tcBorders>
              <w:top w:val="nil"/>
              <w:left w:val="nil"/>
              <w:bottom w:val="nil"/>
              <w:right w:val="nil"/>
            </w:tcBorders>
            <w:shd w:val="clear" w:color="auto" w:fill="auto"/>
            <w:vAlign w:val="center"/>
            <w:hideMark/>
          </w:tcPr>
          <w:p w14:paraId="503AFE5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Política Transversal Pueblos Indígenas </w:t>
            </w:r>
          </w:p>
        </w:tc>
        <w:tc>
          <w:tcPr>
            <w:tcW w:w="1940" w:type="dxa"/>
            <w:tcBorders>
              <w:top w:val="nil"/>
              <w:left w:val="nil"/>
              <w:bottom w:val="nil"/>
              <w:right w:val="nil"/>
            </w:tcBorders>
            <w:shd w:val="clear" w:color="auto" w:fill="auto"/>
            <w:noWrap/>
            <w:vAlign w:val="center"/>
            <w:hideMark/>
          </w:tcPr>
          <w:p w14:paraId="023B5E2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7,574,131,055.09</w:t>
            </w:r>
          </w:p>
        </w:tc>
      </w:tr>
      <w:tr w:rsidR="00C6733C" w14:paraId="04471322" w14:textId="77777777">
        <w:trPr>
          <w:trHeight w:val="577"/>
          <w:jc w:val="center"/>
        </w:trPr>
        <w:tc>
          <w:tcPr>
            <w:tcW w:w="4020" w:type="dxa"/>
            <w:tcBorders>
              <w:top w:val="nil"/>
              <w:left w:val="nil"/>
              <w:bottom w:val="nil"/>
              <w:right w:val="nil"/>
            </w:tcBorders>
            <w:shd w:val="clear" w:color="auto" w:fill="auto"/>
            <w:vAlign w:val="center"/>
            <w:hideMark/>
          </w:tcPr>
          <w:p w14:paraId="7F80100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Política Transversal de Protección de los Derechos de Niñas, Niños y Adolescentes </w:t>
            </w:r>
          </w:p>
        </w:tc>
        <w:tc>
          <w:tcPr>
            <w:tcW w:w="1940" w:type="dxa"/>
            <w:tcBorders>
              <w:top w:val="nil"/>
              <w:left w:val="nil"/>
              <w:bottom w:val="nil"/>
              <w:right w:val="nil"/>
            </w:tcBorders>
            <w:shd w:val="clear" w:color="auto" w:fill="auto"/>
            <w:noWrap/>
            <w:vAlign w:val="center"/>
            <w:hideMark/>
          </w:tcPr>
          <w:p w14:paraId="6EF33BB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29,129,002,160.62</w:t>
            </w:r>
          </w:p>
        </w:tc>
      </w:tr>
      <w:tr w:rsidR="00C6733C" w14:paraId="034B7DF6" w14:textId="77777777">
        <w:trPr>
          <w:trHeight w:val="510"/>
          <w:jc w:val="center"/>
        </w:trPr>
        <w:tc>
          <w:tcPr>
            <w:tcW w:w="4020" w:type="dxa"/>
            <w:tcBorders>
              <w:top w:val="nil"/>
              <w:left w:val="nil"/>
              <w:bottom w:val="nil"/>
              <w:right w:val="nil"/>
            </w:tcBorders>
            <w:shd w:val="clear" w:color="auto" w:fill="auto"/>
            <w:vAlign w:val="center"/>
            <w:hideMark/>
          </w:tcPr>
          <w:p w14:paraId="35B5BA9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Política Transversal de Igualdad de Género </w:t>
            </w:r>
          </w:p>
        </w:tc>
        <w:tc>
          <w:tcPr>
            <w:tcW w:w="1940" w:type="dxa"/>
            <w:tcBorders>
              <w:top w:val="nil"/>
              <w:left w:val="nil"/>
              <w:bottom w:val="nil"/>
              <w:right w:val="nil"/>
            </w:tcBorders>
            <w:shd w:val="clear" w:color="auto" w:fill="auto"/>
            <w:noWrap/>
            <w:vAlign w:val="center"/>
            <w:hideMark/>
          </w:tcPr>
          <w:p w14:paraId="17C5333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8,899,178,306.22</w:t>
            </w:r>
          </w:p>
        </w:tc>
      </w:tr>
    </w:tbl>
    <w:p w14:paraId="022BEED5" w14:textId="77777777" w:rsidR="00C6733C" w:rsidRDefault="00C6733C">
      <w:pPr>
        <w:pStyle w:val="Textoindependiente"/>
        <w:ind w:right="-29"/>
        <w:jc w:val="both"/>
        <w:rPr>
          <w:sz w:val="22"/>
          <w:szCs w:val="22"/>
        </w:rPr>
      </w:pPr>
    </w:p>
    <w:p w14:paraId="6A761827" w14:textId="77777777" w:rsidR="00C6733C" w:rsidRDefault="006D0638">
      <w:pPr>
        <w:pStyle w:val="Textoindependiente"/>
        <w:tabs>
          <w:tab w:val="left" w:pos="6634"/>
        </w:tabs>
        <w:ind w:right="-29"/>
        <w:jc w:val="both"/>
        <w:rPr>
          <w:sz w:val="22"/>
          <w:szCs w:val="22"/>
        </w:rPr>
      </w:pPr>
      <w:r>
        <w:rPr>
          <w:b/>
          <w:sz w:val="22"/>
          <w:szCs w:val="22"/>
        </w:rPr>
        <w:t xml:space="preserve">Artículo 51. </w:t>
      </w:r>
      <w:r>
        <w:rPr>
          <w:sz w:val="22"/>
          <w:szCs w:val="22"/>
        </w:rPr>
        <w:t xml:space="preserve">Las asignaciones de la Clasificación de Programas </w:t>
      </w:r>
      <w:r>
        <w:rPr>
          <w:sz w:val="22"/>
          <w:szCs w:val="22"/>
        </w:rPr>
        <w:t>Presupuestarios, de acuerdo con las disposiciones emitidas por el Consejo Nacional de Armonización Contable, se distribuyen conforme a lo siguiente:</w:t>
      </w:r>
    </w:p>
    <w:tbl>
      <w:tblPr>
        <w:tblW w:w="7180" w:type="dxa"/>
        <w:jc w:val="center"/>
        <w:tblCellMar>
          <w:left w:w="70" w:type="dxa"/>
          <w:right w:w="70" w:type="dxa"/>
        </w:tblCellMar>
        <w:tblLook w:val="04A0" w:firstRow="1" w:lastRow="0" w:firstColumn="1" w:lastColumn="0" w:noHBand="0" w:noVBand="1"/>
      </w:tblPr>
      <w:tblGrid>
        <w:gridCol w:w="5160"/>
        <w:gridCol w:w="2020"/>
      </w:tblGrid>
      <w:tr w:rsidR="00C6733C" w14:paraId="67F190A3" w14:textId="77777777">
        <w:trPr>
          <w:trHeight w:val="540"/>
          <w:jc w:val="center"/>
        </w:trPr>
        <w:tc>
          <w:tcPr>
            <w:tcW w:w="5160" w:type="dxa"/>
            <w:tcBorders>
              <w:top w:val="nil"/>
              <w:left w:val="nil"/>
              <w:bottom w:val="nil"/>
              <w:right w:val="nil"/>
            </w:tcBorders>
            <w:shd w:val="clear" w:color="auto" w:fill="auto"/>
            <w:vAlign w:val="center"/>
            <w:hideMark/>
          </w:tcPr>
          <w:p w14:paraId="4F89788A" w14:textId="77777777" w:rsidR="00C6733C" w:rsidRDefault="00C6733C">
            <w:pPr>
              <w:widowControl/>
              <w:autoSpaceDE/>
              <w:autoSpaceDN/>
              <w:rPr>
                <w:rFonts w:ascii="Arial" w:eastAsia="Times New Roman" w:hAnsi="Arial" w:cs="Arial"/>
                <w:lang w:bidi="ar-SA"/>
              </w:rPr>
            </w:pPr>
          </w:p>
        </w:tc>
        <w:tc>
          <w:tcPr>
            <w:tcW w:w="2020" w:type="dxa"/>
            <w:tcBorders>
              <w:top w:val="nil"/>
              <w:left w:val="nil"/>
              <w:bottom w:val="nil"/>
              <w:right w:val="nil"/>
            </w:tcBorders>
            <w:shd w:val="clear" w:color="auto" w:fill="auto"/>
            <w:vAlign w:val="center"/>
            <w:hideMark/>
          </w:tcPr>
          <w:p w14:paraId="67E2194D"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7082B824" w14:textId="77777777">
        <w:trPr>
          <w:trHeight w:val="540"/>
          <w:jc w:val="center"/>
        </w:trPr>
        <w:tc>
          <w:tcPr>
            <w:tcW w:w="5160" w:type="dxa"/>
            <w:tcBorders>
              <w:top w:val="nil"/>
              <w:left w:val="nil"/>
              <w:bottom w:val="nil"/>
              <w:right w:val="nil"/>
            </w:tcBorders>
            <w:shd w:val="clear" w:color="auto" w:fill="auto"/>
            <w:vAlign w:val="center"/>
            <w:hideMark/>
          </w:tcPr>
          <w:p w14:paraId="3946AC1C"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GASTO PROGRAMABLE</w:t>
            </w:r>
          </w:p>
        </w:tc>
        <w:tc>
          <w:tcPr>
            <w:tcW w:w="2020" w:type="dxa"/>
            <w:tcBorders>
              <w:top w:val="nil"/>
              <w:left w:val="nil"/>
              <w:bottom w:val="nil"/>
              <w:right w:val="nil"/>
            </w:tcBorders>
            <w:shd w:val="clear" w:color="auto" w:fill="auto"/>
            <w:vAlign w:val="center"/>
            <w:hideMark/>
          </w:tcPr>
          <w:p w14:paraId="6745816A" w14:textId="77777777" w:rsidR="00C6733C" w:rsidRDefault="00C6733C">
            <w:pPr>
              <w:widowControl/>
              <w:autoSpaceDE/>
              <w:autoSpaceDN/>
              <w:rPr>
                <w:rFonts w:ascii="Arial" w:eastAsia="Times New Roman" w:hAnsi="Arial" w:cs="Arial"/>
                <w:b/>
                <w:bCs/>
                <w:color w:val="000000"/>
                <w:lang w:bidi="ar-SA"/>
              </w:rPr>
            </w:pPr>
          </w:p>
        </w:tc>
      </w:tr>
      <w:tr w:rsidR="00C6733C" w14:paraId="6C6A658B" w14:textId="77777777">
        <w:trPr>
          <w:trHeight w:val="540"/>
          <w:jc w:val="center"/>
        </w:trPr>
        <w:tc>
          <w:tcPr>
            <w:tcW w:w="5160" w:type="dxa"/>
            <w:tcBorders>
              <w:top w:val="nil"/>
              <w:left w:val="nil"/>
              <w:bottom w:val="nil"/>
              <w:right w:val="nil"/>
            </w:tcBorders>
            <w:shd w:val="clear" w:color="auto" w:fill="auto"/>
            <w:vAlign w:val="center"/>
            <w:hideMark/>
          </w:tcPr>
          <w:p w14:paraId="61DF27D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Programas</w:t>
            </w:r>
          </w:p>
        </w:tc>
        <w:tc>
          <w:tcPr>
            <w:tcW w:w="2020" w:type="dxa"/>
            <w:tcBorders>
              <w:top w:val="nil"/>
              <w:left w:val="nil"/>
              <w:bottom w:val="nil"/>
              <w:right w:val="nil"/>
            </w:tcBorders>
            <w:shd w:val="clear" w:color="auto" w:fill="auto"/>
            <w:noWrap/>
            <w:vAlign w:val="center"/>
            <w:hideMark/>
          </w:tcPr>
          <w:p w14:paraId="4908A9E4"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66,617,485,202.72</w:t>
            </w:r>
          </w:p>
        </w:tc>
      </w:tr>
      <w:tr w:rsidR="00C6733C" w14:paraId="7D5D88A8" w14:textId="77777777">
        <w:trPr>
          <w:trHeight w:val="540"/>
          <w:jc w:val="center"/>
        </w:trPr>
        <w:tc>
          <w:tcPr>
            <w:tcW w:w="5160" w:type="dxa"/>
            <w:tcBorders>
              <w:top w:val="nil"/>
              <w:left w:val="nil"/>
              <w:bottom w:val="nil"/>
              <w:right w:val="nil"/>
            </w:tcBorders>
            <w:shd w:val="clear" w:color="auto" w:fill="auto"/>
            <w:vAlign w:val="center"/>
            <w:hideMark/>
          </w:tcPr>
          <w:p w14:paraId="48C67DE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Subsidios: Sector Social y Privado o </w:t>
            </w:r>
            <w:r>
              <w:rPr>
                <w:rFonts w:ascii="Arial" w:eastAsia="Times New Roman" w:hAnsi="Arial" w:cs="Arial"/>
                <w:b/>
                <w:bCs/>
                <w:color w:val="000000"/>
                <w:lang w:bidi="ar-SA"/>
              </w:rPr>
              <w:t>Entidades Federativas y Municipios</w:t>
            </w:r>
          </w:p>
        </w:tc>
        <w:tc>
          <w:tcPr>
            <w:tcW w:w="2020" w:type="dxa"/>
            <w:tcBorders>
              <w:top w:val="nil"/>
              <w:left w:val="nil"/>
              <w:bottom w:val="nil"/>
              <w:right w:val="nil"/>
            </w:tcBorders>
            <w:shd w:val="clear" w:color="auto" w:fill="auto"/>
            <w:noWrap/>
            <w:vAlign w:val="center"/>
            <w:hideMark/>
          </w:tcPr>
          <w:p w14:paraId="01D9033A"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1,023,877,394.83</w:t>
            </w:r>
          </w:p>
        </w:tc>
      </w:tr>
      <w:tr w:rsidR="00C6733C" w14:paraId="7A87511D" w14:textId="77777777">
        <w:trPr>
          <w:trHeight w:val="540"/>
          <w:jc w:val="center"/>
        </w:trPr>
        <w:tc>
          <w:tcPr>
            <w:tcW w:w="5160" w:type="dxa"/>
            <w:tcBorders>
              <w:top w:val="nil"/>
              <w:left w:val="nil"/>
              <w:bottom w:val="nil"/>
              <w:right w:val="nil"/>
            </w:tcBorders>
            <w:shd w:val="clear" w:color="auto" w:fill="auto"/>
            <w:vAlign w:val="center"/>
            <w:hideMark/>
          </w:tcPr>
          <w:p w14:paraId="085084E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Sujetos a Reglas de Operación</w:t>
            </w:r>
          </w:p>
        </w:tc>
        <w:tc>
          <w:tcPr>
            <w:tcW w:w="2020" w:type="dxa"/>
            <w:tcBorders>
              <w:top w:val="nil"/>
              <w:left w:val="nil"/>
              <w:bottom w:val="nil"/>
              <w:right w:val="nil"/>
            </w:tcBorders>
            <w:shd w:val="clear" w:color="auto" w:fill="auto"/>
            <w:noWrap/>
            <w:vAlign w:val="center"/>
            <w:hideMark/>
          </w:tcPr>
          <w:p w14:paraId="140763AB"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992,537,638.65</w:t>
            </w:r>
          </w:p>
        </w:tc>
      </w:tr>
      <w:tr w:rsidR="00C6733C" w14:paraId="34265A1A" w14:textId="77777777">
        <w:trPr>
          <w:trHeight w:val="540"/>
          <w:jc w:val="center"/>
        </w:trPr>
        <w:tc>
          <w:tcPr>
            <w:tcW w:w="5160" w:type="dxa"/>
            <w:tcBorders>
              <w:top w:val="nil"/>
              <w:left w:val="nil"/>
              <w:bottom w:val="nil"/>
              <w:right w:val="nil"/>
            </w:tcBorders>
            <w:shd w:val="clear" w:color="auto" w:fill="auto"/>
            <w:vAlign w:val="center"/>
            <w:hideMark/>
          </w:tcPr>
          <w:p w14:paraId="343FB60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Subsidios</w:t>
            </w:r>
          </w:p>
        </w:tc>
        <w:tc>
          <w:tcPr>
            <w:tcW w:w="2020" w:type="dxa"/>
            <w:tcBorders>
              <w:top w:val="nil"/>
              <w:left w:val="nil"/>
              <w:bottom w:val="nil"/>
              <w:right w:val="nil"/>
            </w:tcBorders>
            <w:shd w:val="clear" w:color="auto" w:fill="auto"/>
            <w:noWrap/>
            <w:vAlign w:val="center"/>
            <w:hideMark/>
          </w:tcPr>
          <w:p w14:paraId="0B361092"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31,339,756.18</w:t>
            </w:r>
          </w:p>
        </w:tc>
      </w:tr>
      <w:tr w:rsidR="00C6733C" w14:paraId="17D0C5FF" w14:textId="77777777">
        <w:trPr>
          <w:trHeight w:val="540"/>
          <w:jc w:val="center"/>
        </w:trPr>
        <w:tc>
          <w:tcPr>
            <w:tcW w:w="5160" w:type="dxa"/>
            <w:tcBorders>
              <w:top w:val="nil"/>
              <w:left w:val="nil"/>
              <w:bottom w:val="nil"/>
              <w:right w:val="nil"/>
            </w:tcBorders>
            <w:shd w:val="clear" w:color="auto" w:fill="auto"/>
            <w:vAlign w:val="center"/>
            <w:hideMark/>
          </w:tcPr>
          <w:p w14:paraId="3E5B5F9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Desempeño de Las Funciones</w:t>
            </w:r>
          </w:p>
        </w:tc>
        <w:tc>
          <w:tcPr>
            <w:tcW w:w="2020" w:type="dxa"/>
            <w:tcBorders>
              <w:top w:val="nil"/>
              <w:left w:val="nil"/>
              <w:bottom w:val="nil"/>
              <w:right w:val="nil"/>
            </w:tcBorders>
            <w:shd w:val="clear" w:color="auto" w:fill="auto"/>
            <w:noWrap/>
            <w:vAlign w:val="center"/>
            <w:hideMark/>
          </w:tcPr>
          <w:p w14:paraId="526F6DB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50,720,476,432.24</w:t>
            </w:r>
          </w:p>
        </w:tc>
      </w:tr>
      <w:tr w:rsidR="00C6733C" w14:paraId="098DC3AC" w14:textId="77777777">
        <w:trPr>
          <w:trHeight w:val="540"/>
          <w:jc w:val="center"/>
        </w:trPr>
        <w:tc>
          <w:tcPr>
            <w:tcW w:w="5160" w:type="dxa"/>
            <w:tcBorders>
              <w:top w:val="nil"/>
              <w:left w:val="nil"/>
              <w:bottom w:val="nil"/>
              <w:right w:val="nil"/>
            </w:tcBorders>
            <w:shd w:val="clear" w:color="auto" w:fill="auto"/>
            <w:vAlign w:val="center"/>
            <w:hideMark/>
          </w:tcPr>
          <w:p w14:paraId="3F488A2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Prestación de Servicios Públicos</w:t>
            </w:r>
          </w:p>
        </w:tc>
        <w:tc>
          <w:tcPr>
            <w:tcW w:w="2020" w:type="dxa"/>
            <w:tcBorders>
              <w:top w:val="nil"/>
              <w:left w:val="nil"/>
              <w:bottom w:val="nil"/>
              <w:right w:val="nil"/>
            </w:tcBorders>
            <w:shd w:val="clear" w:color="auto" w:fill="auto"/>
            <w:vAlign w:val="center"/>
            <w:hideMark/>
          </w:tcPr>
          <w:p w14:paraId="5CE99F36"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48,552,162,358.38</w:t>
            </w:r>
          </w:p>
        </w:tc>
      </w:tr>
      <w:tr w:rsidR="00C6733C" w14:paraId="10DFC30D" w14:textId="77777777">
        <w:trPr>
          <w:trHeight w:val="540"/>
          <w:jc w:val="center"/>
        </w:trPr>
        <w:tc>
          <w:tcPr>
            <w:tcW w:w="5160" w:type="dxa"/>
            <w:tcBorders>
              <w:top w:val="nil"/>
              <w:left w:val="nil"/>
              <w:bottom w:val="nil"/>
              <w:right w:val="nil"/>
            </w:tcBorders>
            <w:shd w:val="clear" w:color="auto" w:fill="auto"/>
            <w:vAlign w:val="center"/>
            <w:hideMark/>
          </w:tcPr>
          <w:p w14:paraId="1E9843E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Promoción y Fomento</w:t>
            </w:r>
          </w:p>
        </w:tc>
        <w:tc>
          <w:tcPr>
            <w:tcW w:w="2020" w:type="dxa"/>
            <w:tcBorders>
              <w:top w:val="nil"/>
              <w:left w:val="nil"/>
              <w:bottom w:val="nil"/>
              <w:right w:val="nil"/>
            </w:tcBorders>
            <w:shd w:val="clear" w:color="auto" w:fill="auto"/>
            <w:vAlign w:val="center"/>
            <w:hideMark/>
          </w:tcPr>
          <w:p w14:paraId="5272958A"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768,773,558.28</w:t>
            </w:r>
          </w:p>
        </w:tc>
      </w:tr>
      <w:tr w:rsidR="00C6733C" w14:paraId="5386171A" w14:textId="77777777">
        <w:trPr>
          <w:trHeight w:val="540"/>
          <w:jc w:val="center"/>
        </w:trPr>
        <w:tc>
          <w:tcPr>
            <w:tcW w:w="5160" w:type="dxa"/>
            <w:tcBorders>
              <w:top w:val="nil"/>
              <w:left w:val="nil"/>
              <w:bottom w:val="nil"/>
              <w:right w:val="nil"/>
            </w:tcBorders>
            <w:shd w:val="clear" w:color="auto" w:fill="auto"/>
            <w:vAlign w:val="center"/>
            <w:hideMark/>
          </w:tcPr>
          <w:p w14:paraId="734A7D1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Regulación y Supervisión</w:t>
            </w:r>
          </w:p>
        </w:tc>
        <w:tc>
          <w:tcPr>
            <w:tcW w:w="2020" w:type="dxa"/>
            <w:tcBorders>
              <w:top w:val="nil"/>
              <w:left w:val="nil"/>
              <w:bottom w:val="nil"/>
              <w:right w:val="nil"/>
            </w:tcBorders>
            <w:shd w:val="clear" w:color="auto" w:fill="auto"/>
            <w:vAlign w:val="center"/>
            <w:hideMark/>
          </w:tcPr>
          <w:p w14:paraId="0BAEFF5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245,114,044.83</w:t>
            </w:r>
          </w:p>
        </w:tc>
      </w:tr>
      <w:tr w:rsidR="00C6733C" w14:paraId="13D35E85" w14:textId="77777777">
        <w:trPr>
          <w:trHeight w:val="540"/>
          <w:jc w:val="center"/>
        </w:trPr>
        <w:tc>
          <w:tcPr>
            <w:tcW w:w="5160" w:type="dxa"/>
            <w:tcBorders>
              <w:top w:val="nil"/>
              <w:left w:val="nil"/>
              <w:bottom w:val="nil"/>
              <w:right w:val="nil"/>
            </w:tcBorders>
            <w:shd w:val="clear" w:color="auto" w:fill="auto"/>
            <w:vAlign w:val="center"/>
            <w:hideMark/>
          </w:tcPr>
          <w:p w14:paraId="5A31154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Proyectos de Inversión</w:t>
            </w:r>
          </w:p>
        </w:tc>
        <w:tc>
          <w:tcPr>
            <w:tcW w:w="2020" w:type="dxa"/>
            <w:tcBorders>
              <w:top w:val="nil"/>
              <w:left w:val="nil"/>
              <w:bottom w:val="nil"/>
              <w:right w:val="nil"/>
            </w:tcBorders>
            <w:shd w:val="clear" w:color="auto" w:fill="auto"/>
            <w:vAlign w:val="center"/>
            <w:hideMark/>
          </w:tcPr>
          <w:p w14:paraId="28099CD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323,087,812.41</w:t>
            </w:r>
          </w:p>
        </w:tc>
      </w:tr>
      <w:tr w:rsidR="00C6733C" w14:paraId="5FF963DA" w14:textId="77777777">
        <w:trPr>
          <w:trHeight w:val="540"/>
          <w:jc w:val="center"/>
        </w:trPr>
        <w:tc>
          <w:tcPr>
            <w:tcW w:w="5160" w:type="dxa"/>
            <w:tcBorders>
              <w:top w:val="nil"/>
              <w:left w:val="nil"/>
              <w:bottom w:val="nil"/>
              <w:right w:val="nil"/>
            </w:tcBorders>
            <w:shd w:val="clear" w:color="auto" w:fill="auto"/>
            <w:vAlign w:val="center"/>
            <w:hideMark/>
          </w:tcPr>
          <w:p w14:paraId="2EDDC97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Planeación, Seguimiento y Evaluación de Políticas Públicas</w:t>
            </w:r>
          </w:p>
        </w:tc>
        <w:tc>
          <w:tcPr>
            <w:tcW w:w="2020" w:type="dxa"/>
            <w:tcBorders>
              <w:top w:val="nil"/>
              <w:left w:val="nil"/>
              <w:bottom w:val="nil"/>
              <w:right w:val="nil"/>
            </w:tcBorders>
            <w:shd w:val="clear" w:color="auto" w:fill="auto"/>
            <w:vAlign w:val="center"/>
            <w:hideMark/>
          </w:tcPr>
          <w:p w14:paraId="0D85C593"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160,005,042.15</w:t>
            </w:r>
          </w:p>
        </w:tc>
      </w:tr>
      <w:tr w:rsidR="00C6733C" w14:paraId="2F2ABFF5" w14:textId="77777777">
        <w:trPr>
          <w:trHeight w:val="540"/>
          <w:jc w:val="center"/>
        </w:trPr>
        <w:tc>
          <w:tcPr>
            <w:tcW w:w="5160" w:type="dxa"/>
            <w:tcBorders>
              <w:top w:val="nil"/>
              <w:left w:val="nil"/>
              <w:bottom w:val="nil"/>
              <w:right w:val="nil"/>
            </w:tcBorders>
            <w:shd w:val="clear" w:color="auto" w:fill="auto"/>
            <w:vAlign w:val="center"/>
            <w:hideMark/>
          </w:tcPr>
          <w:p w14:paraId="7D789F0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Específicos</w:t>
            </w:r>
          </w:p>
        </w:tc>
        <w:tc>
          <w:tcPr>
            <w:tcW w:w="2020" w:type="dxa"/>
            <w:tcBorders>
              <w:top w:val="nil"/>
              <w:left w:val="nil"/>
              <w:bottom w:val="nil"/>
              <w:right w:val="nil"/>
            </w:tcBorders>
            <w:shd w:val="clear" w:color="auto" w:fill="auto"/>
            <w:vAlign w:val="center"/>
            <w:hideMark/>
          </w:tcPr>
          <w:p w14:paraId="17799A8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671,333,616.19</w:t>
            </w:r>
          </w:p>
        </w:tc>
      </w:tr>
      <w:tr w:rsidR="00C6733C" w14:paraId="2DF3C2D9" w14:textId="77777777">
        <w:trPr>
          <w:trHeight w:val="540"/>
          <w:jc w:val="center"/>
        </w:trPr>
        <w:tc>
          <w:tcPr>
            <w:tcW w:w="5160" w:type="dxa"/>
            <w:tcBorders>
              <w:top w:val="nil"/>
              <w:left w:val="nil"/>
              <w:bottom w:val="nil"/>
              <w:right w:val="nil"/>
            </w:tcBorders>
            <w:shd w:val="clear" w:color="auto" w:fill="auto"/>
            <w:vAlign w:val="center"/>
            <w:hideMark/>
          </w:tcPr>
          <w:p w14:paraId="1612DE5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Administrativos y de Apoyo</w:t>
            </w:r>
          </w:p>
        </w:tc>
        <w:tc>
          <w:tcPr>
            <w:tcW w:w="2020" w:type="dxa"/>
            <w:tcBorders>
              <w:top w:val="nil"/>
              <w:left w:val="nil"/>
              <w:bottom w:val="nil"/>
              <w:right w:val="nil"/>
            </w:tcBorders>
            <w:shd w:val="clear" w:color="auto" w:fill="auto"/>
            <w:noWrap/>
            <w:vAlign w:val="center"/>
            <w:hideMark/>
          </w:tcPr>
          <w:p w14:paraId="6CE87C4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1,808,752,341.27</w:t>
            </w:r>
          </w:p>
        </w:tc>
      </w:tr>
      <w:tr w:rsidR="00C6733C" w14:paraId="7EB225C1" w14:textId="77777777">
        <w:trPr>
          <w:trHeight w:val="540"/>
          <w:jc w:val="center"/>
        </w:trPr>
        <w:tc>
          <w:tcPr>
            <w:tcW w:w="5160" w:type="dxa"/>
            <w:tcBorders>
              <w:top w:val="nil"/>
              <w:left w:val="nil"/>
              <w:bottom w:val="nil"/>
              <w:right w:val="nil"/>
            </w:tcBorders>
            <w:shd w:val="clear" w:color="auto" w:fill="auto"/>
            <w:vAlign w:val="center"/>
            <w:hideMark/>
          </w:tcPr>
          <w:p w14:paraId="7B86D4C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Apoyo al Proceso Presupuestario y para Mejorar la Eficiencia Institucional</w:t>
            </w:r>
          </w:p>
        </w:tc>
        <w:tc>
          <w:tcPr>
            <w:tcW w:w="2020" w:type="dxa"/>
            <w:tcBorders>
              <w:top w:val="nil"/>
              <w:left w:val="nil"/>
              <w:bottom w:val="nil"/>
              <w:right w:val="nil"/>
            </w:tcBorders>
            <w:shd w:val="clear" w:color="auto" w:fill="auto"/>
            <w:vAlign w:val="center"/>
            <w:hideMark/>
          </w:tcPr>
          <w:p w14:paraId="7E9D96E1"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1,611,336,606.64</w:t>
            </w:r>
          </w:p>
        </w:tc>
      </w:tr>
      <w:tr w:rsidR="00C6733C" w14:paraId="71552F45" w14:textId="77777777">
        <w:trPr>
          <w:trHeight w:val="540"/>
          <w:jc w:val="center"/>
        </w:trPr>
        <w:tc>
          <w:tcPr>
            <w:tcW w:w="5160" w:type="dxa"/>
            <w:tcBorders>
              <w:top w:val="nil"/>
              <w:left w:val="nil"/>
              <w:bottom w:val="nil"/>
              <w:right w:val="nil"/>
            </w:tcBorders>
            <w:shd w:val="clear" w:color="auto" w:fill="auto"/>
            <w:vAlign w:val="center"/>
            <w:hideMark/>
          </w:tcPr>
          <w:p w14:paraId="135F4C3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Apoyo a la Función Pública y al Mejoramiento de la Gestión</w:t>
            </w:r>
          </w:p>
        </w:tc>
        <w:tc>
          <w:tcPr>
            <w:tcW w:w="2020" w:type="dxa"/>
            <w:tcBorders>
              <w:top w:val="nil"/>
              <w:left w:val="nil"/>
              <w:bottom w:val="nil"/>
              <w:right w:val="nil"/>
            </w:tcBorders>
            <w:shd w:val="clear" w:color="auto" w:fill="auto"/>
            <w:vAlign w:val="center"/>
            <w:hideMark/>
          </w:tcPr>
          <w:p w14:paraId="49FC5BA9"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197,415,734.63</w:t>
            </w:r>
          </w:p>
        </w:tc>
      </w:tr>
      <w:tr w:rsidR="00C6733C" w14:paraId="5ECAF5A3" w14:textId="77777777">
        <w:trPr>
          <w:trHeight w:val="540"/>
          <w:jc w:val="center"/>
        </w:trPr>
        <w:tc>
          <w:tcPr>
            <w:tcW w:w="5160" w:type="dxa"/>
            <w:tcBorders>
              <w:top w:val="nil"/>
              <w:left w:val="nil"/>
              <w:bottom w:val="nil"/>
              <w:right w:val="nil"/>
            </w:tcBorders>
            <w:shd w:val="clear" w:color="auto" w:fill="auto"/>
            <w:vAlign w:val="center"/>
            <w:hideMark/>
          </w:tcPr>
          <w:p w14:paraId="6C0351D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Compromisos</w:t>
            </w:r>
          </w:p>
        </w:tc>
        <w:tc>
          <w:tcPr>
            <w:tcW w:w="2020" w:type="dxa"/>
            <w:tcBorders>
              <w:top w:val="nil"/>
              <w:left w:val="nil"/>
              <w:bottom w:val="nil"/>
              <w:right w:val="nil"/>
            </w:tcBorders>
            <w:shd w:val="clear" w:color="auto" w:fill="auto"/>
            <w:noWrap/>
            <w:vAlign w:val="center"/>
            <w:hideMark/>
          </w:tcPr>
          <w:p w14:paraId="566794F9"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14,412,179.94</w:t>
            </w:r>
          </w:p>
        </w:tc>
      </w:tr>
      <w:tr w:rsidR="00C6733C" w14:paraId="7629F6F4" w14:textId="77777777">
        <w:trPr>
          <w:trHeight w:val="540"/>
          <w:jc w:val="center"/>
        </w:trPr>
        <w:tc>
          <w:tcPr>
            <w:tcW w:w="5160" w:type="dxa"/>
            <w:tcBorders>
              <w:top w:val="nil"/>
              <w:left w:val="nil"/>
              <w:bottom w:val="nil"/>
              <w:right w:val="nil"/>
            </w:tcBorders>
            <w:shd w:val="clear" w:color="auto" w:fill="auto"/>
            <w:vAlign w:val="center"/>
            <w:hideMark/>
          </w:tcPr>
          <w:p w14:paraId="2B3E5E9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Desastres Naturales</w:t>
            </w:r>
          </w:p>
        </w:tc>
        <w:tc>
          <w:tcPr>
            <w:tcW w:w="2020" w:type="dxa"/>
            <w:tcBorders>
              <w:top w:val="nil"/>
              <w:left w:val="nil"/>
              <w:bottom w:val="nil"/>
              <w:right w:val="nil"/>
            </w:tcBorders>
            <w:shd w:val="clear" w:color="auto" w:fill="auto"/>
            <w:vAlign w:val="center"/>
            <w:hideMark/>
          </w:tcPr>
          <w:p w14:paraId="12C04BD5"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14,412,179.94</w:t>
            </w:r>
          </w:p>
        </w:tc>
      </w:tr>
      <w:tr w:rsidR="00C6733C" w14:paraId="4AB27CAD" w14:textId="77777777">
        <w:trPr>
          <w:trHeight w:val="540"/>
          <w:jc w:val="center"/>
        </w:trPr>
        <w:tc>
          <w:tcPr>
            <w:tcW w:w="5160" w:type="dxa"/>
            <w:tcBorders>
              <w:top w:val="nil"/>
              <w:left w:val="nil"/>
              <w:bottom w:val="nil"/>
              <w:right w:val="nil"/>
            </w:tcBorders>
            <w:shd w:val="clear" w:color="auto" w:fill="auto"/>
            <w:vAlign w:val="center"/>
            <w:hideMark/>
          </w:tcPr>
          <w:p w14:paraId="42F3E0E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Obligaciones</w:t>
            </w:r>
          </w:p>
        </w:tc>
        <w:tc>
          <w:tcPr>
            <w:tcW w:w="2020" w:type="dxa"/>
            <w:tcBorders>
              <w:top w:val="nil"/>
              <w:left w:val="nil"/>
              <w:bottom w:val="nil"/>
              <w:right w:val="nil"/>
            </w:tcBorders>
            <w:shd w:val="clear" w:color="auto" w:fill="auto"/>
            <w:noWrap/>
            <w:vAlign w:val="center"/>
            <w:hideMark/>
          </w:tcPr>
          <w:p w14:paraId="2107FE4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170,703,088.44</w:t>
            </w:r>
          </w:p>
        </w:tc>
      </w:tr>
      <w:tr w:rsidR="00C6733C" w14:paraId="17BAEDBF" w14:textId="77777777">
        <w:trPr>
          <w:trHeight w:val="540"/>
          <w:jc w:val="center"/>
        </w:trPr>
        <w:tc>
          <w:tcPr>
            <w:tcW w:w="5160" w:type="dxa"/>
            <w:tcBorders>
              <w:top w:val="nil"/>
              <w:left w:val="nil"/>
              <w:bottom w:val="nil"/>
              <w:right w:val="nil"/>
            </w:tcBorders>
            <w:shd w:val="clear" w:color="auto" w:fill="auto"/>
            <w:vAlign w:val="center"/>
            <w:hideMark/>
          </w:tcPr>
          <w:p w14:paraId="3C65C9F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Pensiones y Jubilaciones</w:t>
            </w:r>
          </w:p>
        </w:tc>
        <w:tc>
          <w:tcPr>
            <w:tcW w:w="2020" w:type="dxa"/>
            <w:tcBorders>
              <w:top w:val="nil"/>
              <w:left w:val="nil"/>
              <w:bottom w:val="nil"/>
              <w:right w:val="nil"/>
            </w:tcBorders>
            <w:shd w:val="clear" w:color="auto" w:fill="auto"/>
            <w:vAlign w:val="center"/>
            <w:hideMark/>
          </w:tcPr>
          <w:p w14:paraId="28030A9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170,703,088.44</w:t>
            </w:r>
          </w:p>
        </w:tc>
      </w:tr>
      <w:tr w:rsidR="00C6733C" w14:paraId="23A2F0DF" w14:textId="77777777">
        <w:trPr>
          <w:trHeight w:val="540"/>
          <w:jc w:val="center"/>
        </w:trPr>
        <w:tc>
          <w:tcPr>
            <w:tcW w:w="5160" w:type="dxa"/>
            <w:tcBorders>
              <w:top w:val="nil"/>
              <w:left w:val="nil"/>
              <w:bottom w:val="nil"/>
              <w:right w:val="nil"/>
            </w:tcBorders>
            <w:shd w:val="clear" w:color="auto" w:fill="auto"/>
            <w:vAlign w:val="center"/>
            <w:hideMark/>
          </w:tcPr>
          <w:p w14:paraId="793F8183"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Programas de Gasto Federalizado (Gobierno Federal)</w:t>
            </w:r>
          </w:p>
        </w:tc>
        <w:tc>
          <w:tcPr>
            <w:tcW w:w="2020" w:type="dxa"/>
            <w:tcBorders>
              <w:top w:val="nil"/>
              <w:left w:val="nil"/>
              <w:bottom w:val="nil"/>
              <w:right w:val="nil"/>
            </w:tcBorders>
            <w:shd w:val="clear" w:color="auto" w:fill="auto"/>
            <w:noWrap/>
            <w:vAlign w:val="center"/>
            <w:hideMark/>
          </w:tcPr>
          <w:p w14:paraId="14588996"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12,879,263,766.00</w:t>
            </w:r>
          </w:p>
        </w:tc>
      </w:tr>
      <w:tr w:rsidR="00C6733C" w14:paraId="5C3CF4C4" w14:textId="77777777">
        <w:trPr>
          <w:trHeight w:val="540"/>
          <w:jc w:val="center"/>
        </w:trPr>
        <w:tc>
          <w:tcPr>
            <w:tcW w:w="5160" w:type="dxa"/>
            <w:tcBorders>
              <w:top w:val="nil"/>
              <w:left w:val="nil"/>
              <w:bottom w:val="nil"/>
              <w:right w:val="nil"/>
            </w:tcBorders>
            <w:shd w:val="clear" w:color="auto" w:fill="auto"/>
            <w:vAlign w:val="center"/>
            <w:hideMark/>
          </w:tcPr>
          <w:p w14:paraId="3CFF696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Gasto Federalizado</w:t>
            </w:r>
          </w:p>
        </w:tc>
        <w:tc>
          <w:tcPr>
            <w:tcW w:w="2020" w:type="dxa"/>
            <w:tcBorders>
              <w:top w:val="nil"/>
              <w:left w:val="nil"/>
              <w:bottom w:val="nil"/>
              <w:right w:val="nil"/>
            </w:tcBorders>
            <w:shd w:val="clear" w:color="auto" w:fill="auto"/>
            <w:vAlign w:val="center"/>
            <w:hideMark/>
          </w:tcPr>
          <w:p w14:paraId="2D7AD4A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12,879,263,766.00</w:t>
            </w:r>
          </w:p>
        </w:tc>
      </w:tr>
      <w:tr w:rsidR="00C6733C" w14:paraId="70B93E23" w14:textId="77777777">
        <w:trPr>
          <w:trHeight w:val="540"/>
          <w:jc w:val="center"/>
        </w:trPr>
        <w:tc>
          <w:tcPr>
            <w:tcW w:w="5160" w:type="dxa"/>
            <w:tcBorders>
              <w:top w:val="nil"/>
              <w:left w:val="nil"/>
              <w:bottom w:val="nil"/>
              <w:right w:val="nil"/>
            </w:tcBorders>
            <w:shd w:val="clear" w:color="auto" w:fill="auto"/>
            <w:vAlign w:val="center"/>
            <w:hideMark/>
          </w:tcPr>
          <w:p w14:paraId="2986E4D6"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GASTO NO PROGRAMABLE</w:t>
            </w:r>
          </w:p>
        </w:tc>
        <w:tc>
          <w:tcPr>
            <w:tcW w:w="2020" w:type="dxa"/>
            <w:tcBorders>
              <w:top w:val="nil"/>
              <w:left w:val="nil"/>
              <w:bottom w:val="nil"/>
              <w:right w:val="nil"/>
            </w:tcBorders>
            <w:shd w:val="clear" w:color="auto" w:fill="auto"/>
            <w:vAlign w:val="center"/>
            <w:hideMark/>
          </w:tcPr>
          <w:p w14:paraId="3705B338" w14:textId="77777777" w:rsidR="00C6733C" w:rsidRDefault="00C6733C">
            <w:pPr>
              <w:widowControl/>
              <w:autoSpaceDE/>
              <w:autoSpaceDN/>
              <w:jc w:val="right"/>
              <w:rPr>
                <w:rFonts w:ascii="Arial" w:eastAsia="Times New Roman" w:hAnsi="Arial" w:cs="Arial"/>
                <w:b/>
                <w:bCs/>
                <w:color w:val="000000"/>
                <w:lang w:bidi="ar-SA"/>
              </w:rPr>
            </w:pPr>
          </w:p>
        </w:tc>
      </w:tr>
      <w:tr w:rsidR="00C6733C" w14:paraId="4B8FDA75" w14:textId="77777777">
        <w:trPr>
          <w:trHeight w:val="540"/>
          <w:jc w:val="center"/>
        </w:trPr>
        <w:tc>
          <w:tcPr>
            <w:tcW w:w="5160" w:type="dxa"/>
            <w:tcBorders>
              <w:top w:val="nil"/>
              <w:left w:val="nil"/>
              <w:bottom w:val="nil"/>
              <w:right w:val="nil"/>
            </w:tcBorders>
            <w:shd w:val="clear" w:color="auto" w:fill="auto"/>
            <w:vAlign w:val="center"/>
            <w:hideMark/>
          </w:tcPr>
          <w:p w14:paraId="0D91B9E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Participaciones a Entidades </w:t>
            </w:r>
            <w:r>
              <w:rPr>
                <w:rFonts w:ascii="Arial" w:eastAsia="Times New Roman" w:hAnsi="Arial" w:cs="Arial"/>
                <w:b/>
                <w:bCs/>
                <w:color w:val="000000"/>
                <w:lang w:bidi="ar-SA"/>
              </w:rPr>
              <w:t>Federativas y Municipios</w:t>
            </w:r>
          </w:p>
        </w:tc>
        <w:tc>
          <w:tcPr>
            <w:tcW w:w="2020" w:type="dxa"/>
            <w:tcBorders>
              <w:top w:val="nil"/>
              <w:left w:val="nil"/>
              <w:bottom w:val="nil"/>
              <w:right w:val="nil"/>
            </w:tcBorders>
            <w:shd w:val="clear" w:color="auto" w:fill="auto"/>
            <w:noWrap/>
            <w:vAlign w:val="center"/>
            <w:hideMark/>
          </w:tcPr>
          <w:p w14:paraId="2A95B00E"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5,510,973,028.27</w:t>
            </w:r>
          </w:p>
        </w:tc>
      </w:tr>
      <w:tr w:rsidR="00C6733C" w14:paraId="69ED6B50" w14:textId="77777777">
        <w:trPr>
          <w:trHeight w:val="540"/>
          <w:jc w:val="center"/>
        </w:trPr>
        <w:tc>
          <w:tcPr>
            <w:tcW w:w="5160" w:type="dxa"/>
            <w:tcBorders>
              <w:top w:val="nil"/>
              <w:left w:val="nil"/>
              <w:bottom w:val="nil"/>
              <w:right w:val="nil"/>
            </w:tcBorders>
            <w:shd w:val="clear" w:color="auto" w:fill="auto"/>
            <w:vAlign w:val="center"/>
            <w:hideMark/>
          </w:tcPr>
          <w:p w14:paraId="68BC9E62"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Participaciones a Entidades Federativas y Municipios</w:t>
            </w:r>
          </w:p>
        </w:tc>
        <w:tc>
          <w:tcPr>
            <w:tcW w:w="2020" w:type="dxa"/>
            <w:tcBorders>
              <w:top w:val="nil"/>
              <w:left w:val="nil"/>
              <w:bottom w:val="nil"/>
              <w:right w:val="nil"/>
            </w:tcBorders>
            <w:shd w:val="clear" w:color="auto" w:fill="auto"/>
            <w:noWrap/>
            <w:vAlign w:val="center"/>
            <w:hideMark/>
          </w:tcPr>
          <w:p w14:paraId="2714F450"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5,510,973,028.27</w:t>
            </w:r>
          </w:p>
        </w:tc>
      </w:tr>
      <w:tr w:rsidR="00C6733C" w14:paraId="6238EFEF" w14:textId="77777777">
        <w:trPr>
          <w:trHeight w:val="540"/>
          <w:jc w:val="center"/>
        </w:trPr>
        <w:tc>
          <w:tcPr>
            <w:tcW w:w="5160" w:type="dxa"/>
            <w:tcBorders>
              <w:top w:val="nil"/>
              <w:left w:val="nil"/>
              <w:bottom w:val="nil"/>
              <w:right w:val="nil"/>
            </w:tcBorders>
            <w:shd w:val="clear" w:color="auto" w:fill="auto"/>
            <w:vAlign w:val="center"/>
            <w:hideMark/>
          </w:tcPr>
          <w:p w14:paraId="543ADC7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a Entidades Federativas y Municipios</w:t>
            </w:r>
          </w:p>
        </w:tc>
        <w:tc>
          <w:tcPr>
            <w:tcW w:w="2020" w:type="dxa"/>
            <w:tcBorders>
              <w:top w:val="nil"/>
              <w:left w:val="nil"/>
              <w:bottom w:val="nil"/>
              <w:right w:val="nil"/>
            </w:tcBorders>
            <w:shd w:val="clear" w:color="auto" w:fill="auto"/>
            <w:vAlign w:val="center"/>
            <w:hideMark/>
          </w:tcPr>
          <w:p w14:paraId="71298DFC"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5,510,973,028.27</w:t>
            </w:r>
          </w:p>
        </w:tc>
      </w:tr>
      <w:tr w:rsidR="00C6733C" w14:paraId="650698AD" w14:textId="77777777">
        <w:trPr>
          <w:trHeight w:val="540"/>
          <w:jc w:val="center"/>
        </w:trPr>
        <w:tc>
          <w:tcPr>
            <w:tcW w:w="5160" w:type="dxa"/>
            <w:tcBorders>
              <w:top w:val="nil"/>
              <w:left w:val="nil"/>
              <w:bottom w:val="nil"/>
              <w:right w:val="nil"/>
            </w:tcBorders>
            <w:shd w:val="clear" w:color="auto" w:fill="auto"/>
            <w:vAlign w:val="center"/>
            <w:hideMark/>
          </w:tcPr>
          <w:p w14:paraId="3D59998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Costo Financiero, Deuda o Apoyos a Deudores y Ahorradores de la </w:t>
            </w:r>
            <w:r>
              <w:rPr>
                <w:rFonts w:ascii="Arial" w:eastAsia="Times New Roman" w:hAnsi="Arial" w:cs="Arial"/>
                <w:b/>
                <w:bCs/>
                <w:color w:val="000000"/>
                <w:lang w:bidi="ar-SA"/>
              </w:rPr>
              <w:t>Banca</w:t>
            </w:r>
          </w:p>
        </w:tc>
        <w:tc>
          <w:tcPr>
            <w:tcW w:w="2020" w:type="dxa"/>
            <w:tcBorders>
              <w:top w:val="nil"/>
              <w:left w:val="nil"/>
              <w:bottom w:val="nil"/>
              <w:right w:val="nil"/>
            </w:tcBorders>
            <w:shd w:val="clear" w:color="auto" w:fill="auto"/>
            <w:noWrap/>
            <w:vAlign w:val="center"/>
            <w:hideMark/>
          </w:tcPr>
          <w:p w14:paraId="31640452"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3,880,217,793.01</w:t>
            </w:r>
          </w:p>
        </w:tc>
      </w:tr>
      <w:tr w:rsidR="00C6733C" w14:paraId="29A35C96" w14:textId="77777777">
        <w:trPr>
          <w:trHeight w:val="540"/>
          <w:jc w:val="center"/>
        </w:trPr>
        <w:tc>
          <w:tcPr>
            <w:tcW w:w="5160" w:type="dxa"/>
            <w:tcBorders>
              <w:top w:val="nil"/>
              <w:left w:val="nil"/>
              <w:bottom w:val="nil"/>
              <w:right w:val="nil"/>
            </w:tcBorders>
            <w:shd w:val="clear" w:color="auto" w:fill="auto"/>
            <w:vAlign w:val="center"/>
            <w:hideMark/>
          </w:tcPr>
          <w:p w14:paraId="491C0B5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14:paraId="53EC41C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3,880,217,793.01</w:t>
            </w:r>
          </w:p>
        </w:tc>
      </w:tr>
      <w:tr w:rsidR="00C6733C" w14:paraId="32722922" w14:textId="77777777">
        <w:trPr>
          <w:trHeight w:val="540"/>
          <w:jc w:val="center"/>
        </w:trPr>
        <w:tc>
          <w:tcPr>
            <w:tcW w:w="5160" w:type="dxa"/>
            <w:tcBorders>
              <w:top w:val="nil"/>
              <w:left w:val="nil"/>
              <w:bottom w:val="nil"/>
              <w:right w:val="nil"/>
            </w:tcBorders>
            <w:shd w:val="clear" w:color="auto" w:fill="auto"/>
            <w:vAlign w:val="center"/>
            <w:hideMark/>
          </w:tcPr>
          <w:p w14:paraId="7B23A74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Costo Financiero, Deuda o Apoyos a Deudores y Ahorradores de la Banca</w:t>
            </w:r>
          </w:p>
        </w:tc>
        <w:tc>
          <w:tcPr>
            <w:tcW w:w="2020" w:type="dxa"/>
            <w:tcBorders>
              <w:top w:val="nil"/>
              <w:left w:val="nil"/>
              <w:bottom w:val="nil"/>
              <w:right w:val="nil"/>
            </w:tcBorders>
            <w:shd w:val="clear" w:color="auto" w:fill="auto"/>
            <w:vAlign w:val="center"/>
            <w:hideMark/>
          </w:tcPr>
          <w:p w14:paraId="21D639BF"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3,880,217,793.01</w:t>
            </w:r>
          </w:p>
        </w:tc>
      </w:tr>
      <w:tr w:rsidR="00C6733C" w14:paraId="780E24F1" w14:textId="77777777">
        <w:trPr>
          <w:trHeight w:val="540"/>
          <w:jc w:val="center"/>
        </w:trPr>
        <w:tc>
          <w:tcPr>
            <w:tcW w:w="5160" w:type="dxa"/>
            <w:tcBorders>
              <w:top w:val="nil"/>
              <w:left w:val="nil"/>
              <w:bottom w:val="nil"/>
              <w:right w:val="nil"/>
            </w:tcBorders>
            <w:shd w:val="clear" w:color="auto" w:fill="auto"/>
            <w:vAlign w:val="center"/>
          </w:tcPr>
          <w:p w14:paraId="60A0C189"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w:t>
            </w:r>
          </w:p>
        </w:tc>
        <w:tc>
          <w:tcPr>
            <w:tcW w:w="2020" w:type="dxa"/>
            <w:tcBorders>
              <w:top w:val="nil"/>
              <w:left w:val="nil"/>
              <w:bottom w:val="nil"/>
              <w:right w:val="nil"/>
            </w:tcBorders>
            <w:shd w:val="clear" w:color="auto" w:fill="auto"/>
            <w:vAlign w:val="center"/>
          </w:tcPr>
          <w:p w14:paraId="122D89DA"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14:paraId="51AC2CF5" w14:textId="77777777" w:rsidR="00C6733C" w:rsidRDefault="00C6733C">
      <w:pPr>
        <w:pStyle w:val="Textoindependiente"/>
        <w:rPr>
          <w:sz w:val="22"/>
          <w:szCs w:val="22"/>
        </w:rPr>
      </w:pPr>
    </w:p>
    <w:p w14:paraId="55459323" w14:textId="77777777" w:rsidR="00C6733C" w:rsidRDefault="006D0638">
      <w:pPr>
        <w:pStyle w:val="Textoindependiente"/>
        <w:ind w:right="-29"/>
        <w:jc w:val="both"/>
        <w:rPr>
          <w:sz w:val="22"/>
          <w:szCs w:val="22"/>
        </w:rPr>
      </w:pPr>
      <w:r>
        <w:rPr>
          <w:b/>
          <w:sz w:val="22"/>
          <w:szCs w:val="22"/>
        </w:rPr>
        <w:t xml:space="preserve">Artículo 52. </w:t>
      </w:r>
      <w:r>
        <w:rPr>
          <w:sz w:val="22"/>
          <w:szCs w:val="22"/>
        </w:rPr>
        <w:t xml:space="preserve">Las </w:t>
      </w:r>
      <w:r>
        <w:rPr>
          <w:sz w:val="22"/>
          <w:szCs w:val="22"/>
        </w:rPr>
        <w:t>asignaciones atendiendo a la Clasificación por Fuente de Financiamiento, de acuerdo con las disposiciones emitidas por el Consejo Nacional de Armonización Contable, se distribuyen conforme a lo siguiente:</w:t>
      </w:r>
    </w:p>
    <w:p w14:paraId="692A8146" w14:textId="77777777" w:rsidR="00C6733C" w:rsidRDefault="00C6733C">
      <w:pPr>
        <w:pStyle w:val="Textoindependiente"/>
        <w:ind w:right="-29"/>
        <w:jc w:val="both"/>
        <w:rPr>
          <w:sz w:val="22"/>
          <w:szCs w:val="22"/>
        </w:rPr>
      </w:pPr>
    </w:p>
    <w:tbl>
      <w:tblPr>
        <w:tblW w:w="4620" w:type="dxa"/>
        <w:jc w:val="center"/>
        <w:tblCellMar>
          <w:left w:w="70" w:type="dxa"/>
          <w:right w:w="70" w:type="dxa"/>
        </w:tblCellMar>
        <w:tblLook w:val="04A0" w:firstRow="1" w:lastRow="0" w:firstColumn="1" w:lastColumn="0" w:noHBand="0" w:noVBand="1"/>
      </w:tblPr>
      <w:tblGrid>
        <w:gridCol w:w="2700"/>
        <w:gridCol w:w="1976"/>
      </w:tblGrid>
      <w:tr w:rsidR="00C6733C" w14:paraId="2D8DDE0A" w14:textId="77777777">
        <w:trPr>
          <w:trHeight w:val="465"/>
          <w:jc w:val="center"/>
        </w:trPr>
        <w:tc>
          <w:tcPr>
            <w:tcW w:w="2700" w:type="dxa"/>
            <w:tcBorders>
              <w:top w:val="nil"/>
              <w:left w:val="nil"/>
              <w:bottom w:val="nil"/>
              <w:right w:val="nil"/>
            </w:tcBorders>
            <w:shd w:val="clear" w:color="auto" w:fill="auto"/>
            <w:noWrap/>
            <w:vAlign w:val="bottom"/>
            <w:hideMark/>
          </w:tcPr>
          <w:p w14:paraId="1EAE5949" w14:textId="77777777" w:rsidR="00C6733C" w:rsidRDefault="00C6733C">
            <w:pPr>
              <w:widowControl/>
              <w:autoSpaceDE/>
              <w:autoSpaceDN/>
              <w:rPr>
                <w:rFonts w:ascii="Arial" w:eastAsia="Times New Roman" w:hAnsi="Arial" w:cs="Arial"/>
                <w:lang w:bidi="ar-SA"/>
              </w:rPr>
            </w:pPr>
          </w:p>
        </w:tc>
        <w:tc>
          <w:tcPr>
            <w:tcW w:w="1920" w:type="dxa"/>
            <w:tcBorders>
              <w:top w:val="nil"/>
              <w:left w:val="nil"/>
              <w:bottom w:val="nil"/>
              <w:right w:val="nil"/>
            </w:tcBorders>
            <w:shd w:val="clear" w:color="auto" w:fill="auto"/>
            <w:noWrap/>
            <w:vAlign w:val="center"/>
            <w:hideMark/>
          </w:tcPr>
          <w:p w14:paraId="21A40CDA"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744020AA" w14:textId="77777777">
        <w:trPr>
          <w:trHeight w:val="465"/>
          <w:jc w:val="center"/>
        </w:trPr>
        <w:tc>
          <w:tcPr>
            <w:tcW w:w="2700" w:type="dxa"/>
            <w:tcBorders>
              <w:top w:val="nil"/>
              <w:left w:val="nil"/>
              <w:bottom w:val="nil"/>
              <w:right w:val="nil"/>
            </w:tcBorders>
            <w:shd w:val="clear" w:color="auto" w:fill="auto"/>
            <w:noWrap/>
            <w:vAlign w:val="center"/>
            <w:hideMark/>
          </w:tcPr>
          <w:p w14:paraId="368BED1E"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No etiquetado </w:t>
            </w:r>
          </w:p>
        </w:tc>
        <w:tc>
          <w:tcPr>
            <w:tcW w:w="1920" w:type="dxa"/>
            <w:tcBorders>
              <w:top w:val="nil"/>
              <w:left w:val="nil"/>
              <w:bottom w:val="nil"/>
              <w:right w:val="nil"/>
            </w:tcBorders>
            <w:shd w:val="clear" w:color="auto" w:fill="auto"/>
            <w:noWrap/>
            <w:vAlign w:val="center"/>
            <w:hideMark/>
          </w:tcPr>
          <w:p w14:paraId="31145651"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26,463,450,340.00</w:t>
            </w:r>
          </w:p>
        </w:tc>
      </w:tr>
      <w:tr w:rsidR="00C6733C" w14:paraId="3FF72BD1" w14:textId="77777777">
        <w:trPr>
          <w:trHeight w:val="465"/>
          <w:jc w:val="center"/>
        </w:trPr>
        <w:tc>
          <w:tcPr>
            <w:tcW w:w="2700" w:type="dxa"/>
            <w:tcBorders>
              <w:top w:val="nil"/>
              <w:left w:val="nil"/>
              <w:bottom w:val="nil"/>
              <w:right w:val="nil"/>
            </w:tcBorders>
            <w:shd w:val="clear" w:color="auto" w:fill="auto"/>
            <w:noWrap/>
            <w:vAlign w:val="center"/>
            <w:hideMark/>
          </w:tcPr>
          <w:p w14:paraId="5B31FF4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Recursos Fiscales </w:t>
            </w:r>
          </w:p>
        </w:tc>
        <w:tc>
          <w:tcPr>
            <w:tcW w:w="1920" w:type="dxa"/>
            <w:tcBorders>
              <w:top w:val="nil"/>
              <w:left w:val="nil"/>
              <w:bottom w:val="nil"/>
              <w:right w:val="nil"/>
            </w:tcBorders>
            <w:shd w:val="clear" w:color="auto" w:fill="auto"/>
            <w:noWrap/>
            <w:vAlign w:val="center"/>
            <w:hideMark/>
          </w:tcPr>
          <w:p w14:paraId="281B7228"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4,070,977,517.00</w:t>
            </w:r>
          </w:p>
        </w:tc>
      </w:tr>
      <w:tr w:rsidR="00C6733C" w14:paraId="096E726D" w14:textId="77777777">
        <w:trPr>
          <w:trHeight w:val="465"/>
          <w:jc w:val="center"/>
        </w:trPr>
        <w:tc>
          <w:tcPr>
            <w:tcW w:w="2700" w:type="dxa"/>
            <w:tcBorders>
              <w:top w:val="nil"/>
              <w:left w:val="nil"/>
              <w:bottom w:val="nil"/>
              <w:right w:val="nil"/>
            </w:tcBorders>
            <w:shd w:val="clear" w:color="auto" w:fill="auto"/>
            <w:noWrap/>
            <w:vAlign w:val="center"/>
            <w:hideMark/>
          </w:tcPr>
          <w:p w14:paraId="0858CF1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Financiamientos Internos</w:t>
            </w:r>
          </w:p>
        </w:tc>
        <w:tc>
          <w:tcPr>
            <w:tcW w:w="1920" w:type="dxa"/>
            <w:tcBorders>
              <w:top w:val="nil"/>
              <w:left w:val="nil"/>
              <w:bottom w:val="nil"/>
              <w:right w:val="nil"/>
            </w:tcBorders>
            <w:shd w:val="clear" w:color="auto" w:fill="auto"/>
            <w:noWrap/>
            <w:vAlign w:val="center"/>
            <w:hideMark/>
          </w:tcPr>
          <w:p w14:paraId="520E4B60"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187,632,359.00</w:t>
            </w:r>
          </w:p>
        </w:tc>
      </w:tr>
      <w:tr w:rsidR="00C6733C" w14:paraId="48DAC51B" w14:textId="77777777">
        <w:trPr>
          <w:trHeight w:val="465"/>
          <w:jc w:val="center"/>
        </w:trPr>
        <w:tc>
          <w:tcPr>
            <w:tcW w:w="2700" w:type="dxa"/>
            <w:tcBorders>
              <w:top w:val="nil"/>
              <w:left w:val="nil"/>
              <w:bottom w:val="nil"/>
              <w:right w:val="nil"/>
            </w:tcBorders>
            <w:shd w:val="clear" w:color="auto" w:fill="auto"/>
            <w:noWrap/>
            <w:vAlign w:val="center"/>
            <w:hideMark/>
          </w:tcPr>
          <w:p w14:paraId="6D287D3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Recursos Federales</w:t>
            </w:r>
          </w:p>
        </w:tc>
        <w:tc>
          <w:tcPr>
            <w:tcW w:w="1920" w:type="dxa"/>
            <w:tcBorders>
              <w:top w:val="nil"/>
              <w:left w:val="nil"/>
              <w:bottom w:val="nil"/>
              <w:right w:val="nil"/>
            </w:tcBorders>
            <w:shd w:val="clear" w:color="auto" w:fill="auto"/>
            <w:noWrap/>
            <w:vAlign w:val="center"/>
            <w:hideMark/>
          </w:tcPr>
          <w:p w14:paraId="4557801D"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22,204,840,464.00</w:t>
            </w:r>
          </w:p>
        </w:tc>
      </w:tr>
      <w:tr w:rsidR="00C6733C" w14:paraId="5B740A2A" w14:textId="77777777">
        <w:trPr>
          <w:trHeight w:val="465"/>
          <w:jc w:val="center"/>
        </w:trPr>
        <w:tc>
          <w:tcPr>
            <w:tcW w:w="2700" w:type="dxa"/>
            <w:tcBorders>
              <w:top w:val="nil"/>
              <w:left w:val="nil"/>
              <w:bottom w:val="nil"/>
              <w:right w:val="nil"/>
            </w:tcBorders>
            <w:shd w:val="clear" w:color="auto" w:fill="auto"/>
            <w:noWrap/>
            <w:vAlign w:val="center"/>
            <w:hideMark/>
          </w:tcPr>
          <w:p w14:paraId="0BC87E38"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Etiquetado </w:t>
            </w:r>
          </w:p>
        </w:tc>
        <w:tc>
          <w:tcPr>
            <w:tcW w:w="1920" w:type="dxa"/>
            <w:tcBorders>
              <w:top w:val="nil"/>
              <w:left w:val="nil"/>
              <w:bottom w:val="nil"/>
              <w:right w:val="nil"/>
            </w:tcBorders>
            <w:shd w:val="clear" w:color="auto" w:fill="auto"/>
            <w:noWrap/>
            <w:vAlign w:val="center"/>
            <w:hideMark/>
          </w:tcPr>
          <w:p w14:paraId="259EE2EB"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49,545,225,684.00</w:t>
            </w:r>
          </w:p>
        </w:tc>
      </w:tr>
      <w:tr w:rsidR="00C6733C" w14:paraId="58401A3C" w14:textId="77777777">
        <w:trPr>
          <w:trHeight w:val="465"/>
          <w:jc w:val="center"/>
        </w:trPr>
        <w:tc>
          <w:tcPr>
            <w:tcW w:w="2700" w:type="dxa"/>
            <w:tcBorders>
              <w:top w:val="nil"/>
              <w:left w:val="nil"/>
              <w:bottom w:val="nil"/>
              <w:right w:val="nil"/>
            </w:tcBorders>
            <w:shd w:val="clear" w:color="auto" w:fill="auto"/>
            <w:noWrap/>
            <w:vAlign w:val="center"/>
            <w:hideMark/>
          </w:tcPr>
          <w:p w14:paraId="0DB6E15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Recursos Federales</w:t>
            </w:r>
          </w:p>
        </w:tc>
        <w:tc>
          <w:tcPr>
            <w:tcW w:w="1920" w:type="dxa"/>
            <w:tcBorders>
              <w:top w:val="nil"/>
              <w:left w:val="nil"/>
              <w:bottom w:val="nil"/>
              <w:right w:val="nil"/>
            </w:tcBorders>
            <w:shd w:val="clear" w:color="auto" w:fill="auto"/>
            <w:noWrap/>
            <w:vAlign w:val="center"/>
            <w:hideMark/>
          </w:tcPr>
          <w:p w14:paraId="3BEEEE7E" w14:textId="77777777" w:rsidR="00C6733C" w:rsidRDefault="006D0638">
            <w:pPr>
              <w:widowControl/>
              <w:autoSpaceDE/>
              <w:autoSpaceDN/>
              <w:jc w:val="right"/>
              <w:rPr>
                <w:rFonts w:ascii="Arial" w:eastAsia="Times New Roman" w:hAnsi="Arial" w:cs="Arial"/>
                <w:color w:val="000000"/>
                <w:lang w:bidi="ar-SA"/>
              </w:rPr>
            </w:pPr>
            <w:r>
              <w:rPr>
                <w:rFonts w:ascii="Arial" w:hAnsi="Arial" w:cs="Arial"/>
                <w:color w:val="000000"/>
              </w:rPr>
              <w:t>49,545,225,684.00</w:t>
            </w:r>
          </w:p>
        </w:tc>
      </w:tr>
      <w:tr w:rsidR="00C6733C" w14:paraId="71961C67" w14:textId="77777777">
        <w:trPr>
          <w:trHeight w:val="465"/>
          <w:jc w:val="center"/>
        </w:trPr>
        <w:tc>
          <w:tcPr>
            <w:tcW w:w="2700" w:type="dxa"/>
            <w:tcBorders>
              <w:top w:val="nil"/>
              <w:left w:val="nil"/>
              <w:bottom w:val="nil"/>
              <w:right w:val="nil"/>
            </w:tcBorders>
            <w:shd w:val="clear" w:color="auto" w:fill="auto"/>
            <w:noWrap/>
            <w:vAlign w:val="center"/>
            <w:hideMark/>
          </w:tcPr>
          <w:p w14:paraId="2E3B4E0F"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Total General </w:t>
            </w:r>
          </w:p>
        </w:tc>
        <w:tc>
          <w:tcPr>
            <w:tcW w:w="1920" w:type="dxa"/>
            <w:tcBorders>
              <w:top w:val="nil"/>
              <w:left w:val="nil"/>
              <w:bottom w:val="nil"/>
              <w:right w:val="nil"/>
            </w:tcBorders>
            <w:shd w:val="clear" w:color="auto" w:fill="auto"/>
            <w:noWrap/>
            <w:vAlign w:val="center"/>
            <w:hideMark/>
          </w:tcPr>
          <w:p w14:paraId="342E5C42" w14:textId="77777777" w:rsidR="00C6733C" w:rsidRDefault="006D0638">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14:paraId="26CC7FC0" w14:textId="77777777" w:rsidR="00C6733C" w:rsidRDefault="00C6733C">
      <w:pPr>
        <w:pStyle w:val="Textoindependiente"/>
        <w:rPr>
          <w:sz w:val="22"/>
          <w:szCs w:val="22"/>
        </w:rPr>
      </w:pPr>
    </w:p>
    <w:p w14:paraId="0E4DA49F" w14:textId="77777777" w:rsidR="00C6733C" w:rsidRDefault="00C6733C">
      <w:pPr>
        <w:pStyle w:val="Textoindependiente"/>
        <w:rPr>
          <w:sz w:val="22"/>
          <w:szCs w:val="22"/>
        </w:rPr>
      </w:pPr>
    </w:p>
    <w:p w14:paraId="53B12042" w14:textId="77777777" w:rsidR="00C6733C" w:rsidRDefault="006D0638">
      <w:pPr>
        <w:pStyle w:val="Ttulo1"/>
        <w:tabs>
          <w:tab w:val="left" w:pos="6634"/>
        </w:tabs>
        <w:ind w:left="0" w:right="-29"/>
        <w:rPr>
          <w:sz w:val="22"/>
          <w:szCs w:val="22"/>
        </w:rPr>
      </w:pPr>
      <w:r>
        <w:rPr>
          <w:sz w:val="22"/>
          <w:szCs w:val="22"/>
        </w:rPr>
        <w:t xml:space="preserve">Título </w:t>
      </w:r>
      <w:r>
        <w:rPr>
          <w:sz w:val="22"/>
          <w:szCs w:val="22"/>
        </w:rPr>
        <w:t>Cuarto</w:t>
      </w:r>
    </w:p>
    <w:p w14:paraId="4D2F5C2B" w14:textId="77777777" w:rsidR="00C6733C" w:rsidRDefault="006D0638">
      <w:pPr>
        <w:tabs>
          <w:tab w:val="left" w:pos="6634"/>
        </w:tabs>
        <w:ind w:right="-29"/>
        <w:jc w:val="center"/>
        <w:rPr>
          <w:rFonts w:ascii="Arial" w:hAnsi="Arial" w:cs="Arial"/>
          <w:b/>
        </w:rPr>
      </w:pPr>
      <w:r>
        <w:rPr>
          <w:rFonts w:ascii="Arial" w:hAnsi="Arial" w:cs="Arial"/>
          <w:b/>
        </w:rPr>
        <w:t>Fondos de Aportaciones Federales</w:t>
      </w:r>
    </w:p>
    <w:p w14:paraId="2CEFAF72" w14:textId="77777777" w:rsidR="00C6733C" w:rsidRDefault="00C6733C">
      <w:pPr>
        <w:pStyle w:val="Textoindependiente"/>
        <w:rPr>
          <w:b/>
          <w:sz w:val="22"/>
          <w:szCs w:val="22"/>
        </w:rPr>
      </w:pPr>
    </w:p>
    <w:p w14:paraId="022A6962" w14:textId="77777777" w:rsidR="00C6733C" w:rsidRDefault="006D0638">
      <w:pPr>
        <w:pStyle w:val="Textoindependiente"/>
        <w:ind w:right="-29"/>
        <w:jc w:val="both"/>
        <w:rPr>
          <w:sz w:val="22"/>
          <w:szCs w:val="22"/>
        </w:rPr>
      </w:pPr>
      <w:r>
        <w:rPr>
          <w:b/>
          <w:sz w:val="22"/>
          <w:szCs w:val="22"/>
        </w:rPr>
        <w:t xml:space="preserve">Artículo 53. </w:t>
      </w:r>
      <w:r>
        <w:rPr>
          <w:sz w:val="22"/>
          <w:szCs w:val="22"/>
        </w:rPr>
        <w:t>Los Fondos de Aportaciones Federales, se constituyen con los recursos que para el ejercicio fiscal 2020, el Gobierno Federal transfiere al Estado a través del Ramo 33, condicionando su gasto al cumplimi</w:t>
      </w:r>
      <w:r>
        <w:rPr>
          <w:sz w:val="22"/>
          <w:szCs w:val="22"/>
        </w:rPr>
        <w:t>ento de los objetivos y vigencia que para cada tipo de aportaciones se establezca.</w:t>
      </w:r>
    </w:p>
    <w:p w14:paraId="30197439" w14:textId="77777777" w:rsidR="00C6733C" w:rsidRDefault="00C6733C">
      <w:pPr>
        <w:pStyle w:val="Textoindependiente"/>
        <w:ind w:right="-29"/>
        <w:jc w:val="both"/>
        <w:rPr>
          <w:sz w:val="22"/>
          <w:szCs w:val="22"/>
        </w:rPr>
      </w:pPr>
    </w:p>
    <w:p w14:paraId="5B8C7B36" w14:textId="77777777" w:rsidR="00C6733C" w:rsidRDefault="006D0638">
      <w:pPr>
        <w:pStyle w:val="Textoindependiente"/>
        <w:ind w:right="-29"/>
        <w:jc w:val="both"/>
        <w:rPr>
          <w:sz w:val="22"/>
          <w:szCs w:val="22"/>
        </w:rPr>
      </w:pPr>
      <w:r>
        <w:rPr>
          <w:sz w:val="22"/>
          <w:szCs w:val="22"/>
        </w:rPr>
        <w:t xml:space="preserve">Su ejercicio deberá cumplir con las disposiciones contenidas en la Ley de Coordinación Fiscal, Ley de Disciplina, Ley General, Ley de Coordinación Fiscal para el Estado de </w:t>
      </w:r>
      <w:r>
        <w:rPr>
          <w:sz w:val="22"/>
          <w:szCs w:val="22"/>
        </w:rPr>
        <w:t>Oaxaca, la Ley, el Decreto de Presupuesto de Egresos de la Federación vigente, y demás disposiciones legales aplicables.</w:t>
      </w:r>
    </w:p>
    <w:p w14:paraId="375FA28E" w14:textId="77777777" w:rsidR="00C6733C" w:rsidRDefault="00C6733C">
      <w:pPr>
        <w:pStyle w:val="Textoindependiente"/>
        <w:ind w:right="-29"/>
        <w:jc w:val="both"/>
        <w:rPr>
          <w:sz w:val="22"/>
          <w:szCs w:val="22"/>
        </w:rPr>
      </w:pPr>
    </w:p>
    <w:p w14:paraId="6AEBF68D" w14:textId="77777777" w:rsidR="00C6733C" w:rsidRDefault="006D0638">
      <w:pPr>
        <w:widowControl/>
        <w:autoSpaceDE/>
        <w:autoSpaceDN/>
        <w:jc w:val="both"/>
        <w:rPr>
          <w:rFonts w:ascii="Arial" w:hAnsi="Arial" w:cs="Arial"/>
        </w:rPr>
      </w:pPr>
      <w:r>
        <w:rPr>
          <w:rFonts w:ascii="Arial" w:hAnsi="Arial" w:cs="Arial"/>
          <w:b/>
        </w:rPr>
        <w:t>Artículo 54.</w:t>
      </w:r>
      <w:r>
        <w:rPr>
          <w:rFonts w:ascii="Arial" w:hAnsi="Arial" w:cs="Arial"/>
        </w:rPr>
        <w:t xml:space="preserve"> Del Fondo de Aportaciones para la Nómina Educativa y Gasto Operativo, el Estado ejercerá la cantidad de $</w:t>
      </w:r>
      <w:r>
        <w:rPr>
          <w:rFonts w:ascii="Arial" w:eastAsia="Times New Roman" w:hAnsi="Arial" w:cs="Arial"/>
          <w:lang w:bidi="ar-SA"/>
        </w:rPr>
        <w:t>23,528,537,149.0</w:t>
      </w:r>
      <w:r>
        <w:rPr>
          <w:rFonts w:ascii="Arial" w:eastAsia="Times New Roman" w:hAnsi="Arial" w:cs="Arial"/>
          <w:lang w:bidi="ar-SA"/>
        </w:rPr>
        <w:t>0</w:t>
      </w:r>
      <w:r>
        <w:rPr>
          <w:rFonts w:ascii="Arial" w:hAnsi="Arial" w:cs="Arial"/>
        </w:rPr>
        <w:t xml:space="preserve"> (</w:t>
      </w:r>
      <w:r>
        <w:rPr>
          <w:rFonts w:ascii="Arial" w:eastAsia="Times New Roman" w:hAnsi="Arial" w:cs="Arial"/>
          <w:color w:val="000000"/>
          <w:lang w:bidi="ar-SA"/>
        </w:rPr>
        <w:t xml:space="preserve">Veintitrés mil quinientos veintiocho millones quinientos treinta y siete mil ciento cuarenta y nueve pesos </w:t>
      </w:r>
      <w:r>
        <w:rPr>
          <w:rFonts w:ascii="Arial" w:hAnsi="Arial" w:cs="Arial"/>
        </w:rPr>
        <w:t>00/100 M.N.), de acuerdo a las disposiciones legales aplicables.</w:t>
      </w:r>
    </w:p>
    <w:p w14:paraId="795E7EAC" w14:textId="77777777" w:rsidR="00C6733C" w:rsidRDefault="00C6733C">
      <w:pPr>
        <w:pStyle w:val="Textoindependiente"/>
        <w:ind w:right="-29"/>
        <w:jc w:val="both"/>
        <w:rPr>
          <w:sz w:val="22"/>
          <w:szCs w:val="22"/>
        </w:rPr>
      </w:pPr>
    </w:p>
    <w:p w14:paraId="392E8BA3" w14:textId="77777777" w:rsidR="00C6733C" w:rsidRDefault="006D0638">
      <w:pPr>
        <w:widowControl/>
        <w:autoSpaceDE/>
        <w:autoSpaceDN/>
        <w:jc w:val="both"/>
        <w:rPr>
          <w:rFonts w:ascii="Arial" w:hAnsi="Arial" w:cs="Arial"/>
        </w:rPr>
      </w:pPr>
      <w:r>
        <w:rPr>
          <w:rFonts w:ascii="Arial" w:hAnsi="Arial" w:cs="Arial"/>
          <w:b/>
        </w:rPr>
        <w:t>Artículo 55.</w:t>
      </w:r>
      <w:r>
        <w:rPr>
          <w:rFonts w:ascii="Arial" w:hAnsi="Arial" w:cs="Arial"/>
        </w:rPr>
        <w:t xml:space="preserve"> Del Fondo de Aportaciones para los Servicios de Salud, el Estado ejercerá la cantidad de $</w:t>
      </w:r>
      <w:r>
        <w:rPr>
          <w:rFonts w:ascii="Arial" w:eastAsia="Times New Roman" w:hAnsi="Arial" w:cs="Arial"/>
          <w:lang w:bidi="ar-SA"/>
        </w:rPr>
        <w:t>4,754,388,760.00</w:t>
      </w:r>
      <w:r>
        <w:rPr>
          <w:rFonts w:ascii="Arial" w:hAnsi="Arial" w:cs="Arial"/>
        </w:rPr>
        <w:t xml:space="preserve"> (</w:t>
      </w:r>
      <w:r>
        <w:rPr>
          <w:rFonts w:ascii="Arial" w:eastAsia="Times New Roman" w:hAnsi="Arial" w:cs="Arial"/>
          <w:color w:val="000000"/>
          <w:lang w:bidi="ar-SA"/>
        </w:rPr>
        <w:t xml:space="preserve">Cuatro mil setecientos cincuenta y cuatro millones trescientos ochenta y ocho mil setecientos sesenta pesos </w:t>
      </w:r>
      <w:r>
        <w:rPr>
          <w:rFonts w:ascii="Arial" w:hAnsi="Arial" w:cs="Arial"/>
        </w:rPr>
        <w:t>00/100 M.N.) de acuerdo a las disposici</w:t>
      </w:r>
      <w:r>
        <w:rPr>
          <w:rFonts w:ascii="Arial" w:hAnsi="Arial" w:cs="Arial"/>
        </w:rPr>
        <w:t>ones normativas aplicables.</w:t>
      </w:r>
    </w:p>
    <w:p w14:paraId="49AFCF7F" w14:textId="77777777" w:rsidR="00C6733C" w:rsidRDefault="00C6733C">
      <w:pPr>
        <w:pStyle w:val="Textoindependiente"/>
        <w:ind w:right="-29"/>
        <w:jc w:val="both"/>
        <w:rPr>
          <w:sz w:val="22"/>
          <w:szCs w:val="22"/>
        </w:rPr>
      </w:pPr>
    </w:p>
    <w:p w14:paraId="78B80876" w14:textId="77777777" w:rsidR="00C6733C" w:rsidRDefault="006D0638">
      <w:pPr>
        <w:widowControl/>
        <w:autoSpaceDE/>
        <w:autoSpaceDN/>
        <w:jc w:val="both"/>
        <w:rPr>
          <w:rFonts w:ascii="Arial" w:hAnsi="Arial" w:cs="Arial"/>
        </w:rPr>
      </w:pPr>
      <w:r>
        <w:rPr>
          <w:rFonts w:ascii="Arial" w:hAnsi="Arial" w:cs="Arial"/>
          <w:b/>
        </w:rPr>
        <w:t>Artículo 56.</w:t>
      </w:r>
      <w:r>
        <w:rPr>
          <w:rFonts w:ascii="Arial" w:hAnsi="Arial" w:cs="Arial"/>
        </w:rPr>
        <w:t xml:space="preserve"> Del Fondo de Aportaciones para la Infraestructura Social, el Estado ejercerá la cantidad de $</w:t>
      </w:r>
      <w:r>
        <w:rPr>
          <w:rFonts w:ascii="Arial" w:eastAsia="Times New Roman" w:hAnsi="Arial" w:cs="Arial"/>
          <w:lang w:bidi="ar-SA"/>
        </w:rPr>
        <w:t xml:space="preserve">8,543,852,136.00 </w:t>
      </w:r>
      <w:r>
        <w:rPr>
          <w:rFonts w:ascii="Arial" w:hAnsi="Arial" w:cs="Arial"/>
        </w:rPr>
        <w:t>(</w:t>
      </w:r>
      <w:r>
        <w:rPr>
          <w:rFonts w:ascii="Arial" w:eastAsia="Times New Roman" w:hAnsi="Arial" w:cs="Arial"/>
          <w:color w:val="000000"/>
          <w:lang w:bidi="ar-SA"/>
        </w:rPr>
        <w:t>Ocho mil quinientos cuarenta y tres millones ochocientos cincuenta y dos mil ciento treinta y seis peso</w:t>
      </w:r>
      <w:r>
        <w:rPr>
          <w:rFonts w:ascii="Arial" w:eastAsia="Times New Roman" w:hAnsi="Arial" w:cs="Arial"/>
          <w:color w:val="000000"/>
          <w:lang w:bidi="ar-SA"/>
        </w:rPr>
        <w:t xml:space="preserve">s </w:t>
      </w:r>
      <w:r>
        <w:rPr>
          <w:rFonts w:ascii="Arial" w:hAnsi="Arial" w:cs="Arial"/>
        </w:rPr>
        <w:t>00/100 M.N.), de acuerdo a las disposiciones legales aplicables.</w:t>
      </w:r>
    </w:p>
    <w:p w14:paraId="47298217" w14:textId="77777777" w:rsidR="00C6733C" w:rsidRDefault="00C6733C">
      <w:pPr>
        <w:pStyle w:val="Textoindependiente"/>
        <w:rPr>
          <w:sz w:val="22"/>
          <w:szCs w:val="22"/>
        </w:rPr>
      </w:pPr>
    </w:p>
    <w:tbl>
      <w:tblPr>
        <w:tblW w:w="7200" w:type="dxa"/>
        <w:jc w:val="center"/>
        <w:tblCellMar>
          <w:left w:w="70" w:type="dxa"/>
          <w:right w:w="70" w:type="dxa"/>
        </w:tblCellMar>
        <w:tblLook w:val="04A0" w:firstRow="1" w:lastRow="0" w:firstColumn="1" w:lastColumn="0" w:noHBand="0" w:noVBand="1"/>
      </w:tblPr>
      <w:tblGrid>
        <w:gridCol w:w="400"/>
        <w:gridCol w:w="4600"/>
        <w:gridCol w:w="2200"/>
      </w:tblGrid>
      <w:tr w:rsidR="00C6733C" w14:paraId="53B1A347" w14:textId="77777777">
        <w:trPr>
          <w:trHeight w:val="480"/>
          <w:jc w:val="center"/>
        </w:trPr>
        <w:tc>
          <w:tcPr>
            <w:tcW w:w="400" w:type="dxa"/>
            <w:tcBorders>
              <w:top w:val="nil"/>
              <w:left w:val="nil"/>
              <w:bottom w:val="nil"/>
              <w:right w:val="nil"/>
            </w:tcBorders>
            <w:shd w:val="clear" w:color="auto" w:fill="auto"/>
            <w:hideMark/>
          </w:tcPr>
          <w:p w14:paraId="1E708380" w14:textId="77777777" w:rsidR="00C6733C" w:rsidRDefault="00C6733C">
            <w:pPr>
              <w:widowControl/>
              <w:autoSpaceDE/>
              <w:autoSpaceDN/>
              <w:rPr>
                <w:rFonts w:ascii="Arial" w:eastAsia="Times New Roman" w:hAnsi="Arial" w:cs="Arial"/>
                <w:lang w:bidi="ar-SA"/>
              </w:rPr>
            </w:pPr>
          </w:p>
        </w:tc>
        <w:tc>
          <w:tcPr>
            <w:tcW w:w="4600" w:type="dxa"/>
            <w:tcBorders>
              <w:top w:val="nil"/>
              <w:left w:val="nil"/>
              <w:bottom w:val="nil"/>
              <w:right w:val="nil"/>
            </w:tcBorders>
            <w:shd w:val="clear" w:color="auto" w:fill="auto"/>
            <w:hideMark/>
          </w:tcPr>
          <w:p w14:paraId="5D71827D" w14:textId="77777777" w:rsidR="00C6733C" w:rsidRDefault="00C6733C">
            <w:pPr>
              <w:widowControl/>
              <w:autoSpaceDE/>
              <w:autoSpaceDN/>
              <w:rPr>
                <w:rFonts w:ascii="Arial" w:eastAsia="Times New Roman" w:hAnsi="Arial" w:cs="Arial"/>
                <w:lang w:bidi="ar-SA"/>
              </w:rPr>
            </w:pPr>
          </w:p>
        </w:tc>
        <w:tc>
          <w:tcPr>
            <w:tcW w:w="2200" w:type="dxa"/>
            <w:tcBorders>
              <w:top w:val="nil"/>
              <w:left w:val="nil"/>
              <w:bottom w:val="nil"/>
              <w:right w:val="nil"/>
            </w:tcBorders>
            <w:shd w:val="clear" w:color="auto" w:fill="auto"/>
            <w:vAlign w:val="center"/>
            <w:hideMark/>
          </w:tcPr>
          <w:p w14:paraId="66A7F011"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w:t>
            </w:r>
          </w:p>
        </w:tc>
      </w:tr>
      <w:tr w:rsidR="00C6733C" w14:paraId="1F604C47" w14:textId="77777777">
        <w:trPr>
          <w:trHeight w:val="630"/>
          <w:jc w:val="center"/>
        </w:trPr>
        <w:tc>
          <w:tcPr>
            <w:tcW w:w="400" w:type="dxa"/>
            <w:tcBorders>
              <w:top w:val="nil"/>
              <w:left w:val="nil"/>
              <w:bottom w:val="nil"/>
              <w:right w:val="nil"/>
            </w:tcBorders>
            <w:shd w:val="clear" w:color="auto" w:fill="auto"/>
            <w:vAlign w:val="center"/>
            <w:hideMark/>
          </w:tcPr>
          <w:p w14:paraId="60D1B23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w:t>
            </w:r>
          </w:p>
        </w:tc>
        <w:tc>
          <w:tcPr>
            <w:tcW w:w="4600" w:type="dxa"/>
            <w:tcBorders>
              <w:top w:val="nil"/>
              <w:left w:val="nil"/>
              <w:bottom w:val="nil"/>
              <w:right w:val="nil"/>
            </w:tcBorders>
            <w:shd w:val="clear" w:color="auto" w:fill="auto"/>
            <w:vAlign w:val="center"/>
            <w:hideMark/>
          </w:tcPr>
          <w:p w14:paraId="67AF80A9"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para la Infraestructura Social Estatal</w:t>
            </w:r>
          </w:p>
        </w:tc>
        <w:tc>
          <w:tcPr>
            <w:tcW w:w="2200" w:type="dxa"/>
            <w:tcBorders>
              <w:top w:val="nil"/>
              <w:left w:val="nil"/>
              <w:bottom w:val="nil"/>
              <w:right w:val="nil"/>
            </w:tcBorders>
            <w:shd w:val="clear" w:color="auto" w:fill="auto"/>
            <w:vAlign w:val="center"/>
            <w:hideMark/>
          </w:tcPr>
          <w:p w14:paraId="52E7BD9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1,035,639,520.00</w:t>
            </w:r>
          </w:p>
        </w:tc>
      </w:tr>
      <w:tr w:rsidR="00C6733C" w14:paraId="62EC5F27" w14:textId="77777777">
        <w:trPr>
          <w:trHeight w:val="630"/>
          <w:jc w:val="center"/>
        </w:trPr>
        <w:tc>
          <w:tcPr>
            <w:tcW w:w="400" w:type="dxa"/>
            <w:tcBorders>
              <w:top w:val="nil"/>
              <w:left w:val="nil"/>
              <w:bottom w:val="nil"/>
              <w:right w:val="nil"/>
            </w:tcBorders>
            <w:shd w:val="clear" w:color="auto" w:fill="auto"/>
            <w:vAlign w:val="center"/>
            <w:hideMark/>
          </w:tcPr>
          <w:p w14:paraId="4C5B092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II</w:t>
            </w:r>
          </w:p>
        </w:tc>
        <w:tc>
          <w:tcPr>
            <w:tcW w:w="4600" w:type="dxa"/>
            <w:tcBorders>
              <w:top w:val="nil"/>
              <w:left w:val="nil"/>
              <w:bottom w:val="nil"/>
              <w:right w:val="nil"/>
            </w:tcBorders>
            <w:shd w:val="clear" w:color="auto" w:fill="auto"/>
            <w:vAlign w:val="center"/>
            <w:hideMark/>
          </w:tcPr>
          <w:p w14:paraId="5B7AC9F9"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para la Infraestructura Social Municipal</w:t>
            </w:r>
          </w:p>
        </w:tc>
        <w:tc>
          <w:tcPr>
            <w:tcW w:w="2200" w:type="dxa"/>
            <w:tcBorders>
              <w:top w:val="nil"/>
              <w:left w:val="nil"/>
              <w:bottom w:val="nil"/>
              <w:right w:val="nil"/>
            </w:tcBorders>
            <w:shd w:val="clear" w:color="auto" w:fill="auto"/>
            <w:vAlign w:val="center"/>
            <w:hideMark/>
          </w:tcPr>
          <w:p w14:paraId="10A34720"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7,508,212,616.00</w:t>
            </w:r>
          </w:p>
        </w:tc>
      </w:tr>
      <w:tr w:rsidR="00C6733C" w14:paraId="7BD9AA9C" w14:textId="77777777">
        <w:trPr>
          <w:trHeight w:val="510"/>
          <w:jc w:val="center"/>
        </w:trPr>
        <w:tc>
          <w:tcPr>
            <w:tcW w:w="400" w:type="dxa"/>
            <w:tcBorders>
              <w:top w:val="nil"/>
              <w:left w:val="nil"/>
              <w:bottom w:val="nil"/>
              <w:right w:val="nil"/>
            </w:tcBorders>
            <w:shd w:val="clear" w:color="auto" w:fill="auto"/>
            <w:vAlign w:val="bottom"/>
            <w:hideMark/>
          </w:tcPr>
          <w:p w14:paraId="210B54C7" w14:textId="77777777" w:rsidR="00C6733C" w:rsidRDefault="00C6733C">
            <w:pPr>
              <w:widowControl/>
              <w:autoSpaceDE/>
              <w:autoSpaceDN/>
              <w:jc w:val="right"/>
              <w:rPr>
                <w:rFonts w:ascii="Arial" w:eastAsia="Times New Roman" w:hAnsi="Arial" w:cs="Arial"/>
                <w:color w:val="000000"/>
                <w:lang w:bidi="ar-SA"/>
              </w:rPr>
            </w:pPr>
          </w:p>
        </w:tc>
        <w:tc>
          <w:tcPr>
            <w:tcW w:w="4600" w:type="dxa"/>
            <w:tcBorders>
              <w:top w:val="nil"/>
              <w:left w:val="nil"/>
              <w:bottom w:val="nil"/>
              <w:right w:val="nil"/>
            </w:tcBorders>
            <w:shd w:val="clear" w:color="auto" w:fill="auto"/>
            <w:vAlign w:val="center"/>
            <w:hideMark/>
          </w:tcPr>
          <w:p w14:paraId="4AC02890" w14:textId="77777777" w:rsidR="00C6733C" w:rsidRDefault="006D0638">
            <w:pPr>
              <w:widowControl/>
              <w:autoSpaceDE/>
              <w:autoSpaceDN/>
              <w:jc w:val="both"/>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200" w:type="dxa"/>
            <w:tcBorders>
              <w:top w:val="nil"/>
              <w:left w:val="nil"/>
              <w:bottom w:val="nil"/>
              <w:right w:val="nil"/>
            </w:tcBorders>
            <w:shd w:val="clear" w:color="auto" w:fill="auto"/>
            <w:vAlign w:val="center"/>
            <w:hideMark/>
          </w:tcPr>
          <w:p w14:paraId="48E10716"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8,543,852,136.00</w:t>
            </w:r>
          </w:p>
        </w:tc>
      </w:tr>
    </w:tbl>
    <w:p w14:paraId="687317C8" w14:textId="77777777" w:rsidR="00C6733C" w:rsidRDefault="00C6733C">
      <w:pPr>
        <w:pStyle w:val="Textoindependiente"/>
        <w:rPr>
          <w:sz w:val="22"/>
          <w:szCs w:val="22"/>
        </w:rPr>
      </w:pPr>
    </w:p>
    <w:p w14:paraId="22645044" w14:textId="77777777" w:rsidR="00C6733C" w:rsidRDefault="006D0638">
      <w:pPr>
        <w:widowControl/>
        <w:autoSpaceDE/>
        <w:autoSpaceDN/>
        <w:jc w:val="both"/>
        <w:rPr>
          <w:rFonts w:ascii="Arial" w:hAnsi="Arial" w:cs="Arial"/>
          <w:b/>
        </w:rPr>
      </w:pPr>
      <w:r>
        <w:rPr>
          <w:rFonts w:ascii="Arial" w:hAnsi="Arial" w:cs="Arial"/>
          <w:b/>
        </w:rPr>
        <w:t xml:space="preserve">Artículo 57. </w:t>
      </w:r>
      <w:r>
        <w:rPr>
          <w:rFonts w:ascii="Arial" w:hAnsi="Arial" w:cs="Arial"/>
        </w:rPr>
        <w:t>Del Fondo de Aportaciones Múltiples, el Estado ejercerá la cantidad de $</w:t>
      </w:r>
      <w:r>
        <w:rPr>
          <w:rFonts w:ascii="Arial" w:eastAsia="Times New Roman" w:hAnsi="Arial" w:cs="Arial"/>
          <w:lang w:bidi="ar-SA"/>
        </w:rPr>
        <w:t xml:space="preserve">1,321,034,141.00 </w:t>
      </w:r>
      <w:r>
        <w:rPr>
          <w:rFonts w:ascii="Arial" w:hAnsi="Arial" w:cs="Arial"/>
        </w:rPr>
        <w:t>(</w:t>
      </w:r>
      <w:r>
        <w:rPr>
          <w:rFonts w:ascii="Arial" w:eastAsia="Times New Roman" w:hAnsi="Arial" w:cs="Arial"/>
          <w:color w:val="000000"/>
          <w:lang w:bidi="ar-SA"/>
        </w:rPr>
        <w:t xml:space="preserve">Un mil trescientos veintiún millones treinta y cuatro mil ciento cuarenta y un pesos </w:t>
      </w:r>
      <w:r>
        <w:rPr>
          <w:rFonts w:ascii="Arial" w:hAnsi="Arial" w:cs="Arial"/>
        </w:rPr>
        <w:t>00/100 M.N.) misma que se integra de los siguientes Sub-fondos:</w:t>
      </w:r>
    </w:p>
    <w:p w14:paraId="7D67F6CC" w14:textId="77777777" w:rsidR="00C6733C" w:rsidRDefault="00C6733C">
      <w:pPr>
        <w:pStyle w:val="Textoindependiente"/>
        <w:rPr>
          <w:sz w:val="22"/>
          <w:szCs w:val="22"/>
        </w:rPr>
      </w:pPr>
    </w:p>
    <w:tbl>
      <w:tblPr>
        <w:tblW w:w="7220" w:type="dxa"/>
        <w:jc w:val="center"/>
        <w:tblCellMar>
          <w:left w:w="70" w:type="dxa"/>
          <w:right w:w="70" w:type="dxa"/>
        </w:tblCellMar>
        <w:tblLook w:val="04A0" w:firstRow="1" w:lastRow="0" w:firstColumn="1" w:lastColumn="0" w:noHBand="0" w:noVBand="1"/>
      </w:tblPr>
      <w:tblGrid>
        <w:gridCol w:w="348"/>
        <w:gridCol w:w="5240"/>
        <w:gridCol w:w="1853"/>
      </w:tblGrid>
      <w:tr w:rsidR="00C6733C" w14:paraId="18750610" w14:textId="77777777">
        <w:trPr>
          <w:trHeight w:val="465"/>
          <w:jc w:val="center"/>
        </w:trPr>
        <w:tc>
          <w:tcPr>
            <w:tcW w:w="240" w:type="dxa"/>
            <w:tcBorders>
              <w:top w:val="nil"/>
              <w:left w:val="nil"/>
              <w:bottom w:val="nil"/>
              <w:right w:val="nil"/>
            </w:tcBorders>
            <w:shd w:val="clear" w:color="auto" w:fill="auto"/>
            <w:noWrap/>
            <w:hideMark/>
          </w:tcPr>
          <w:p w14:paraId="1873F5DC" w14:textId="77777777" w:rsidR="00C6733C" w:rsidRDefault="00C6733C">
            <w:pPr>
              <w:widowControl/>
              <w:autoSpaceDE/>
              <w:autoSpaceDN/>
              <w:rPr>
                <w:rFonts w:ascii="Arial" w:eastAsia="Times New Roman" w:hAnsi="Arial" w:cs="Arial"/>
                <w:lang w:bidi="ar-SA"/>
              </w:rPr>
            </w:pPr>
          </w:p>
        </w:tc>
        <w:tc>
          <w:tcPr>
            <w:tcW w:w="5240" w:type="dxa"/>
            <w:tcBorders>
              <w:top w:val="nil"/>
              <w:left w:val="nil"/>
              <w:bottom w:val="nil"/>
              <w:right w:val="nil"/>
            </w:tcBorders>
            <w:shd w:val="clear" w:color="auto" w:fill="auto"/>
            <w:noWrap/>
            <w:hideMark/>
          </w:tcPr>
          <w:p w14:paraId="33ABB53D" w14:textId="77777777" w:rsidR="00C6733C" w:rsidRDefault="00C6733C">
            <w:pPr>
              <w:widowControl/>
              <w:autoSpaceDE/>
              <w:autoSpaceDN/>
              <w:rPr>
                <w:rFonts w:ascii="Arial" w:eastAsia="Times New Roman" w:hAnsi="Arial" w:cs="Arial"/>
                <w:lang w:bidi="ar-SA"/>
              </w:rPr>
            </w:pPr>
          </w:p>
        </w:tc>
        <w:tc>
          <w:tcPr>
            <w:tcW w:w="1740" w:type="dxa"/>
            <w:tcBorders>
              <w:top w:val="nil"/>
              <w:left w:val="nil"/>
              <w:bottom w:val="nil"/>
              <w:right w:val="nil"/>
            </w:tcBorders>
            <w:shd w:val="clear" w:color="auto" w:fill="auto"/>
            <w:noWrap/>
            <w:vAlign w:val="center"/>
            <w:hideMark/>
          </w:tcPr>
          <w:p w14:paraId="5D54C777"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w:t>
            </w:r>
          </w:p>
        </w:tc>
      </w:tr>
      <w:tr w:rsidR="00C6733C" w14:paraId="4838506F" w14:textId="77777777">
        <w:trPr>
          <w:trHeight w:val="600"/>
          <w:jc w:val="center"/>
        </w:trPr>
        <w:tc>
          <w:tcPr>
            <w:tcW w:w="240" w:type="dxa"/>
            <w:tcBorders>
              <w:top w:val="nil"/>
              <w:left w:val="nil"/>
              <w:bottom w:val="nil"/>
              <w:right w:val="nil"/>
            </w:tcBorders>
            <w:shd w:val="clear" w:color="auto" w:fill="auto"/>
            <w:noWrap/>
            <w:vAlign w:val="center"/>
            <w:hideMark/>
          </w:tcPr>
          <w:p w14:paraId="5C76418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w:t>
            </w:r>
          </w:p>
        </w:tc>
        <w:tc>
          <w:tcPr>
            <w:tcW w:w="5240" w:type="dxa"/>
            <w:tcBorders>
              <w:top w:val="nil"/>
              <w:left w:val="nil"/>
              <w:bottom w:val="nil"/>
              <w:right w:val="nil"/>
            </w:tcBorders>
            <w:shd w:val="clear" w:color="auto" w:fill="auto"/>
            <w:vAlign w:val="center"/>
            <w:hideMark/>
          </w:tcPr>
          <w:p w14:paraId="3FBC5D83"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Múltiples para la Asistencia Social</w:t>
            </w:r>
          </w:p>
        </w:tc>
        <w:tc>
          <w:tcPr>
            <w:tcW w:w="1740" w:type="dxa"/>
            <w:tcBorders>
              <w:top w:val="nil"/>
              <w:left w:val="nil"/>
              <w:bottom w:val="nil"/>
              <w:right w:val="nil"/>
            </w:tcBorders>
            <w:shd w:val="clear" w:color="auto" w:fill="auto"/>
            <w:noWrap/>
            <w:vAlign w:val="center"/>
            <w:hideMark/>
          </w:tcPr>
          <w:p w14:paraId="385C4E6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632,034,898.00</w:t>
            </w:r>
          </w:p>
        </w:tc>
      </w:tr>
      <w:tr w:rsidR="00C6733C" w14:paraId="5AECD965" w14:textId="77777777">
        <w:trPr>
          <w:trHeight w:val="600"/>
          <w:jc w:val="center"/>
        </w:trPr>
        <w:tc>
          <w:tcPr>
            <w:tcW w:w="240" w:type="dxa"/>
            <w:tcBorders>
              <w:top w:val="nil"/>
              <w:left w:val="nil"/>
              <w:bottom w:val="nil"/>
              <w:right w:val="nil"/>
            </w:tcBorders>
            <w:shd w:val="clear" w:color="auto" w:fill="auto"/>
            <w:noWrap/>
            <w:vAlign w:val="center"/>
            <w:hideMark/>
          </w:tcPr>
          <w:p w14:paraId="337280B3"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II</w:t>
            </w:r>
          </w:p>
        </w:tc>
        <w:tc>
          <w:tcPr>
            <w:tcW w:w="5240" w:type="dxa"/>
            <w:tcBorders>
              <w:top w:val="nil"/>
              <w:left w:val="nil"/>
              <w:bottom w:val="nil"/>
              <w:right w:val="nil"/>
            </w:tcBorders>
            <w:shd w:val="clear" w:color="auto" w:fill="auto"/>
            <w:vAlign w:val="center"/>
            <w:hideMark/>
          </w:tcPr>
          <w:p w14:paraId="4AC02CB7"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Múltiples para la Infraestructura Educativa Básica</w:t>
            </w:r>
          </w:p>
        </w:tc>
        <w:tc>
          <w:tcPr>
            <w:tcW w:w="1740" w:type="dxa"/>
            <w:tcBorders>
              <w:top w:val="nil"/>
              <w:left w:val="nil"/>
              <w:bottom w:val="nil"/>
              <w:right w:val="nil"/>
            </w:tcBorders>
            <w:shd w:val="clear" w:color="auto" w:fill="auto"/>
            <w:noWrap/>
            <w:vAlign w:val="center"/>
            <w:hideMark/>
          </w:tcPr>
          <w:p w14:paraId="4980529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416,770,166.00</w:t>
            </w:r>
          </w:p>
        </w:tc>
      </w:tr>
      <w:tr w:rsidR="00C6733C" w14:paraId="5E38499D" w14:textId="77777777">
        <w:trPr>
          <w:trHeight w:val="600"/>
          <w:jc w:val="center"/>
        </w:trPr>
        <w:tc>
          <w:tcPr>
            <w:tcW w:w="240" w:type="dxa"/>
            <w:tcBorders>
              <w:top w:val="nil"/>
              <w:left w:val="nil"/>
              <w:bottom w:val="nil"/>
              <w:right w:val="nil"/>
            </w:tcBorders>
            <w:shd w:val="clear" w:color="auto" w:fill="auto"/>
            <w:noWrap/>
            <w:vAlign w:val="center"/>
            <w:hideMark/>
          </w:tcPr>
          <w:p w14:paraId="4B5CEB8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III</w:t>
            </w:r>
          </w:p>
        </w:tc>
        <w:tc>
          <w:tcPr>
            <w:tcW w:w="5240" w:type="dxa"/>
            <w:tcBorders>
              <w:top w:val="nil"/>
              <w:left w:val="nil"/>
              <w:bottom w:val="nil"/>
              <w:right w:val="nil"/>
            </w:tcBorders>
            <w:shd w:val="clear" w:color="auto" w:fill="auto"/>
            <w:vAlign w:val="center"/>
            <w:hideMark/>
          </w:tcPr>
          <w:p w14:paraId="46C49334"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 xml:space="preserve">Fondo de Aportaciones Múltiples para la Infraestructura Educativa Superior </w:t>
            </w:r>
          </w:p>
        </w:tc>
        <w:tc>
          <w:tcPr>
            <w:tcW w:w="1740" w:type="dxa"/>
            <w:tcBorders>
              <w:top w:val="nil"/>
              <w:left w:val="nil"/>
              <w:bottom w:val="nil"/>
              <w:right w:val="nil"/>
            </w:tcBorders>
            <w:shd w:val="clear" w:color="auto" w:fill="auto"/>
            <w:noWrap/>
            <w:vAlign w:val="center"/>
            <w:hideMark/>
          </w:tcPr>
          <w:p w14:paraId="7E5000B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249,692,978.00</w:t>
            </w:r>
          </w:p>
        </w:tc>
      </w:tr>
      <w:tr w:rsidR="00C6733C" w14:paraId="7AC20A14" w14:textId="77777777">
        <w:trPr>
          <w:trHeight w:val="600"/>
          <w:jc w:val="center"/>
        </w:trPr>
        <w:tc>
          <w:tcPr>
            <w:tcW w:w="240" w:type="dxa"/>
            <w:tcBorders>
              <w:top w:val="nil"/>
              <w:left w:val="nil"/>
              <w:bottom w:val="nil"/>
              <w:right w:val="nil"/>
            </w:tcBorders>
            <w:shd w:val="clear" w:color="auto" w:fill="auto"/>
            <w:noWrap/>
            <w:vAlign w:val="center"/>
            <w:hideMark/>
          </w:tcPr>
          <w:p w14:paraId="306D03D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IV</w:t>
            </w:r>
          </w:p>
        </w:tc>
        <w:tc>
          <w:tcPr>
            <w:tcW w:w="5240" w:type="dxa"/>
            <w:tcBorders>
              <w:top w:val="nil"/>
              <w:left w:val="nil"/>
              <w:bottom w:val="nil"/>
              <w:right w:val="nil"/>
            </w:tcBorders>
            <w:shd w:val="clear" w:color="auto" w:fill="auto"/>
            <w:vAlign w:val="center"/>
            <w:hideMark/>
          </w:tcPr>
          <w:p w14:paraId="61396051"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Múltiples para la Infraestructura Educativa Me</w:t>
            </w:r>
            <w:r>
              <w:rPr>
                <w:rFonts w:ascii="Arial" w:eastAsia="Times New Roman" w:hAnsi="Arial" w:cs="Arial"/>
                <w:color w:val="000000"/>
                <w:lang w:bidi="ar-SA"/>
              </w:rPr>
              <w:t>dia Superior</w:t>
            </w:r>
          </w:p>
        </w:tc>
        <w:tc>
          <w:tcPr>
            <w:tcW w:w="1740" w:type="dxa"/>
            <w:tcBorders>
              <w:top w:val="nil"/>
              <w:left w:val="nil"/>
              <w:bottom w:val="nil"/>
              <w:right w:val="nil"/>
            </w:tcBorders>
            <w:shd w:val="clear" w:color="auto" w:fill="auto"/>
            <w:noWrap/>
            <w:vAlign w:val="center"/>
            <w:hideMark/>
          </w:tcPr>
          <w:p w14:paraId="7130DE0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22,536,099.00</w:t>
            </w:r>
          </w:p>
        </w:tc>
      </w:tr>
      <w:tr w:rsidR="00C6733C" w14:paraId="7493CF60" w14:textId="77777777">
        <w:trPr>
          <w:trHeight w:val="600"/>
          <w:jc w:val="center"/>
        </w:trPr>
        <w:tc>
          <w:tcPr>
            <w:tcW w:w="240" w:type="dxa"/>
            <w:tcBorders>
              <w:top w:val="nil"/>
              <w:left w:val="nil"/>
              <w:bottom w:val="nil"/>
              <w:right w:val="nil"/>
            </w:tcBorders>
            <w:shd w:val="clear" w:color="auto" w:fill="auto"/>
            <w:noWrap/>
            <w:vAlign w:val="bottom"/>
            <w:hideMark/>
          </w:tcPr>
          <w:p w14:paraId="01099E2D" w14:textId="77777777" w:rsidR="00C6733C" w:rsidRDefault="00C6733C">
            <w:pPr>
              <w:widowControl/>
              <w:autoSpaceDE/>
              <w:autoSpaceDN/>
              <w:jc w:val="right"/>
              <w:rPr>
                <w:rFonts w:ascii="Arial" w:eastAsia="Times New Roman" w:hAnsi="Arial" w:cs="Arial"/>
                <w:color w:val="000000"/>
                <w:lang w:bidi="ar-SA"/>
              </w:rPr>
            </w:pPr>
          </w:p>
        </w:tc>
        <w:tc>
          <w:tcPr>
            <w:tcW w:w="5240" w:type="dxa"/>
            <w:tcBorders>
              <w:top w:val="nil"/>
              <w:left w:val="nil"/>
              <w:bottom w:val="nil"/>
              <w:right w:val="nil"/>
            </w:tcBorders>
            <w:shd w:val="clear" w:color="auto" w:fill="auto"/>
            <w:noWrap/>
            <w:vAlign w:val="center"/>
            <w:hideMark/>
          </w:tcPr>
          <w:p w14:paraId="6905D007"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740" w:type="dxa"/>
            <w:tcBorders>
              <w:top w:val="nil"/>
              <w:left w:val="nil"/>
              <w:bottom w:val="nil"/>
              <w:right w:val="nil"/>
            </w:tcBorders>
            <w:shd w:val="clear" w:color="auto" w:fill="auto"/>
            <w:noWrap/>
            <w:vAlign w:val="center"/>
            <w:hideMark/>
          </w:tcPr>
          <w:p w14:paraId="1F0A98C7"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1,321,034,141.00</w:t>
            </w:r>
          </w:p>
        </w:tc>
      </w:tr>
    </w:tbl>
    <w:p w14:paraId="658781D8" w14:textId="77777777" w:rsidR="00C6733C" w:rsidRDefault="00C6733C">
      <w:pPr>
        <w:pStyle w:val="Textoindependiente"/>
        <w:rPr>
          <w:sz w:val="22"/>
          <w:szCs w:val="22"/>
        </w:rPr>
      </w:pPr>
    </w:p>
    <w:p w14:paraId="1A8D31EF" w14:textId="77777777" w:rsidR="00C6733C" w:rsidRDefault="006D0638">
      <w:pPr>
        <w:widowControl/>
        <w:autoSpaceDE/>
        <w:autoSpaceDN/>
        <w:jc w:val="both"/>
        <w:rPr>
          <w:rFonts w:ascii="Arial" w:hAnsi="Arial" w:cs="Arial"/>
        </w:rPr>
      </w:pPr>
      <w:r>
        <w:rPr>
          <w:rFonts w:ascii="Arial" w:hAnsi="Arial" w:cs="Arial"/>
          <w:b/>
        </w:rPr>
        <w:t>Artículo 58.</w:t>
      </w:r>
      <w:r>
        <w:rPr>
          <w:rFonts w:ascii="Arial" w:hAnsi="Arial" w:cs="Arial"/>
        </w:rPr>
        <w:t xml:space="preserve"> Del Fondo de Aportaciones para la Educación Tecnológica y de Adultos, el Estado ejercerá la cantidad de $</w:t>
      </w:r>
      <w:r>
        <w:rPr>
          <w:rFonts w:ascii="Arial" w:eastAsia="Times New Roman" w:hAnsi="Arial" w:cs="Arial"/>
          <w:lang w:bidi="ar-SA"/>
        </w:rPr>
        <w:t xml:space="preserve">157,183,987.00 </w:t>
      </w:r>
      <w:r>
        <w:rPr>
          <w:rFonts w:ascii="Arial" w:hAnsi="Arial" w:cs="Arial"/>
        </w:rPr>
        <w:t>(</w:t>
      </w:r>
      <w:r>
        <w:rPr>
          <w:rFonts w:ascii="Arial" w:eastAsia="Times New Roman" w:hAnsi="Arial" w:cs="Arial"/>
          <w:color w:val="000000"/>
          <w:lang w:bidi="ar-SA"/>
        </w:rPr>
        <w:t xml:space="preserve">Ciento cincuenta y siete millones ciento ochenta y tres mil novecientos ochenta y siete pesos </w:t>
      </w:r>
      <w:r>
        <w:rPr>
          <w:rFonts w:ascii="Arial" w:hAnsi="Arial" w:cs="Arial"/>
        </w:rPr>
        <w:t xml:space="preserve">00/100 M.N.), de acuerdo a las </w:t>
      </w:r>
      <w:r>
        <w:rPr>
          <w:rFonts w:ascii="Arial" w:hAnsi="Arial" w:cs="Arial"/>
        </w:rPr>
        <w:t>disposiciones legales aplicables.</w:t>
      </w:r>
    </w:p>
    <w:p w14:paraId="35C157F8" w14:textId="77777777" w:rsidR="00C6733C" w:rsidRDefault="00C6733C">
      <w:pPr>
        <w:pStyle w:val="Textoindependiente"/>
        <w:rPr>
          <w:sz w:val="22"/>
          <w:szCs w:val="22"/>
        </w:rPr>
      </w:pPr>
    </w:p>
    <w:p w14:paraId="55589D22" w14:textId="77777777" w:rsidR="00C6733C" w:rsidRDefault="006D0638">
      <w:pPr>
        <w:widowControl/>
        <w:autoSpaceDE/>
        <w:autoSpaceDN/>
        <w:jc w:val="both"/>
        <w:rPr>
          <w:rFonts w:ascii="Arial" w:hAnsi="Arial" w:cs="Arial"/>
        </w:rPr>
      </w:pPr>
      <w:r>
        <w:rPr>
          <w:rFonts w:ascii="Arial" w:hAnsi="Arial" w:cs="Arial"/>
          <w:b/>
        </w:rPr>
        <w:t>Artículo 59</w:t>
      </w:r>
      <w:r>
        <w:rPr>
          <w:rFonts w:ascii="Arial" w:hAnsi="Arial" w:cs="Arial"/>
        </w:rPr>
        <w:t>. Del Fondo de Aportaciones para la Seguridad Pública de los Estados y del Distrito Federal, el Estado ejercerá la cantidad de $</w:t>
      </w:r>
      <w:r>
        <w:rPr>
          <w:rFonts w:ascii="Arial" w:eastAsia="Times New Roman" w:hAnsi="Arial" w:cs="Arial"/>
          <w:lang w:bidi="ar-SA"/>
        </w:rPr>
        <w:t xml:space="preserve">223,814,745.00 </w:t>
      </w:r>
      <w:r>
        <w:rPr>
          <w:rFonts w:ascii="Arial" w:hAnsi="Arial" w:cs="Arial"/>
        </w:rPr>
        <w:t>(</w:t>
      </w:r>
      <w:r>
        <w:rPr>
          <w:rFonts w:ascii="Arial" w:eastAsia="Times New Roman" w:hAnsi="Arial" w:cs="Arial"/>
          <w:color w:val="000000"/>
          <w:lang w:bidi="ar-SA"/>
        </w:rPr>
        <w:t>Doscientos veintitrés millones ochocientos catorce mil setecientos</w:t>
      </w:r>
      <w:r>
        <w:rPr>
          <w:rFonts w:ascii="Arial" w:eastAsia="Times New Roman" w:hAnsi="Arial" w:cs="Arial"/>
          <w:color w:val="000000"/>
          <w:lang w:bidi="ar-SA"/>
        </w:rPr>
        <w:t xml:space="preserve"> cuarenta y cinco pesos 00</w:t>
      </w:r>
      <w:r>
        <w:rPr>
          <w:rFonts w:ascii="Arial" w:hAnsi="Arial" w:cs="Arial"/>
        </w:rPr>
        <w:t>/100 M.N.), de acuerdo a las disposiciones legales aplicables.</w:t>
      </w:r>
    </w:p>
    <w:p w14:paraId="43910B9A" w14:textId="77777777" w:rsidR="00C6733C" w:rsidRDefault="00C6733C">
      <w:pPr>
        <w:pStyle w:val="Textoindependiente"/>
        <w:rPr>
          <w:sz w:val="22"/>
          <w:szCs w:val="22"/>
        </w:rPr>
      </w:pPr>
    </w:p>
    <w:p w14:paraId="2E76DC27" w14:textId="77777777" w:rsidR="00C6733C" w:rsidRDefault="006D0638">
      <w:pPr>
        <w:widowControl/>
        <w:autoSpaceDE/>
        <w:autoSpaceDN/>
        <w:jc w:val="both"/>
        <w:rPr>
          <w:rFonts w:ascii="Arial" w:hAnsi="Arial" w:cs="Arial"/>
        </w:rPr>
      </w:pPr>
      <w:r>
        <w:rPr>
          <w:rFonts w:ascii="Arial" w:hAnsi="Arial" w:cs="Arial"/>
          <w:b/>
        </w:rPr>
        <w:t>Artículo 60.</w:t>
      </w:r>
      <w:r>
        <w:rPr>
          <w:rFonts w:ascii="Arial" w:hAnsi="Arial" w:cs="Arial"/>
        </w:rPr>
        <w:t xml:space="preserve"> Del Fondo de Aportaciones para el Fortalecimiento de las Entidades Federativas, el Estado ejercerá la cantidad de $</w:t>
      </w:r>
      <w:r>
        <w:rPr>
          <w:rFonts w:ascii="Arial" w:eastAsia="Times New Roman" w:hAnsi="Arial" w:cs="Arial"/>
          <w:lang w:bidi="ar-SA"/>
        </w:rPr>
        <w:t>2,136,215,692.00</w:t>
      </w:r>
      <w:r>
        <w:rPr>
          <w:rFonts w:ascii="Arial" w:hAnsi="Arial" w:cs="Arial"/>
        </w:rPr>
        <w:t xml:space="preserve"> (</w:t>
      </w:r>
      <w:r>
        <w:rPr>
          <w:rFonts w:ascii="Arial" w:eastAsia="Times New Roman" w:hAnsi="Arial" w:cs="Arial"/>
          <w:color w:val="000000"/>
          <w:lang w:bidi="ar-SA"/>
        </w:rPr>
        <w:t>Dos mil ciento trein</w:t>
      </w:r>
      <w:r>
        <w:rPr>
          <w:rFonts w:ascii="Arial" w:eastAsia="Times New Roman" w:hAnsi="Arial" w:cs="Arial"/>
          <w:color w:val="000000"/>
          <w:lang w:bidi="ar-SA"/>
        </w:rPr>
        <w:t xml:space="preserve">ta y seis millones doscientos quince mil seiscientos noventa y dos pesos </w:t>
      </w:r>
      <w:r>
        <w:rPr>
          <w:rFonts w:ascii="Arial" w:hAnsi="Arial" w:cs="Arial"/>
        </w:rPr>
        <w:t>00/100 M.N.), de acuerdo a las disposiciones legales aplicables.</w:t>
      </w:r>
    </w:p>
    <w:p w14:paraId="20E88967" w14:textId="77777777" w:rsidR="00C6733C" w:rsidRDefault="00C6733C">
      <w:pPr>
        <w:pStyle w:val="Textoindependiente"/>
        <w:rPr>
          <w:sz w:val="22"/>
          <w:szCs w:val="22"/>
        </w:rPr>
      </w:pPr>
    </w:p>
    <w:p w14:paraId="13EC07F7" w14:textId="77777777" w:rsidR="00C6733C" w:rsidRDefault="006D0638">
      <w:pPr>
        <w:widowControl/>
        <w:autoSpaceDE/>
        <w:autoSpaceDN/>
        <w:jc w:val="both"/>
        <w:rPr>
          <w:rFonts w:ascii="Arial" w:hAnsi="Arial" w:cs="Arial"/>
        </w:rPr>
      </w:pPr>
      <w:r>
        <w:rPr>
          <w:rFonts w:ascii="Arial" w:hAnsi="Arial" w:cs="Arial"/>
          <w:b/>
        </w:rPr>
        <w:t xml:space="preserve">Artículo 61. </w:t>
      </w:r>
      <w:r>
        <w:rPr>
          <w:rFonts w:ascii="Arial" w:hAnsi="Arial" w:cs="Arial"/>
        </w:rPr>
        <w:t>Del Fondo de Aportaciones para el Fortalecimiento de los Municipios y de las Demarcaciones Territoriales</w:t>
      </w:r>
      <w:r>
        <w:rPr>
          <w:rFonts w:ascii="Arial" w:hAnsi="Arial" w:cs="Arial"/>
        </w:rPr>
        <w:t xml:space="preserve"> se ejercerá la cantidad de $</w:t>
      </w:r>
      <w:r>
        <w:rPr>
          <w:rFonts w:ascii="Arial" w:eastAsia="Times New Roman" w:hAnsi="Arial" w:cs="Arial"/>
          <w:lang w:bidi="ar-SA"/>
        </w:rPr>
        <w:t>2,790,562,744.00</w:t>
      </w:r>
      <w:r>
        <w:rPr>
          <w:rFonts w:ascii="Arial" w:hAnsi="Arial" w:cs="Arial"/>
        </w:rPr>
        <w:t xml:space="preserve"> (</w:t>
      </w:r>
      <w:r>
        <w:rPr>
          <w:rFonts w:ascii="Arial" w:eastAsia="Times New Roman" w:hAnsi="Arial" w:cs="Arial"/>
          <w:color w:val="000000"/>
          <w:lang w:bidi="ar-SA"/>
        </w:rPr>
        <w:t xml:space="preserve">Dos mil setecientos noventa millones quinientos sesenta y dos mil setecientos cuarenta y cuatro pesos </w:t>
      </w:r>
      <w:r>
        <w:rPr>
          <w:rFonts w:ascii="Arial" w:hAnsi="Arial" w:cs="Arial"/>
        </w:rPr>
        <w:t>00/100 M.N.), de acuerdo a las disposiciones legales aplicables.</w:t>
      </w:r>
    </w:p>
    <w:p w14:paraId="60FA5683" w14:textId="77777777" w:rsidR="00C6733C" w:rsidRDefault="00C6733C">
      <w:pPr>
        <w:pStyle w:val="Textoindependiente"/>
        <w:rPr>
          <w:sz w:val="22"/>
          <w:szCs w:val="22"/>
        </w:rPr>
      </w:pPr>
    </w:p>
    <w:p w14:paraId="7ED5B9E0" w14:textId="77777777" w:rsidR="00C6733C" w:rsidRDefault="006D0638">
      <w:pPr>
        <w:pStyle w:val="Textoindependiente"/>
        <w:jc w:val="both"/>
        <w:rPr>
          <w:sz w:val="22"/>
          <w:szCs w:val="22"/>
        </w:rPr>
      </w:pPr>
      <w:r>
        <w:rPr>
          <w:b/>
          <w:bCs/>
          <w:sz w:val="22"/>
          <w:szCs w:val="22"/>
        </w:rPr>
        <w:t xml:space="preserve">Artículo 62. </w:t>
      </w:r>
      <w:r>
        <w:rPr>
          <w:sz w:val="22"/>
          <w:szCs w:val="22"/>
        </w:rPr>
        <w:t>Los Ejecutores de gasto a lo</w:t>
      </w:r>
      <w:r>
        <w:rPr>
          <w:sz w:val="22"/>
          <w:szCs w:val="22"/>
        </w:rPr>
        <w:t>s que se asignen recursos correspondientes a los Fondos de Aportaciones, serán responsables de:</w:t>
      </w:r>
    </w:p>
    <w:p w14:paraId="6848C1DB" w14:textId="77777777" w:rsidR="00C6733C" w:rsidRDefault="00C6733C">
      <w:pPr>
        <w:pStyle w:val="Textoindependiente"/>
        <w:jc w:val="both"/>
        <w:rPr>
          <w:sz w:val="22"/>
          <w:szCs w:val="22"/>
        </w:rPr>
      </w:pPr>
    </w:p>
    <w:p w14:paraId="4A41D596" w14:textId="77777777" w:rsidR="00C6733C" w:rsidRDefault="006D0638">
      <w:pPr>
        <w:pStyle w:val="Textoindependiente"/>
        <w:numPr>
          <w:ilvl w:val="0"/>
          <w:numId w:val="11"/>
        </w:numPr>
        <w:tabs>
          <w:tab w:val="left" w:pos="567"/>
        </w:tabs>
        <w:jc w:val="both"/>
        <w:rPr>
          <w:sz w:val="22"/>
          <w:szCs w:val="22"/>
        </w:rPr>
      </w:pPr>
      <w:r>
        <w:rPr>
          <w:sz w:val="22"/>
          <w:szCs w:val="22"/>
        </w:rPr>
        <w:tab/>
        <w:t>Ejercer, comprobar, informar, resguardar y custodiar la documentación que se genere en el ejercicio de los recursos asignados, en los términos de las disposic</w:t>
      </w:r>
      <w:r>
        <w:rPr>
          <w:sz w:val="22"/>
          <w:szCs w:val="22"/>
        </w:rPr>
        <w:t>iones legales aplicables, ante los Órganos de Control y Fiscalización Estatales y Federales;</w:t>
      </w:r>
    </w:p>
    <w:p w14:paraId="5AABABF7" w14:textId="77777777" w:rsidR="00C6733C" w:rsidRDefault="00C6733C">
      <w:pPr>
        <w:pStyle w:val="Textoindependiente"/>
        <w:tabs>
          <w:tab w:val="left" w:pos="567"/>
        </w:tabs>
        <w:ind w:left="644"/>
        <w:jc w:val="both"/>
        <w:rPr>
          <w:sz w:val="22"/>
          <w:szCs w:val="22"/>
        </w:rPr>
      </w:pPr>
    </w:p>
    <w:p w14:paraId="06F0FFB8" w14:textId="77777777" w:rsidR="00C6733C" w:rsidRDefault="006D0638">
      <w:pPr>
        <w:pStyle w:val="Textoindependiente"/>
        <w:numPr>
          <w:ilvl w:val="0"/>
          <w:numId w:val="11"/>
        </w:numPr>
        <w:tabs>
          <w:tab w:val="left" w:pos="567"/>
        </w:tabs>
        <w:jc w:val="both"/>
        <w:rPr>
          <w:sz w:val="22"/>
          <w:szCs w:val="22"/>
        </w:rPr>
      </w:pPr>
      <w:r>
        <w:rPr>
          <w:sz w:val="22"/>
          <w:szCs w:val="22"/>
        </w:rPr>
        <w:tab/>
        <w:t xml:space="preserve">Respecto de la aplicación de los mismos, informar los avances físico- financieros, a la Secretaría, así como el cumplimiento de sus objetivos, metas y </w:t>
      </w:r>
      <w:r>
        <w:rPr>
          <w:sz w:val="22"/>
          <w:szCs w:val="22"/>
        </w:rPr>
        <w:t>resultados de los programas presupuestarios, de conformidad con lo dispuesto en la Ley de Coordinación Fiscal y demás disposiciones Federales y Estatales aplicables, y</w:t>
      </w:r>
    </w:p>
    <w:p w14:paraId="668EF947" w14:textId="77777777" w:rsidR="00C6733C" w:rsidRDefault="00C6733C">
      <w:pPr>
        <w:pStyle w:val="Prrafodelista"/>
        <w:spacing w:before="0"/>
      </w:pPr>
    </w:p>
    <w:p w14:paraId="15FE04EB" w14:textId="77777777" w:rsidR="00C6733C" w:rsidRDefault="006D0638">
      <w:pPr>
        <w:pStyle w:val="Textoindependiente"/>
        <w:numPr>
          <w:ilvl w:val="0"/>
          <w:numId w:val="11"/>
        </w:numPr>
        <w:tabs>
          <w:tab w:val="left" w:pos="567"/>
        </w:tabs>
        <w:jc w:val="both"/>
        <w:rPr>
          <w:sz w:val="22"/>
          <w:szCs w:val="22"/>
        </w:rPr>
      </w:pPr>
      <w:r>
        <w:rPr>
          <w:sz w:val="22"/>
          <w:szCs w:val="22"/>
        </w:rPr>
        <w:tab/>
        <w:t>Reintegrar a la Tesorería de la Federación los recursos que al 31 de diciembre del 202</w:t>
      </w:r>
      <w:r>
        <w:rPr>
          <w:sz w:val="22"/>
          <w:szCs w:val="22"/>
        </w:rPr>
        <w:t>0 no se encuentren en los supuestos previstos en el Artículo 17 de la Ley de Disciplina, informando de ello a la Secretaría.</w:t>
      </w:r>
    </w:p>
    <w:p w14:paraId="4D0F62F8" w14:textId="77777777" w:rsidR="00C6733C" w:rsidRDefault="00C6733C">
      <w:pPr>
        <w:pStyle w:val="Textoindependiente"/>
        <w:rPr>
          <w:sz w:val="22"/>
          <w:szCs w:val="22"/>
        </w:rPr>
      </w:pPr>
    </w:p>
    <w:p w14:paraId="62549564" w14:textId="77777777" w:rsidR="00C6733C" w:rsidRDefault="006D0638">
      <w:pPr>
        <w:pStyle w:val="Textoindependiente"/>
        <w:jc w:val="both"/>
        <w:rPr>
          <w:sz w:val="22"/>
          <w:szCs w:val="22"/>
        </w:rPr>
      </w:pPr>
      <w:r>
        <w:rPr>
          <w:sz w:val="22"/>
          <w:szCs w:val="22"/>
        </w:rPr>
        <w:t>Los montos señalados en este Título estarán sujetos a reducción o ampliación, según sea el caso, dependiendo del importe publicado</w:t>
      </w:r>
      <w:r>
        <w:rPr>
          <w:sz w:val="22"/>
          <w:szCs w:val="22"/>
        </w:rPr>
        <w:t xml:space="preserve"> en el Presupuesto de Egresos de la Federación 2020 o el que oficialmente comuniquen al Estado las Dependencias o Entidades Federales que correspondan.</w:t>
      </w:r>
    </w:p>
    <w:p w14:paraId="61F3FA3D" w14:textId="77777777" w:rsidR="00C6733C" w:rsidRDefault="00C6733C">
      <w:pPr>
        <w:pStyle w:val="Textoindependiente"/>
        <w:tabs>
          <w:tab w:val="left" w:pos="6634"/>
        </w:tabs>
        <w:ind w:right="-29"/>
        <w:rPr>
          <w:sz w:val="22"/>
          <w:szCs w:val="22"/>
        </w:rPr>
      </w:pPr>
    </w:p>
    <w:p w14:paraId="67D3D8FD" w14:textId="77777777" w:rsidR="00C6733C" w:rsidRDefault="006D0638">
      <w:pPr>
        <w:pStyle w:val="Ttulo1"/>
        <w:ind w:left="0" w:right="-29"/>
        <w:rPr>
          <w:sz w:val="22"/>
          <w:szCs w:val="22"/>
        </w:rPr>
      </w:pPr>
      <w:r>
        <w:rPr>
          <w:sz w:val="22"/>
          <w:szCs w:val="22"/>
        </w:rPr>
        <w:t xml:space="preserve">Título Quinto </w:t>
      </w:r>
    </w:p>
    <w:p w14:paraId="45385227" w14:textId="77777777" w:rsidR="00C6733C" w:rsidRDefault="006D0638">
      <w:pPr>
        <w:pStyle w:val="Ttulo1"/>
        <w:ind w:left="0" w:right="-29"/>
        <w:rPr>
          <w:sz w:val="22"/>
          <w:szCs w:val="22"/>
        </w:rPr>
      </w:pPr>
      <w:r>
        <w:rPr>
          <w:sz w:val="22"/>
          <w:szCs w:val="22"/>
        </w:rPr>
        <w:t>Transferencias Federales Etiquetadas</w:t>
      </w:r>
    </w:p>
    <w:p w14:paraId="1CB47FC2" w14:textId="77777777" w:rsidR="00C6733C" w:rsidRDefault="00C6733C">
      <w:pPr>
        <w:pStyle w:val="Textoindependiente"/>
        <w:rPr>
          <w:b/>
          <w:sz w:val="22"/>
          <w:szCs w:val="22"/>
        </w:rPr>
      </w:pPr>
    </w:p>
    <w:p w14:paraId="5395E3EE" w14:textId="77777777" w:rsidR="00C6733C" w:rsidRDefault="006D0638">
      <w:pPr>
        <w:pStyle w:val="Textoindependiente"/>
        <w:jc w:val="both"/>
        <w:rPr>
          <w:sz w:val="22"/>
          <w:szCs w:val="22"/>
        </w:rPr>
      </w:pPr>
      <w:r>
        <w:rPr>
          <w:b/>
          <w:sz w:val="22"/>
          <w:szCs w:val="22"/>
        </w:rPr>
        <w:t xml:space="preserve">Artículo 63. </w:t>
      </w:r>
      <w:r>
        <w:rPr>
          <w:sz w:val="22"/>
          <w:szCs w:val="22"/>
        </w:rPr>
        <w:t>Las Transferencias Federales Etiqueta</w:t>
      </w:r>
      <w:r>
        <w:rPr>
          <w:sz w:val="22"/>
          <w:szCs w:val="22"/>
        </w:rPr>
        <w:t>das se constituyen además de los Fondos de Aportaciones, con los recursos que para el ejercicio fiscal 2020, el Gobierno Federal transfiere al Estado.</w:t>
      </w:r>
    </w:p>
    <w:p w14:paraId="385612FA" w14:textId="77777777" w:rsidR="00C6733C" w:rsidRDefault="00C6733C">
      <w:pPr>
        <w:pStyle w:val="Textoindependiente"/>
        <w:jc w:val="both"/>
        <w:rPr>
          <w:sz w:val="22"/>
          <w:szCs w:val="22"/>
        </w:rPr>
      </w:pPr>
    </w:p>
    <w:p w14:paraId="5922E1C7" w14:textId="77777777" w:rsidR="00C6733C" w:rsidRDefault="006D0638">
      <w:pPr>
        <w:pStyle w:val="Textoindependiente"/>
        <w:jc w:val="both"/>
        <w:rPr>
          <w:sz w:val="22"/>
          <w:szCs w:val="22"/>
        </w:rPr>
      </w:pPr>
      <w:r>
        <w:rPr>
          <w:sz w:val="22"/>
          <w:szCs w:val="22"/>
        </w:rPr>
        <w:t>Su ejercicio deberá cumplir con las disposiciones contenidas en las Leyes de: Disciplina, General, y Fed</w:t>
      </w:r>
      <w:r>
        <w:rPr>
          <w:sz w:val="22"/>
          <w:szCs w:val="22"/>
        </w:rPr>
        <w:t>eral de Presupuesto y Responsabilidad Hacendaria; el Decreto de Presupuesto de Egresos de la Federación del Ejercicio Fiscal 2020; Reglas de Operación y/o disposiciones contenidas en otros instrumentos jurídicos por los cuales se lleve a cabo la reasignaci</w:t>
      </w:r>
      <w:r>
        <w:rPr>
          <w:sz w:val="22"/>
          <w:szCs w:val="22"/>
        </w:rPr>
        <w:t>ón de recursos.</w:t>
      </w:r>
    </w:p>
    <w:p w14:paraId="2A3C6AC8" w14:textId="77777777" w:rsidR="00C6733C" w:rsidRDefault="00C6733C">
      <w:pPr>
        <w:pStyle w:val="Textoindependiente"/>
        <w:jc w:val="both"/>
        <w:rPr>
          <w:sz w:val="22"/>
          <w:szCs w:val="22"/>
        </w:rPr>
      </w:pPr>
    </w:p>
    <w:p w14:paraId="6AD94C2D" w14:textId="77777777" w:rsidR="00C6733C" w:rsidRDefault="006D0638">
      <w:pPr>
        <w:widowControl/>
        <w:autoSpaceDE/>
        <w:autoSpaceDN/>
        <w:jc w:val="both"/>
        <w:rPr>
          <w:rFonts w:ascii="Arial" w:hAnsi="Arial" w:cs="Arial"/>
          <w:b/>
        </w:rPr>
      </w:pPr>
      <w:r>
        <w:rPr>
          <w:rFonts w:ascii="Arial" w:hAnsi="Arial" w:cs="Arial"/>
          <w:b/>
        </w:rPr>
        <w:t xml:space="preserve">Artículo 64. </w:t>
      </w:r>
      <w:r>
        <w:rPr>
          <w:rFonts w:ascii="Arial" w:hAnsi="Arial" w:cs="Arial"/>
        </w:rPr>
        <w:t>Por concepto de Gasto Federalizado, se ejercerá la cantidad de $</w:t>
      </w:r>
      <w:r>
        <w:rPr>
          <w:rFonts w:ascii="Arial" w:eastAsia="Times New Roman" w:hAnsi="Arial" w:cs="Arial"/>
          <w:lang w:bidi="ar-SA"/>
        </w:rPr>
        <w:t xml:space="preserve">3,710,684,576.00 </w:t>
      </w:r>
      <w:r>
        <w:rPr>
          <w:rFonts w:ascii="Arial" w:hAnsi="Arial" w:cs="Arial"/>
        </w:rPr>
        <w:t>(</w:t>
      </w:r>
      <w:r>
        <w:rPr>
          <w:rFonts w:ascii="Arial" w:eastAsia="Times New Roman" w:hAnsi="Arial" w:cs="Arial"/>
          <w:color w:val="000000"/>
          <w:lang w:bidi="ar-SA"/>
        </w:rPr>
        <w:t xml:space="preserve">Tres mil setecientos diez millones seiscientos ochenta y cuatro mil quinientos setenta y seis pesos </w:t>
      </w:r>
      <w:r>
        <w:rPr>
          <w:rFonts w:ascii="Arial" w:hAnsi="Arial" w:cs="Arial"/>
        </w:rPr>
        <w:t>00/100 M.N.), integrada de las transferencia</w:t>
      </w:r>
      <w:r>
        <w:rPr>
          <w:rFonts w:ascii="Arial" w:hAnsi="Arial" w:cs="Arial"/>
        </w:rPr>
        <w:t>s siguientes:</w:t>
      </w:r>
    </w:p>
    <w:p w14:paraId="2D4C4C2A" w14:textId="77777777" w:rsidR="00C6733C" w:rsidRDefault="00C6733C">
      <w:pPr>
        <w:pStyle w:val="Textoindependiente"/>
        <w:rPr>
          <w:b/>
          <w:sz w:val="22"/>
          <w:szCs w:val="22"/>
        </w:rPr>
      </w:pPr>
    </w:p>
    <w:tbl>
      <w:tblPr>
        <w:tblW w:w="7797" w:type="dxa"/>
        <w:jc w:val="center"/>
        <w:tblCellMar>
          <w:left w:w="70" w:type="dxa"/>
          <w:right w:w="70" w:type="dxa"/>
        </w:tblCellMar>
        <w:tblLook w:val="04A0" w:firstRow="1" w:lastRow="0" w:firstColumn="1" w:lastColumn="0" w:noHBand="0" w:noVBand="1"/>
      </w:tblPr>
      <w:tblGrid>
        <w:gridCol w:w="5245"/>
        <w:gridCol w:w="2552"/>
      </w:tblGrid>
      <w:tr w:rsidR="00C6733C" w14:paraId="12AA6B51" w14:textId="77777777">
        <w:trPr>
          <w:trHeight w:val="465"/>
          <w:jc w:val="center"/>
        </w:trPr>
        <w:tc>
          <w:tcPr>
            <w:tcW w:w="5245" w:type="dxa"/>
            <w:tcBorders>
              <w:top w:val="nil"/>
              <w:left w:val="nil"/>
              <w:bottom w:val="nil"/>
              <w:right w:val="nil"/>
            </w:tcBorders>
            <w:shd w:val="clear" w:color="auto" w:fill="auto"/>
            <w:noWrap/>
            <w:vAlign w:val="bottom"/>
            <w:hideMark/>
          </w:tcPr>
          <w:p w14:paraId="6312BDCC" w14:textId="77777777" w:rsidR="00C6733C" w:rsidRDefault="00C6733C">
            <w:pPr>
              <w:widowControl/>
              <w:autoSpaceDE/>
              <w:autoSpaceDN/>
              <w:rPr>
                <w:rFonts w:ascii="Arial" w:eastAsia="Times New Roman" w:hAnsi="Arial" w:cs="Arial"/>
                <w:lang w:bidi="ar-SA"/>
              </w:rPr>
            </w:pPr>
          </w:p>
        </w:tc>
        <w:tc>
          <w:tcPr>
            <w:tcW w:w="2552" w:type="dxa"/>
            <w:tcBorders>
              <w:top w:val="nil"/>
              <w:left w:val="nil"/>
              <w:bottom w:val="nil"/>
              <w:right w:val="nil"/>
            </w:tcBorders>
            <w:shd w:val="clear" w:color="auto" w:fill="auto"/>
            <w:noWrap/>
            <w:vAlign w:val="center"/>
            <w:hideMark/>
          </w:tcPr>
          <w:p w14:paraId="61083371"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01F19545" w14:textId="77777777">
        <w:trPr>
          <w:trHeight w:val="600"/>
          <w:jc w:val="center"/>
        </w:trPr>
        <w:tc>
          <w:tcPr>
            <w:tcW w:w="5245" w:type="dxa"/>
            <w:tcBorders>
              <w:top w:val="nil"/>
              <w:left w:val="nil"/>
              <w:bottom w:val="nil"/>
              <w:right w:val="nil"/>
            </w:tcBorders>
            <w:shd w:val="clear" w:color="auto" w:fill="auto"/>
            <w:vAlign w:val="center"/>
            <w:hideMark/>
          </w:tcPr>
          <w:p w14:paraId="2EE3C02B" w14:textId="77777777" w:rsidR="00C6733C" w:rsidRDefault="006D0638">
            <w:pPr>
              <w:widowControl/>
              <w:autoSpaceDE/>
              <w:autoSpaceDN/>
              <w:rPr>
                <w:rFonts w:ascii="Arial" w:eastAsia="Times New Roman" w:hAnsi="Arial" w:cs="Arial"/>
                <w:lang w:bidi="ar-SA"/>
              </w:rPr>
            </w:pPr>
            <w:r>
              <w:rPr>
                <w:rFonts w:ascii="Arial" w:eastAsia="Times New Roman" w:hAnsi="Arial" w:cs="Arial"/>
                <w:lang w:bidi="ar-SA"/>
              </w:rPr>
              <w:t>Registro e Identificación de Población Fortalecimiento del Registro Civil del Estado de Oaxaca</w:t>
            </w:r>
          </w:p>
        </w:tc>
        <w:tc>
          <w:tcPr>
            <w:tcW w:w="2552" w:type="dxa"/>
            <w:tcBorders>
              <w:top w:val="nil"/>
              <w:left w:val="nil"/>
              <w:bottom w:val="nil"/>
              <w:right w:val="nil"/>
            </w:tcBorders>
            <w:shd w:val="clear" w:color="auto" w:fill="auto"/>
            <w:noWrap/>
            <w:vAlign w:val="center"/>
            <w:hideMark/>
          </w:tcPr>
          <w:p w14:paraId="724FFEDF"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2,050,466.00 </w:t>
            </w:r>
          </w:p>
        </w:tc>
      </w:tr>
      <w:tr w:rsidR="00C6733C" w14:paraId="6509B8D3" w14:textId="77777777">
        <w:trPr>
          <w:trHeight w:val="600"/>
          <w:jc w:val="center"/>
        </w:trPr>
        <w:tc>
          <w:tcPr>
            <w:tcW w:w="5245" w:type="dxa"/>
            <w:tcBorders>
              <w:top w:val="nil"/>
              <w:left w:val="nil"/>
              <w:bottom w:val="nil"/>
              <w:right w:val="nil"/>
            </w:tcBorders>
            <w:shd w:val="clear" w:color="auto" w:fill="auto"/>
            <w:vAlign w:val="center"/>
            <w:hideMark/>
          </w:tcPr>
          <w:p w14:paraId="2BF82D0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Agropecuario Catastrófico</w:t>
            </w:r>
          </w:p>
        </w:tc>
        <w:tc>
          <w:tcPr>
            <w:tcW w:w="2552" w:type="dxa"/>
            <w:tcBorders>
              <w:top w:val="nil"/>
              <w:left w:val="nil"/>
              <w:bottom w:val="nil"/>
              <w:right w:val="nil"/>
            </w:tcBorders>
            <w:shd w:val="clear" w:color="auto" w:fill="auto"/>
            <w:noWrap/>
            <w:vAlign w:val="center"/>
            <w:hideMark/>
          </w:tcPr>
          <w:p w14:paraId="6AE4C295"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89,888,603.00 </w:t>
            </w:r>
          </w:p>
        </w:tc>
      </w:tr>
      <w:tr w:rsidR="00C6733C" w14:paraId="5211C111" w14:textId="77777777">
        <w:trPr>
          <w:trHeight w:val="600"/>
          <w:jc w:val="center"/>
        </w:trPr>
        <w:tc>
          <w:tcPr>
            <w:tcW w:w="5245" w:type="dxa"/>
            <w:tcBorders>
              <w:top w:val="nil"/>
              <w:left w:val="nil"/>
              <w:bottom w:val="nil"/>
              <w:right w:val="nil"/>
            </w:tcBorders>
            <w:shd w:val="clear" w:color="auto" w:fill="auto"/>
            <w:vAlign w:val="center"/>
            <w:hideMark/>
          </w:tcPr>
          <w:p w14:paraId="410469A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Pecuario Satelital</w:t>
            </w:r>
          </w:p>
        </w:tc>
        <w:tc>
          <w:tcPr>
            <w:tcW w:w="2552" w:type="dxa"/>
            <w:tcBorders>
              <w:top w:val="nil"/>
              <w:left w:val="nil"/>
              <w:bottom w:val="nil"/>
              <w:right w:val="nil"/>
            </w:tcBorders>
            <w:shd w:val="clear" w:color="auto" w:fill="auto"/>
            <w:noWrap/>
            <w:vAlign w:val="center"/>
            <w:hideMark/>
          </w:tcPr>
          <w:p w14:paraId="615697FD"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9,527,383.00 </w:t>
            </w:r>
          </w:p>
        </w:tc>
      </w:tr>
      <w:tr w:rsidR="00C6733C" w14:paraId="7352D237" w14:textId="77777777">
        <w:trPr>
          <w:trHeight w:val="600"/>
          <w:jc w:val="center"/>
        </w:trPr>
        <w:tc>
          <w:tcPr>
            <w:tcW w:w="5245" w:type="dxa"/>
            <w:tcBorders>
              <w:top w:val="nil"/>
              <w:left w:val="nil"/>
              <w:bottom w:val="nil"/>
              <w:right w:val="nil"/>
            </w:tcBorders>
            <w:shd w:val="clear" w:color="auto" w:fill="auto"/>
            <w:vAlign w:val="center"/>
            <w:hideMark/>
          </w:tcPr>
          <w:p w14:paraId="0E28823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Agrícola Paramétrico</w:t>
            </w:r>
          </w:p>
        </w:tc>
        <w:tc>
          <w:tcPr>
            <w:tcW w:w="2552" w:type="dxa"/>
            <w:tcBorders>
              <w:top w:val="nil"/>
              <w:left w:val="nil"/>
              <w:bottom w:val="nil"/>
              <w:right w:val="nil"/>
            </w:tcBorders>
            <w:shd w:val="clear" w:color="auto" w:fill="auto"/>
            <w:noWrap/>
            <w:vAlign w:val="center"/>
            <w:hideMark/>
          </w:tcPr>
          <w:p w14:paraId="4317638C"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10,021,632.00 </w:t>
            </w:r>
          </w:p>
        </w:tc>
      </w:tr>
      <w:tr w:rsidR="00C6733C" w14:paraId="2D6A2F9C" w14:textId="77777777">
        <w:trPr>
          <w:trHeight w:val="600"/>
          <w:jc w:val="center"/>
        </w:trPr>
        <w:tc>
          <w:tcPr>
            <w:tcW w:w="5245" w:type="dxa"/>
            <w:tcBorders>
              <w:top w:val="nil"/>
              <w:left w:val="nil"/>
              <w:bottom w:val="nil"/>
              <w:right w:val="nil"/>
            </w:tcBorders>
            <w:shd w:val="clear" w:color="auto" w:fill="auto"/>
            <w:vAlign w:val="center"/>
            <w:hideMark/>
          </w:tcPr>
          <w:p w14:paraId="4B577873" w14:textId="77777777" w:rsidR="00C6733C" w:rsidRDefault="006D0638">
            <w:pPr>
              <w:widowControl/>
              <w:autoSpaceDE/>
              <w:autoSpaceDN/>
              <w:rPr>
                <w:rFonts w:ascii="Arial" w:eastAsia="Times New Roman" w:hAnsi="Arial" w:cs="Arial"/>
                <w:lang w:bidi="ar-SA"/>
              </w:rPr>
            </w:pPr>
            <w:r>
              <w:rPr>
                <w:rFonts w:ascii="Arial" w:eastAsia="Times New Roman" w:hAnsi="Arial" w:cs="Arial"/>
                <w:lang w:bidi="ar-SA"/>
              </w:rPr>
              <w:t>Capufe</w:t>
            </w:r>
          </w:p>
        </w:tc>
        <w:tc>
          <w:tcPr>
            <w:tcW w:w="2552" w:type="dxa"/>
            <w:tcBorders>
              <w:top w:val="nil"/>
              <w:left w:val="nil"/>
              <w:bottom w:val="nil"/>
              <w:right w:val="nil"/>
            </w:tcBorders>
            <w:shd w:val="clear" w:color="auto" w:fill="auto"/>
            <w:noWrap/>
            <w:vAlign w:val="center"/>
            <w:hideMark/>
          </w:tcPr>
          <w:p w14:paraId="75B49FFA"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5,385,454.00 </w:t>
            </w:r>
          </w:p>
        </w:tc>
      </w:tr>
      <w:tr w:rsidR="00C6733C" w14:paraId="07178189" w14:textId="77777777">
        <w:trPr>
          <w:trHeight w:val="600"/>
          <w:jc w:val="center"/>
        </w:trPr>
        <w:tc>
          <w:tcPr>
            <w:tcW w:w="5245" w:type="dxa"/>
            <w:tcBorders>
              <w:top w:val="nil"/>
              <w:left w:val="nil"/>
              <w:bottom w:val="nil"/>
              <w:right w:val="nil"/>
            </w:tcBorders>
            <w:shd w:val="clear" w:color="auto" w:fill="auto"/>
            <w:vAlign w:val="center"/>
            <w:hideMark/>
          </w:tcPr>
          <w:p w14:paraId="5DB13BD4"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Popular</w:t>
            </w:r>
          </w:p>
        </w:tc>
        <w:tc>
          <w:tcPr>
            <w:tcW w:w="2552" w:type="dxa"/>
            <w:tcBorders>
              <w:top w:val="nil"/>
              <w:left w:val="nil"/>
              <w:bottom w:val="nil"/>
              <w:right w:val="nil"/>
            </w:tcBorders>
            <w:shd w:val="clear" w:color="auto" w:fill="auto"/>
            <w:noWrap/>
            <w:vAlign w:val="center"/>
            <w:hideMark/>
          </w:tcPr>
          <w:p w14:paraId="73510AC8"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2,435,285,308.00 </w:t>
            </w:r>
          </w:p>
        </w:tc>
      </w:tr>
      <w:tr w:rsidR="00C6733C" w14:paraId="7177A740" w14:textId="77777777">
        <w:trPr>
          <w:trHeight w:val="600"/>
          <w:jc w:val="center"/>
        </w:trPr>
        <w:tc>
          <w:tcPr>
            <w:tcW w:w="5245" w:type="dxa"/>
            <w:tcBorders>
              <w:top w:val="nil"/>
              <w:left w:val="nil"/>
              <w:bottom w:val="nil"/>
              <w:right w:val="nil"/>
            </w:tcBorders>
            <w:shd w:val="clear" w:color="auto" w:fill="auto"/>
            <w:vAlign w:val="center"/>
            <w:hideMark/>
          </w:tcPr>
          <w:p w14:paraId="2BD1276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Atención a la Salud y Medicamentos Gratuitos para la Población sin Seguro Social Laboral</w:t>
            </w:r>
          </w:p>
        </w:tc>
        <w:tc>
          <w:tcPr>
            <w:tcW w:w="2552" w:type="dxa"/>
            <w:tcBorders>
              <w:top w:val="nil"/>
              <w:left w:val="nil"/>
              <w:bottom w:val="nil"/>
              <w:right w:val="nil"/>
            </w:tcBorders>
            <w:shd w:val="clear" w:color="auto" w:fill="auto"/>
            <w:noWrap/>
            <w:vAlign w:val="center"/>
            <w:hideMark/>
          </w:tcPr>
          <w:p w14:paraId="11E0A070"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222,368,015.00 </w:t>
            </w:r>
          </w:p>
        </w:tc>
      </w:tr>
      <w:tr w:rsidR="00C6733C" w14:paraId="1646362D" w14:textId="77777777">
        <w:trPr>
          <w:trHeight w:val="600"/>
          <w:jc w:val="center"/>
        </w:trPr>
        <w:tc>
          <w:tcPr>
            <w:tcW w:w="5245" w:type="dxa"/>
            <w:tcBorders>
              <w:top w:val="nil"/>
              <w:left w:val="nil"/>
              <w:bottom w:val="nil"/>
              <w:right w:val="nil"/>
            </w:tcBorders>
            <w:shd w:val="clear" w:color="auto" w:fill="auto"/>
            <w:vAlign w:val="center"/>
            <w:hideMark/>
          </w:tcPr>
          <w:p w14:paraId="165835C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Agua Potable, Alcantarillado y Saneamiento, Apartado Agua Limpia</w:t>
            </w:r>
          </w:p>
        </w:tc>
        <w:tc>
          <w:tcPr>
            <w:tcW w:w="2552" w:type="dxa"/>
            <w:tcBorders>
              <w:top w:val="nil"/>
              <w:left w:val="nil"/>
              <w:bottom w:val="nil"/>
              <w:right w:val="nil"/>
            </w:tcBorders>
            <w:shd w:val="clear" w:color="auto" w:fill="auto"/>
            <w:noWrap/>
            <w:vAlign w:val="center"/>
            <w:hideMark/>
          </w:tcPr>
          <w:p w14:paraId="511463D1"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1,414,350.00 </w:t>
            </w:r>
          </w:p>
        </w:tc>
      </w:tr>
      <w:tr w:rsidR="00C6733C" w14:paraId="3E762DF2" w14:textId="77777777">
        <w:trPr>
          <w:trHeight w:val="600"/>
          <w:jc w:val="center"/>
        </w:trPr>
        <w:tc>
          <w:tcPr>
            <w:tcW w:w="5245" w:type="dxa"/>
            <w:tcBorders>
              <w:top w:val="nil"/>
              <w:left w:val="nil"/>
              <w:bottom w:val="nil"/>
              <w:right w:val="nil"/>
            </w:tcBorders>
            <w:shd w:val="clear" w:color="auto" w:fill="auto"/>
            <w:vAlign w:val="center"/>
            <w:hideMark/>
          </w:tcPr>
          <w:p w14:paraId="1E99096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Agua Potable, Alcantarillado y Saneamiento, Apartado Urbano</w:t>
            </w:r>
          </w:p>
        </w:tc>
        <w:tc>
          <w:tcPr>
            <w:tcW w:w="2552" w:type="dxa"/>
            <w:tcBorders>
              <w:top w:val="nil"/>
              <w:left w:val="nil"/>
              <w:bottom w:val="nil"/>
              <w:right w:val="nil"/>
            </w:tcBorders>
            <w:shd w:val="clear" w:color="auto" w:fill="auto"/>
            <w:noWrap/>
            <w:vAlign w:val="center"/>
            <w:hideMark/>
          </w:tcPr>
          <w:p w14:paraId="7009AE72"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86,124,084.00 </w:t>
            </w:r>
          </w:p>
        </w:tc>
      </w:tr>
      <w:tr w:rsidR="00C6733C" w14:paraId="09047F49" w14:textId="77777777">
        <w:trPr>
          <w:trHeight w:val="600"/>
          <w:jc w:val="center"/>
        </w:trPr>
        <w:tc>
          <w:tcPr>
            <w:tcW w:w="5245" w:type="dxa"/>
            <w:tcBorders>
              <w:top w:val="nil"/>
              <w:left w:val="nil"/>
              <w:bottom w:val="nil"/>
              <w:right w:val="nil"/>
            </w:tcBorders>
            <w:shd w:val="clear" w:color="auto" w:fill="auto"/>
            <w:vAlign w:val="center"/>
            <w:hideMark/>
          </w:tcPr>
          <w:p w14:paraId="56CD715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Agua Potable, Alcantarillado y Saneamiento, Apartado Rural</w:t>
            </w:r>
          </w:p>
        </w:tc>
        <w:tc>
          <w:tcPr>
            <w:tcW w:w="2552" w:type="dxa"/>
            <w:tcBorders>
              <w:top w:val="nil"/>
              <w:left w:val="nil"/>
              <w:bottom w:val="nil"/>
              <w:right w:val="nil"/>
            </w:tcBorders>
            <w:shd w:val="clear" w:color="auto" w:fill="auto"/>
            <w:noWrap/>
            <w:vAlign w:val="center"/>
            <w:hideMark/>
          </w:tcPr>
          <w:p w14:paraId="2282A519"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33,975,481.00 </w:t>
            </w:r>
          </w:p>
        </w:tc>
      </w:tr>
      <w:tr w:rsidR="00C6733C" w14:paraId="7833D06A" w14:textId="77777777">
        <w:trPr>
          <w:trHeight w:val="600"/>
          <w:jc w:val="center"/>
        </w:trPr>
        <w:tc>
          <w:tcPr>
            <w:tcW w:w="5245" w:type="dxa"/>
            <w:tcBorders>
              <w:top w:val="nil"/>
              <w:left w:val="nil"/>
              <w:bottom w:val="nil"/>
              <w:right w:val="nil"/>
            </w:tcBorders>
            <w:shd w:val="clear" w:color="auto" w:fill="auto"/>
            <w:vAlign w:val="center"/>
            <w:hideMark/>
          </w:tcPr>
          <w:p w14:paraId="0C93C6C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P</w:t>
            </w:r>
            <w:r>
              <w:rPr>
                <w:rFonts w:ascii="Arial" w:eastAsia="Times New Roman" w:hAnsi="Arial" w:cs="Arial"/>
                <w:color w:val="000000"/>
                <w:lang w:bidi="ar-SA"/>
              </w:rPr>
              <w:t>rograma de Tratamiento de Aguas Residuales PROSAN</w:t>
            </w:r>
          </w:p>
        </w:tc>
        <w:tc>
          <w:tcPr>
            <w:tcW w:w="2552" w:type="dxa"/>
            <w:tcBorders>
              <w:top w:val="nil"/>
              <w:left w:val="nil"/>
              <w:bottom w:val="nil"/>
              <w:right w:val="nil"/>
            </w:tcBorders>
            <w:shd w:val="clear" w:color="auto" w:fill="auto"/>
            <w:noWrap/>
            <w:vAlign w:val="center"/>
            <w:hideMark/>
          </w:tcPr>
          <w:p w14:paraId="1C3D56B3"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11,193,191.00 </w:t>
            </w:r>
          </w:p>
        </w:tc>
      </w:tr>
      <w:tr w:rsidR="00C6733C" w14:paraId="2F708A4E" w14:textId="77777777">
        <w:trPr>
          <w:trHeight w:val="600"/>
          <w:jc w:val="center"/>
        </w:trPr>
        <w:tc>
          <w:tcPr>
            <w:tcW w:w="5245" w:type="dxa"/>
            <w:tcBorders>
              <w:top w:val="nil"/>
              <w:left w:val="nil"/>
              <w:bottom w:val="nil"/>
              <w:right w:val="nil"/>
            </w:tcBorders>
            <w:shd w:val="clear" w:color="auto" w:fill="auto"/>
            <w:vAlign w:val="center"/>
            <w:hideMark/>
          </w:tcPr>
          <w:p w14:paraId="76CF65F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ZOFEMAT</w:t>
            </w:r>
          </w:p>
        </w:tc>
        <w:tc>
          <w:tcPr>
            <w:tcW w:w="2552" w:type="dxa"/>
            <w:tcBorders>
              <w:top w:val="nil"/>
              <w:left w:val="nil"/>
              <w:bottom w:val="nil"/>
              <w:right w:val="nil"/>
            </w:tcBorders>
            <w:shd w:val="clear" w:color="auto" w:fill="auto"/>
            <w:noWrap/>
            <w:vAlign w:val="center"/>
            <w:hideMark/>
          </w:tcPr>
          <w:p w14:paraId="0D87D7DA"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5,207,332.00 </w:t>
            </w:r>
          </w:p>
        </w:tc>
      </w:tr>
      <w:tr w:rsidR="00C6733C" w14:paraId="575F88F9" w14:textId="77777777">
        <w:trPr>
          <w:trHeight w:val="600"/>
          <w:jc w:val="center"/>
        </w:trPr>
        <w:tc>
          <w:tcPr>
            <w:tcW w:w="5245" w:type="dxa"/>
            <w:tcBorders>
              <w:top w:val="nil"/>
              <w:left w:val="nil"/>
              <w:bottom w:val="nil"/>
              <w:right w:val="nil"/>
            </w:tcBorders>
            <w:shd w:val="clear" w:color="auto" w:fill="auto"/>
            <w:vAlign w:val="center"/>
            <w:hideMark/>
          </w:tcPr>
          <w:p w14:paraId="0B76B073"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Programa de Modernización de los Registros Públicos de la Propiedad y Catastros</w:t>
            </w:r>
          </w:p>
        </w:tc>
        <w:tc>
          <w:tcPr>
            <w:tcW w:w="2552" w:type="dxa"/>
            <w:tcBorders>
              <w:top w:val="nil"/>
              <w:left w:val="nil"/>
              <w:bottom w:val="nil"/>
              <w:right w:val="nil"/>
            </w:tcBorders>
            <w:shd w:val="clear" w:color="auto" w:fill="auto"/>
            <w:noWrap/>
            <w:vAlign w:val="center"/>
            <w:hideMark/>
          </w:tcPr>
          <w:p w14:paraId="635BE4A5"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24,393,298.00 </w:t>
            </w:r>
          </w:p>
        </w:tc>
      </w:tr>
      <w:tr w:rsidR="00C6733C" w14:paraId="33054C55" w14:textId="77777777">
        <w:trPr>
          <w:trHeight w:val="600"/>
          <w:jc w:val="center"/>
        </w:trPr>
        <w:tc>
          <w:tcPr>
            <w:tcW w:w="5245" w:type="dxa"/>
            <w:tcBorders>
              <w:top w:val="nil"/>
              <w:left w:val="nil"/>
              <w:bottom w:val="nil"/>
              <w:right w:val="nil"/>
            </w:tcBorders>
            <w:shd w:val="clear" w:color="auto" w:fill="auto"/>
            <w:vAlign w:val="center"/>
            <w:hideMark/>
          </w:tcPr>
          <w:p w14:paraId="07169C0A"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Metropolitano</w:t>
            </w:r>
          </w:p>
        </w:tc>
        <w:tc>
          <w:tcPr>
            <w:tcW w:w="2552" w:type="dxa"/>
            <w:tcBorders>
              <w:top w:val="nil"/>
              <w:left w:val="nil"/>
              <w:bottom w:val="nil"/>
              <w:right w:val="nil"/>
            </w:tcBorders>
            <w:shd w:val="clear" w:color="auto" w:fill="auto"/>
            <w:noWrap/>
            <w:vAlign w:val="center"/>
            <w:hideMark/>
          </w:tcPr>
          <w:p w14:paraId="096CEE79"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103,814,729.00 </w:t>
            </w:r>
          </w:p>
        </w:tc>
      </w:tr>
      <w:tr w:rsidR="00C6733C" w14:paraId="00472F48" w14:textId="77777777">
        <w:trPr>
          <w:trHeight w:val="600"/>
          <w:jc w:val="center"/>
        </w:trPr>
        <w:tc>
          <w:tcPr>
            <w:tcW w:w="5245" w:type="dxa"/>
            <w:tcBorders>
              <w:top w:val="nil"/>
              <w:left w:val="nil"/>
              <w:bottom w:val="nil"/>
              <w:right w:val="nil"/>
            </w:tcBorders>
            <w:shd w:val="clear" w:color="auto" w:fill="auto"/>
            <w:vAlign w:val="center"/>
            <w:hideMark/>
          </w:tcPr>
          <w:p w14:paraId="6D4E3171"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Fonregión</w:t>
            </w:r>
          </w:p>
        </w:tc>
        <w:tc>
          <w:tcPr>
            <w:tcW w:w="2552" w:type="dxa"/>
            <w:tcBorders>
              <w:top w:val="nil"/>
              <w:left w:val="nil"/>
              <w:bottom w:val="nil"/>
              <w:right w:val="nil"/>
            </w:tcBorders>
            <w:shd w:val="clear" w:color="auto" w:fill="auto"/>
            <w:noWrap/>
            <w:vAlign w:val="center"/>
            <w:hideMark/>
          </w:tcPr>
          <w:p w14:paraId="6BCBB0B6"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384,361,660.00 </w:t>
            </w:r>
          </w:p>
        </w:tc>
      </w:tr>
      <w:tr w:rsidR="00C6733C" w14:paraId="4FD8606B" w14:textId="77777777">
        <w:trPr>
          <w:trHeight w:val="600"/>
          <w:jc w:val="center"/>
        </w:trPr>
        <w:tc>
          <w:tcPr>
            <w:tcW w:w="5245" w:type="dxa"/>
            <w:tcBorders>
              <w:top w:val="nil"/>
              <w:left w:val="nil"/>
              <w:bottom w:val="nil"/>
              <w:right w:val="nil"/>
            </w:tcBorders>
            <w:shd w:val="clear" w:color="auto" w:fill="auto"/>
            <w:vAlign w:val="center"/>
            <w:hideMark/>
          </w:tcPr>
          <w:p w14:paraId="45ED85B1"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para la Accesibilidad en el Transporte Público para las Personas con Discapacidad</w:t>
            </w:r>
          </w:p>
        </w:tc>
        <w:tc>
          <w:tcPr>
            <w:tcW w:w="2552" w:type="dxa"/>
            <w:tcBorders>
              <w:top w:val="nil"/>
              <w:left w:val="nil"/>
              <w:bottom w:val="nil"/>
              <w:right w:val="nil"/>
            </w:tcBorders>
            <w:shd w:val="clear" w:color="auto" w:fill="auto"/>
            <w:noWrap/>
            <w:vAlign w:val="center"/>
            <w:hideMark/>
          </w:tcPr>
          <w:p w14:paraId="442EBB68"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15,222,4</w:t>
            </w:r>
            <w:r>
              <w:rPr>
                <w:rFonts w:ascii="Arial" w:eastAsia="Times New Roman" w:hAnsi="Arial" w:cs="Arial"/>
                <w:lang w:bidi="ar-SA"/>
              </w:rPr>
              <w:t xml:space="preserve">53.00 </w:t>
            </w:r>
          </w:p>
        </w:tc>
      </w:tr>
      <w:tr w:rsidR="00C6733C" w14:paraId="2F87D193" w14:textId="77777777">
        <w:trPr>
          <w:trHeight w:val="600"/>
          <w:jc w:val="center"/>
        </w:trPr>
        <w:tc>
          <w:tcPr>
            <w:tcW w:w="5245" w:type="dxa"/>
            <w:tcBorders>
              <w:top w:val="nil"/>
              <w:left w:val="nil"/>
              <w:bottom w:val="nil"/>
              <w:right w:val="nil"/>
            </w:tcBorders>
            <w:shd w:val="clear" w:color="auto" w:fill="auto"/>
            <w:vAlign w:val="center"/>
            <w:hideMark/>
          </w:tcPr>
          <w:p w14:paraId="3AF7C855" w14:textId="77777777" w:rsidR="00C6733C" w:rsidRDefault="006D0638">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Fideicomiso para la Infraestructura de los Estados (FIES)</w:t>
            </w:r>
          </w:p>
        </w:tc>
        <w:tc>
          <w:tcPr>
            <w:tcW w:w="2552" w:type="dxa"/>
            <w:tcBorders>
              <w:top w:val="nil"/>
              <w:left w:val="nil"/>
              <w:bottom w:val="nil"/>
              <w:right w:val="nil"/>
            </w:tcBorders>
            <w:shd w:val="clear" w:color="auto" w:fill="auto"/>
            <w:noWrap/>
            <w:vAlign w:val="center"/>
            <w:hideMark/>
          </w:tcPr>
          <w:p w14:paraId="4ECD2817"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114,452,142.00 </w:t>
            </w:r>
          </w:p>
        </w:tc>
      </w:tr>
      <w:tr w:rsidR="00C6733C" w14:paraId="2B62797B" w14:textId="77777777">
        <w:trPr>
          <w:trHeight w:val="600"/>
          <w:jc w:val="center"/>
        </w:trPr>
        <w:tc>
          <w:tcPr>
            <w:tcW w:w="5245" w:type="dxa"/>
            <w:tcBorders>
              <w:top w:val="nil"/>
              <w:left w:val="nil"/>
              <w:bottom w:val="nil"/>
              <w:right w:val="nil"/>
            </w:tcBorders>
            <w:shd w:val="clear" w:color="auto" w:fill="auto"/>
            <w:vAlign w:val="center"/>
            <w:hideMark/>
          </w:tcPr>
          <w:p w14:paraId="087FB85E" w14:textId="77777777" w:rsidR="00C6733C" w:rsidRDefault="006D0638">
            <w:pPr>
              <w:widowControl/>
              <w:autoSpaceDE/>
              <w:autoSpaceDN/>
              <w:rPr>
                <w:rFonts w:ascii="Arial" w:eastAsia="Times New Roman" w:hAnsi="Arial" w:cs="Arial"/>
                <w:lang w:bidi="ar-SA"/>
              </w:rPr>
            </w:pPr>
            <w:r>
              <w:rPr>
                <w:rFonts w:ascii="Arial" w:eastAsia="Times New Roman" w:hAnsi="Arial" w:cs="Arial"/>
                <w:lang w:bidi="ar-SA"/>
              </w:rPr>
              <w:t>Programa de Infraestructura Indígena (PROII)</w:t>
            </w:r>
          </w:p>
        </w:tc>
        <w:tc>
          <w:tcPr>
            <w:tcW w:w="2552" w:type="dxa"/>
            <w:tcBorders>
              <w:top w:val="nil"/>
              <w:left w:val="nil"/>
              <w:bottom w:val="nil"/>
              <w:right w:val="nil"/>
            </w:tcBorders>
            <w:shd w:val="clear" w:color="auto" w:fill="auto"/>
            <w:noWrap/>
            <w:vAlign w:val="center"/>
            <w:hideMark/>
          </w:tcPr>
          <w:p w14:paraId="26D097F6" w14:textId="77777777" w:rsidR="00C6733C" w:rsidRDefault="006D0638">
            <w:pPr>
              <w:widowControl/>
              <w:autoSpaceDE/>
              <w:autoSpaceDN/>
              <w:jc w:val="right"/>
              <w:rPr>
                <w:rFonts w:ascii="Arial" w:eastAsia="Times New Roman" w:hAnsi="Arial" w:cs="Arial"/>
                <w:lang w:bidi="ar-SA"/>
              </w:rPr>
            </w:pPr>
            <w:r>
              <w:rPr>
                <w:rFonts w:ascii="Arial" w:eastAsia="Times New Roman" w:hAnsi="Arial" w:cs="Arial"/>
                <w:lang w:bidi="ar-SA"/>
              </w:rPr>
              <w:t xml:space="preserve">                   155,998,995.00 </w:t>
            </w:r>
          </w:p>
        </w:tc>
      </w:tr>
      <w:tr w:rsidR="00C6733C" w14:paraId="6EA31BCB" w14:textId="77777777">
        <w:trPr>
          <w:trHeight w:val="540"/>
          <w:jc w:val="center"/>
        </w:trPr>
        <w:tc>
          <w:tcPr>
            <w:tcW w:w="5245" w:type="dxa"/>
            <w:tcBorders>
              <w:top w:val="nil"/>
              <w:left w:val="nil"/>
              <w:bottom w:val="nil"/>
              <w:right w:val="nil"/>
            </w:tcBorders>
            <w:shd w:val="clear" w:color="auto" w:fill="auto"/>
            <w:noWrap/>
            <w:vAlign w:val="center"/>
            <w:hideMark/>
          </w:tcPr>
          <w:p w14:paraId="7BDB379A" w14:textId="77777777" w:rsidR="00C6733C" w:rsidRDefault="006D0638">
            <w:pPr>
              <w:widowControl/>
              <w:autoSpaceDE/>
              <w:autoSpaceDN/>
              <w:rPr>
                <w:rFonts w:ascii="Arial" w:eastAsia="Times New Roman" w:hAnsi="Arial" w:cs="Arial"/>
                <w:b/>
                <w:bCs/>
                <w:lang w:bidi="ar-SA"/>
              </w:rPr>
            </w:pPr>
            <w:r>
              <w:rPr>
                <w:rFonts w:ascii="Arial" w:eastAsia="Times New Roman" w:hAnsi="Arial" w:cs="Arial"/>
                <w:b/>
                <w:bCs/>
                <w:lang w:bidi="ar-SA"/>
              </w:rPr>
              <w:t>Total</w:t>
            </w:r>
          </w:p>
        </w:tc>
        <w:tc>
          <w:tcPr>
            <w:tcW w:w="2552" w:type="dxa"/>
            <w:tcBorders>
              <w:top w:val="nil"/>
              <w:left w:val="nil"/>
              <w:bottom w:val="nil"/>
              <w:right w:val="nil"/>
            </w:tcBorders>
            <w:shd w:val="clear" w:color="auto" w:fill="auto"/>
            <w:noWrap/>
            <w:vAlign w:val="center"/>
            <w:hideMark/>
          </w:tcPr>
          <w:p w14:paraId="23F0F992" w14:textId="77777777" w:rsidR="00C6733C" w:rsidRDefault="006D0638">
            <w:pPr>
              <w:widowControl/>
              <w:autoSpaceDE/>
              <w:autoSpaceDN/>
              <w:jc w:val="right"/>
              <w:rPr>
                <w:rFonts w:ascii="Arial" w:eastAsia="Times New Roman" w:hAnsi="Arial" w:cs="Arial"/>
                <w:b/>
                <w:bCs/>
                <w:lang w:bidi="ar-SA"/>
              </w:rPr>
            </w:pPr>
            <w:r>
              <w:rPr>
                <w:rFonts w:ascii="Arial" w:eastAsia="Times New Roman" w:hAnsi="Arial" w:cs="Arial"/>
                <w:b/>
                <w:bCs/>
                <w:lang w:bidi="ar-SA"/>
              </w:rPr>
              <w:t xml:space="preserve">               3,710,684,576.00 </w:t>
            </w:r>
          </w:p>
        </w:tc>
      </w:tr>
    </w:tbl>
    <w:p w14:paraId="026E3F13" w14:textId="77777777" w:rsidR="00C6733C" w:rsidRDefault="00C6733C">
      <w:pPr>
        <w:pStyle w:val="Textoindependiente"/>
        <w:rPr>
          <w:sz w:val="22"/>
          <w:szCs w:val="22"/>
        </w:rPr>
      </w:pPr>
    </w:p>
    <w:p w14:paraId="5A7666FC" w14:textId="77777777" w:rsidR="00C6733C" w:rsidRDefault="006D0638">
      <w:pPr>
        <w:pStyle w:val="Textoindependiente"/>
        <w:jc w:val="both"/>
        <w:rPr>
          <w:sz w:val="22"/>
          <w:szCs w:val="22"/>
        </w:rPr>
      </w:pPr>
      <w:r>
        <w:rPr>
          <w:b/>
          <w:sz w:val="22"/>
          <w:szCs w:val="22"/>
        </w:rPr>
        <w:t>Artículo 65.</w:t>
      </w:r>
      <w:r>
        <w:rPr>
          <w:sz w:val="22"/>
          <w:szCs w:val="22"/>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w:t>
      </w:r>
      <w:r>
        <w:rPr>
          <w:sz w:val="22"/>
          <w:szCs w:val="22"/>
        </w:rPr>
        <w:t>las Transferencias Federales Etiquetadas, verificando que se realice conforme a las disposiciones del Decreto de Presupuesto de Egresos de la Federación para el Ejercicio Fiscal 2020, reglas de operación, acuerdos o convenios que les den origen y demás dis</w:t>
      </w:r>
      <w:r>
        <w:rPr>
          <w:sz w:val="22"/>
          <w:szCs w:val="22"/>
        </w:rPr>
        <w:t>posiciones legales aplicables.</w:t>
      </w:r>
    </w:p>
    <w:p w14:paraId="0B59BC67" w14:textId="77777777" w:rsidR="00C6733C" w:rsidRDefault="00C6733C">
      <w:pPr>
        <w:pStyle w:val="Textoindependiente"/>
        <w:jc w:val="both"/>
        <w:rPr>
          <w:sz w:val="22"/>
          <w:szCs w:val="22"/>
        </w:rPr>
      </w:pPr>
    </w:p>
    <w:p w14:paraId="0C9D6049" w14:textId="77777777" w:rsidR="00C6733C" w:rsidRDefault="006D0638">
      <w:pPr>
        <w:pStyle w:val="Textoindependiente"/>
        <w:rPr>
          <w:sz w:val="22"/>
          <w:szCs w:val="22"/>
        </w:rPr>
      </w:pPr>
      <w:r>
        <w:rPr>
          <w:sz w:val="22"/>
          <w:szCs w:val="22"/>
        </w:rPr>
        <w:t>Lo anterior, sin perjuicio del control, vigilancia, seguimiento y evaluación de los recursos a que se refiere el presente Título, a cargo de los Órganos de Control y Fiscalización Federales o Estatales.</w:t>
      </w:r>
    </w:p>
    <w:p w14:paraId="0C839216" w14:textId="77777777" w:rsidR="00C6733C" w:rsidRDefault="00C6733C">
      <w:pPr>
        <w:pStyle w:val="Textoindependiente"/>
        <w:rPr>
          <w:sz w:val="22"/>
          <w:szCs w:val="22"/>
        </w:rPr>
      </w:pPr>
    </w:p>
    <w:p w14:paraId="2E8806FF" w14:textId="77777777" w:rsidR="00C6733C" w:rsidRDefault="00C6733C">
      <w:pPr>
        <w:pStyle w:val="Ttulo1"/>
        <w:tabs>
          <w:tab w:val="left" w:pos="2268"/>
        </w:tabs>
        <w:ind w:left="0" w:right="113"/>
        <w:rPr>
          <w:sz w:val="22"/>
          <w:szCs w:val="22"/>
        </w:rPr>
      </w:pPr>
    </w:p>
    <w:p w14:paraId="33813689" w14:textId="77777777" w:rsidR="00C6733C" w:rsidRDefault="006D0638">
      <w:pPr>
        <w:pStyle w:val="Ttulo1"/>
        <w:tabs>
          <w:tab w:val="left" w:pos="2268"/>
        </w:tabs>
        <w:ind w:left="0" w:right="113"/>
        <w:rPr>
          <w:sz w:val="22"/>
          <w:szCs w:val="22"/>
        </w:rPr>
      </w:pPr>
      <w:r>
        <w:rPr>
          <w:sz w:val="22"/>
          <w:szCs w:val="22"/>
        </w:rPr>
        <w:t>Título Sexto</w:t>
      </w:r>
    </w:p>
    <w:p w14:paraId="7F15EDB2" w14:textId="77777777" w:rsidR="00C6733C" w:rsidRDefault="006D0638">
      <w:pPr>
        <w:pStyle w:val="Ttulo1"/>
        <w:tabs>
          <w:tab w:val="left" w:pos="2268"/>
        </w:tabs>
        <w:ind w:left="0" w:right="113"/>
        <w:rPr>
          <w:sz w:val="22"/>
          <w:szCs w:val="22"/>
        </w:rPr>
      </w:pPr>
      <w:r>
        <w:rPr>
          <w:sz w:val="22"/>
          <w:szCs w:val="22"/>
        </w:rPr>
        <w:t xml:space="preserve">Gasto </w:t>
      </w:r>
      <w:r>
        <w:rPr>
          <w:sz w:val="22"/>
          <w:szCs w:val="22"/>
        </w:rPr>
        <w:t>de Capital</w:t>
      </w:r>
    </w:p>
    <w:p w14:paraId="074CD442" w14:textId="77777777" w:rsidR="00C6733C" w:rsidRDefault="00C6733C">
      <w:pPr>
        <w:pStyle w:val="Textoindependiente"/>
        <w:rPr>
          <w:b/>
          <w:sz w:val="22"/>
          <w:szCs w:val="22"/>
        </w:rPr>
      </w:pPr>
    </w:p>
    <w:p w14:paraId="29778E91"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66. </w:t>
      </w:r>
      <w:r>
        <w:rPr>
          <w:rFonts w:ascii="Arial" w:eastAsiaTheme="minorHAnsi" w:hAnsi="Arial" w:cs="Arial"/>
          <w:color w:val="000000"/>
          <w:lang w:eastAsia="en-US" w:bidi="ar-SA"/>
        </w:rPr>
        <w:t xml:space="preserve">En el ejercicio del gasto de capital en inversión pública para el año 2020, los Ejecutores de gasto observarán lo siguiente: </w:t>
      </w:r>
    </w:p>
    <w:p w14:paraId="6AA5190E" w14:textId="77777777" w:rsidR="00C6733C" w:rsidRDefault="00C6733C">
      <w:pPr>
        <w:widowControl/>
        <w:adjustRightInd w:val="0"/>
        <w:rPr>
          <w:rFonts w:ascii="Arial" w:eastAsiaTheme="minorHAnsi" w:hAnsi="Arial" w:cs="Arial"/>
          <w:color w:val="000000"/>
          <w:lang w:eastAsia="en-US" w:bidi="ar-SA"/>
        </w:rPr>
      </w:pPr>
    </w:p>
    <w:p w14:paraId="5ABF19C2" w14:textId="77777777" w:rsidR="00C6733C" w:rsidRDefault="006D0638">
      <w:pPr>
        <w:widowControl/>
        <w:numPr>
          <w:ilvl w:val="0"/>
          <w:numId w:val="12"/>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Atender prioritariamente las erogaciones por concepto de gasto de mantenimiento de los proyectos de inversión concluidos; el avan</w:t>
      </w:r>
      <w:r>
        <w:rPr>
          <w:rFonts w:ascii="Arial" w:eastAsiaTheme="minorHAnsi" w:hAnsi="Arial" w:cs="Arial"/>
          <w:color w:val="000000"/>
          <w:lang w:eastAsia="en-US" w:bidi="ar-SA"/>
        </w:rPr>
        <w:t xml:space="preserve">ce de los proyectos de inversión que se encuentren en procesos vinculados a la prestación de servicios públicos, así como las que cuenten con autorización plurianual; </w:t>
      </w:r>
    </w:p>
    <w:p w14:paraId="704C01FD" w14:textId="77777777" w:rsidR="00C6733C" w:rsidRDefault="00C6733C">
      <w:pPr>
        <w:widowControl/>
        <w:adjustRightInd w:val="0"/>
        <w:ind w:left="567"/>
        <w:jc w:val="both"/>
        <w:rPr>
          <w:rFonts w:ascii="Arial" w:eastAsiaTheme="minorHAnsi" w:hAnsi="Arial" w:cs="Arial"/>
          <w:color w:val="000000"/>
          <w:lang w:eastAsia="en-US" w:bidi="ar-SA"/>
        </w:rPr>
      </w:pPr>
    </w:p>
    <w:p w14:paraId="2EF530EF" w14:textId="77777777" w:rsidR="00C6733C" w:rsidRDefault="006D0638">
      <w:pPr>
        <w:widowControl/>
        <w:numPr>
          <w:ilvl w:val="0"/>
          <w:numId w:val="12"/>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Iniciar proyectos de inversión cuando tengan garantizada la disponibilidad presupuestar</w:t>
      </w:r>
      <w:r>
        <w:rPr>
          <w:rFonts w:ascii="Arial" w:eastAsiaTheme="minorHAnsi" w:hAnsi="Arial" w:cs="Arial"/>
          <w:color w:val="000000"/>
          <w:lang w:eastAsia="en-US" w:bidi="ar-SA"/>
        </w:rPr>
        <w:t xml:space="preserve">ia durante el ejercicio fiscal. En el caso de proyectos de inversión que abarquen más de un ejercicio fiscal deberán sujetarse a lo dispuesto en la Ley; </w:t>
      </w:r>
    </w:p>
    <w:p w14:paraId="0F631B91" w14:textId="77777777" w:rsidR="00C6733C" w:rsidRDefault="00C6733C">
      <w:pPr>
        <w:pStyle w:val="Prrafodelista"/>
        <w:spacing w:before="0"/>
        <w:rPr>
          <w:rFonts w:eastAsiaTheme="minorHAnsi"/>
          <w:color w:val="000000"/>
          <w:lang w:eastAsia="en-US" w:bidi="ar-SA"/>
        </w:rPr>
      </w:pPr>
    </w:p>
    <w:p w14:paraId="68253BE0" w14:textId="77777777" w:rsidR="00C6733C" w:rsidRDefault="006D0638">
      <w:pPr>
        <w:widowControl/>
        <w:numPr>
          <w:ilvl w:val="0"/>
          <w:numId w:val="12"/>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Prever la disponibilidad de recursos para su terminación, puesta en operación y mantenimiento; </w:t>
      </w:r>
    </w:p>
    <w:p w14:paraId="7776F509" w14:textId="77777777" w:rsidR="00C6733C" w:rsidRDefault="00C6733C">
      <w:pPr>
        <w:pStyle w:val="Prrafodelista"/>
        <w:spacing w:before="0"/>
        <w:rPr>
          <w:rFonts w:eastAsiaTheme="minorHAnsi"/>
          <w:color w:val="000000"/>
          <w:lang w:eastAsia="en-US" w:bidi="ar-SA"/>
        </w:rPr>
      </w:pPr>
    </w:p>
    <w:p w14:paraId="29A3535B" w14:textId="77777777" w:rsidR="00C6733C" w:rsidRDefault="006D0638">
      <w:pPr>
        <w:widowControl/>
        <w:numPr>
          <w:ilvl w:val="0"/>
          <w:numId w:val="12"/>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Suje</w:t>
      </w:r>
      <w:r>
        <w:rPr>
          <w:rFonts w:ascii="Arial" w:eastAsiaTheme="minorHAnsi" w:hAnsi="Arial" w:cs="Arial"/>
          <w:color w:val="000000"/>
          <w:lang w:eastAsia="en-US" w:bidi="ar-SA"/>
        </w:rPr>
        <w:t xml:space="preserve">tar la programación de la inversión a los lineamientos estratégicos que señalen los programas de mediano plazo; </w:t>
      </w:r>
    </w:p>
    <w:p w14:paraId="79C191E9" w14:textId="77777777" w:rsidR="00C6733C" w:rsidRDefault="00C6733C">
      <w:pPr>
        <w:pStyle w:val="Prrafodelista"/>
        <w:spacing w:before="0"/>
      </w:pPr>
    </w:p>
    <w:p w14:paraId="12079F45" w14:textId="77777777" w:rsidR="00C6733C" w:rsidRDefault="006D0638">
      <w:pPr>
        <w:widowControl/>
        <w:numPr>
          <w:ilvl w:val="0"/>
          <w:numId w:val="12"/>
        </w:numPr>
        <w:adjustRightInd w:val="0"/>
        <w:ind w:left="567" w:hanging="283"/>
        <w:jc w:val="both"/>
        <w:rPr>
          <w:rFonts w:ascii="Arial" w:eastAsiaTheme="minorHAnsi" w:hAnsi="Arial" w:cs="Arial"/>
          <w:color w:val="000000"/>
          <w:lang w:eastAsia="en-US" w:bidi="ar-SA"/>
        </w:rPr>
      </w:pPr>
      <w:r>
        <w:rPr>
          <w:rFonts w:ascii="Arial" w:hAnsi="Arial" w:cs="Arial"/>
        </w:rPr>
        <w:t>Procurar la ampliación y diversificación de las fuentes de financiamiento alternativas y/o complementarias al Presupuesto de Egresos;</w:t>
      </w:r>
    </w:p>
    <w:p w14:paraId="4975C4DA" w14:textId="77777777" w:rsidR="00C6733C" w:rsidRDefault="00C6733C">
      <w:pPr>
        <w:pStyle w:val="Prrafodelista"/>
        <w:spacing w:before="0"/>
      </w:pPr>
    </w:p>
    <w:p w14:paraId="460DAE2B" w14:textId="77777777" w:rsidR="00C6733C" w:rsidRDefault="006D0638">
      <w:pPr>
        <w:widowControl/>
        <w:numPr>
          <w:ilvl w:val="0"/>
          <w:numId w:val="12"/>
        </w:numPr>
        <w:adjustRightInd w:val="0"/>
        <w:ind w:left="567" w:hanging="283"/>
        <w:jc w:val="both"/>
        <w:rPr>
          <w:rFonts w:ascii="Arial" w:eastAsiaTheme="minorHAnsi" w:hAnsi="Arial" w:cs="Arial"/>
          <w:color w:val="000000"/>
          <w:lang w:eastAsia="en-US" w:bidi="ar-SA"/>
        </w:rPr>
      </w:pPr>
      <w:r>
        <w:rPr>
          <w:rFonts w:ascii="Arial" w:hAnsi="Arial" w:cs="Arial"/>
        </w:rPr>
        <w:t>Present</w:t>
      </w:r>
      <w:r>
        <w:rPr>
          <w:rFonts w:ascii="Arial" w:hAnsi="Arial" w:cs="Arial"/>
        </w:rPr>
        <w:t>ar a través del Sistema electrónico de la Secretaría, los proyectos de inversión pública, para que previa valoración ingrese al Banco de Proyectos de Inversión Pública autorizados por la Secretaría, y</w:t>
      </w:r>
    </w:p>
    <w:p w14:paraId="15DF92B2" w14:textId="77777777" w:rsidR="00C6733C" w:rsidRDefault="00C6733C">
      <w:pPr>
        <w:pStyle w:val="Prrafodelista"/>
        <w:spacing w:before="0"/>
      </w:pPr>
    </w:p>
    <w:p w14:paraId="3D0B7FCB" w14:textId="77777777" w:rsidR="00C6733C" w:rsidRDefault="006D0638">
      <w:pPr>
        <w:widowControl/>
        <w:numPr>
          <w:ilvl w:val="0"/>
          <w:numId w:val="12"/>
        </w:numPr>
        <w:adjustRightInd w:val="0"/>
        <w:ind w:left="567" w:hanging="283"/>
        <w:jc w:val="both"/>
        <w:rPr>
          <w:rFonts w:ascii="Arial" w:eastAsiaTheme="minorHAnsi" w:hAnsi="Arial" w:cs="Arial"/>
          <w:color w:val="000000"/>
          <w:lang w:eastAsia="en-US" w:bidi="ar-SA"/>
        </w:rPr>
      </w:pPr>
      <w:r>
        <w:rPr>
          <w:rFonts w:ascii="Arial" w:hAnsi="Arial" w:cs="Arial"/>
        </w:rPr>
        <w:t xml:space="preserve">Sujetarse a los montos máximos y mínimos que a </w:t>
      </w:r>
      <w:r>
        <w:rPr>
          <w:rFonts w:ascii="Arial" w:hAnsi="Arial" w:cs="Arial"/>
        </w:rPr>
        <w:t>continuación se establecen:</w:t>
      </w:r>
    </w:p>
    <w:p w14:paraId="7D32735F" w14:textId="77777777" w:rsidR="00C6733C" w:rsidRDefault="00C6733C">
      <w:pPr>
        <w:pStyle w:val="Textoindependiente"/>
        <w:rPr>
          <w:sz w:val="22"/>
          <w:szCs w:val="22"/>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417"/>
        <w:gridCol w:w="1418"/>
        <w:gridCol w:w="1417"/>
        <w:gridCol w:w="1559"/>
        <w:gridCol w:w="1418"/>
      </w:tblGrid>
      <w:tr w:rsidR="00C6733C" w14:paraId="0194E3E1" w14:textId="77777777">
        <w:trPr>
          <w:trHeight w:val="1486"/>
          <w:jc w:val="center"/>
        </w:trPr>
        <w:tc>
          <w:tcPr>
            <w:tcW w:w="2972" w:type="dxa"/>
            <w:gridSpan w:val="2"/>
          </w:tcPr>
          <w:p w14:paraId="1381018B" w14:textId="77777777" w:rsidR="00C6733C" w:rsidRDefault="006D0638">
            <w:pPr>
              <w:pStyle w:val="TableParagraph"/>
              <w:ind w:left="107" w:right="214"/>
              <w:jc w:val="both"/>
              <w:rPr>
                <w:rFonts w:ascii="Arial" w:hAnsi="Arial" w:cs="Arial"/>
                <w:sz w:val="16"/>
                <w:szCs w:val="20"/>
              </w:rPr>
            </w:pPr>
            <w:r>
              <w:rPr>
                <w:rFonts w:ascii="Arial" w:hAnsi="Arial" w:cs="Arial"/>
                <w:sz w:val="16"/>
                <w:szCs w:val="20"/>
              </w:rPr>
              <w:t>Presupuesto anual para realizar obras públicas y servicios relacionados con las mismas</w:t>
            </w:r>
          </w:p>
        </w:tc>
        <w:tc>
          <w:tcPr>
            <w:tcW w:w="1418" w:type="dxa"/>
            <w:vMerge w:val="restart"/>
          </w:tcPr>
          <w:p w14:paraId="5724F90D" w14:textId="77777777" w:rsidR="00C6733C" w:rsidRDefault="006D0638">
            <w:pPr>
              <w:pStyle w:val="TableParagraph"/>
              <w:ind w:left="106" w:right="120"/>
              <w:jc w:val="left"/>
              <w:rPr>
                <w:rFonts w:ascii="Arial" w:hAnsi="Arial" w:cs="Arial"/>
                <w:sz w:val="16"/>
                <w:szCs w:val="20"/>
              </w:rPr>
            </w:pPr>
            <w:r>
              <w:rPr>
                <w:rFonts w:ascii="Arial" w:hAnsi="Arial" w:cs="Arial"/>
                <w:sz w:val="16"/>
                <w:szCs w:val="20"/>
              </w:rPr>
              <w:t>Monto máximo total de cada obra que podrá adjudicarse directamente</w:t>
            </w:r>
          </w:p>
        </w:tc>
        <w:tc>
          <w:tcPr>
            <w:tcW w:w="1417" w:type="dxa"/>
            <w:vMerge w:val="restart"/>
          </w:tcPr>
          <w:p w14:paraId="40735378" w14:textId="77777777" w:rsidR="00C6733C" w:rsidRDefault="006D0638">
            <w:pPr>
              <w:pStyle w:val="TableParagraph"/>
              <w:ind w:left="106" w:right="120"/>
              <w:jc w:val="left"/>
              <w:rPr>
                <w:rFonts w:ascii="Arial" w:hAnsi="Arial" w:cs="Arial"/>
                <w:sz w:val="16"/>
                <w:szCs w:val="20"/>
              </w:rPr>
            </w:pPr>
            <w:r>
              <w:rPr>
                <w:rFonts w:ascii="Arial" w:hAnsi="Arial" w:cs="Arial"/>
                <w:sz w:val="16"/>
                <w:szCs w:val="20"/>
              </w:rPr>
              <w:t>Monto máximo total de cada obra que podrá adjudicarse mediante invitación</w:t>
            </w:r>
          </w:p>
        </w:tc>
        <w:tc>
          <w:tcPr>
            <w:tcW w:w="1559" w:type="dxa"/>
            <w:vMerge w:val="restart"/>
          </w:tcPr>
          <w:p w14:paraId="23560414" w14:textId="77777777" w:rsidR="00C6733C" w:rsidRDefault="006D0638">
            <w:pPr>
              <w:pStyle w:val="TableParagraph"/>
              <w:ind w:left="105" w:right="103"/>
              <w:jc w:val="left"/>
              <w:rPr>
                <w:rFonts w:ascii="Arial" w:hAnsi="Arial" w:cs="Arial"/>
                <w:sz w:val="16"/>
                <w:szCs w:val="20"/>
              </w:rPr>
            </w:pPr>
            <w:r>
              <w:rPr>
                <w:rFonts w:ascii="Arial" w:hAnsi="Arial" w:cs="Arial"/>
                <w:sz w:val="16"/>
                <w:szCs w:val="20"/>
              </w:rPr>
              <w:t>Monto máximo total de cada servicio relacionado con obra pública que podrá adjudicarse directamente</w:t>
            </w:r>
          </w:p>
        </w:tc>
        <w:tc>
          <w:tcPr>
            <w:tcW w:w="1418" w:type="dxa"/>
            <w:vMerge w:val="restart"/>
          </w:tcPr>
          <w:p w14:paraId="35E732CE" w14:textId="77777777" w:rsidR="00C6733C" w:rsidRDefault="006D0638">
            <w:pPr>
              <w:pStyle w:val="TableParagraph"/>
              <w:ind w:left="107" w:right="103"/>
              <w:jc w:val="left"/>
              <w:rPr>
                <w:rFonts w:ascii="Arial" w:hAnsi="Arial" w:cs="Arial"/>
                <w:sz w:val="16"/>
                <w:szCs w:val="20"/>
              </w:rPr>
            </w:pPr>
            <w:r>
              <w:rPr>
                <w:rFonts w:ascii="Arial" w:hAnsi="Arial" w:cs="Arial"/>
                <w:sz w:val="16"/>
                <w:szCs w:val="20"/>
              </w:rPr>
              <w:t>Monto máximo total de cada servicio relacionado con obra pública que podrá adjudicarse mediante invitación</w:t>
            </w:r>
          </w:p>
        </w:tc>
      </w:tr>
      <w:tr w:rsidR="00C6733C" w14:paraId="1FB5AED3" w14:textId="77777777">
        <w:trPr>
          <w:trHeight w:val="273"/>
          <w:jc w:val="center"/>
        </w:trPr>
        <w:tc>
          <w:tcPr>
            <w:tcW w:w="1555" w:type="dxa"/>
          </w:tcPr>
          <w:p w14:paraId="47F6D673" w14:textId="77777777" w:rsidR="00C6733C" w:rsidRDefault="006D0638">
            <w:pPr>
              <w:pStyle w:val="TableParagraph"/>
              <w:ind w:left="107"/>
              <w:jc w:val="center"/>
              <w:rPr>
                <w:rFonts w:ascii="Arial" w:hAnsi="Arial" w:cs="Arial"/>
                <w:sz w:val="16"/>
                <w:szCs w:val="20"/>
              </w:rPr>
            </w:pPr>
            <w:r>
              <w:rPr>
                <w:rFonts w:ascii="Arial" w:hAnsi="Arial" w:cs="Arial"/>
                <w:sz w:val="16"/>
                <w:szCs w:val="20"/>
              </w:rPr>
              <w:t>Mayor de</w:t>
            </w:r>
          </w:p>
        </w:tc>
        <w:tc>
          <w:tcPr>
            <w:tcW w:w="1417" w:type="dxa"/>
          </w:tcPr>
          <w:p w14:paraId="638DDDF5" w14:textId="77777777" w:rsidR="00C6733C" w:rsidRDefault="006D0638">
            <w:pPr>
              <w:pStyle w:val="TableParagraph"/>
              <w:ind w:left="107"/>
              <w:jc w:val="center"/>
              <w:rPr>
                <w:rFonts w:ascii="Arial" w:hAnsi="Arial" w:cs="Arial"/>
                <w:sz w:val="16"/>
                <w:szCs w:val="20"/>
              </w:rPr>
            </w:pPr>
            <w:r>
              <w:rPr>
                <w:rFonts w:ascii="Arial" w:hAnsi="Arial" w:cs="Arial"/>
                <w:sz w:val="16"/>
                <w:szCs w:val="20"/>
              </w:rPr>
              <w:t>Hasta</w:t>
            </w:r>
          </w:p>
        </w:tc>
        <w:tc>
          <w:tcPr>
            <w:tcW w:w="1418" w:type="dxa"/>
            <w:vMerge/>
            <w:tcBorders>
              <w:top w:val="nil"/>
            </w:tcBorders>
          </w:tcPr>
          <w:p w14:paraId="5488DFB0" w14:textId="77777777" w:rsidR="00C6733C" w:rsidRDefault="00C6733C">
            <w:pPr>
              <w:rPr>
                <w:rFonts w:ascii="Arial" w:hAnsi="Arial" w:cs="Arial"/>
                <w:sz w:val="20"/>
                <w:szCs w:val="20"/>
              </w:rPr>
            </w:pPr>
          </w:p>
        </w:tc>
        <w:tc>
          <w:tcPr>
            <w:tcW w:w="1417" w:type="dxa"/>
            <w:vMerge/>
            <w:tcBorders>
              <w:top w:val="nil"/>
            </w:tcBorders>
          </w:tcPr>
          <w:p w14:paraId="21FA3B0E" w14:textId="77777777" w:rsidR="00C6733C" w:rsidRDefault="00C6733C">
            <w:pPr>
              <w:rPr>
                <w:rFonts w:ascii="Arial" w:hAnsi="Arial" w:cs="Arial"/>
                <w:sz w:val="20"/>
                <w:szCs w:val="20"/>
              </w:rPr>
            </w:pPr>
          </w:p>
        </w:tc>
        <w:tc>
          <w:tcPr>
            <w:tcW w:w="1559" w:type="dxa"/>
            <w:vMerge/>
            <w:tcBorders>
              <w:top w:val="nil"/>
            </w:tcBorders>
          </w:tcPr>
          <w:p w14:paraId="17B852F1" w14:textId="77777777" w:rsidR="00C6733C" w:rsidRDefault="00C6733C">
            <w:pPr>
              <w:rPr>
                <w:rFonts w:ascii="Arial" w:hAnsi="Arial" w:cs="Arial"/>
                <w:sz w:val="20"/>
                <w:szCs w:val="20"/>
              </w:rPr>
            </w:pPr>
          </w:p>
        </w:tc>
        <w:tc>
          <w:tcPr>
            <w:tcW w:w="1418" w:type="dxa"/>
            <w:vMerge/>
            <w:tcBorders>
              <w:top w:val="nil"/>
            </w:tcBorders>
          </w:tcPr>
          <w:p w14:paraId="1552ACA3" w14:textId="77777777" w:rsidR="00C6733C" w:rsidRDefault="00C6733C">
            <w:pPr>
              <w:rPr>
                <w:rFonts w:ascii="Arial" w:hAnsi="Arial" w:cs="Arial"/>
                <w:sz w:val="20"/>
                <w:szCs w:val="20"/>
              </w:rPr>
            </w:pPr>
          </w:p>
        </w:tc>
      </w:tr>
      <w:tr w:rsidR="00C6733C" w14:paraId="2C1ABECC" w14:textId="77777777">
        <w:trPr>
          <w:trHeight w:val="412"/>
          <w:jc w:val="center"/>
        </w:trPr>
        <w:tc>
          <w:tcPr>
            <w:tcW w:w="1555" w:type="dxa"/>
          </w:tcPr>
          <w:p w14:paraId="1800A4AE" w14:textId="77777777" w:rsidR="00C6733C" w:rsidRDefault="006D0638">
            <w:pPr>
              <w:pStyle w:val="TableParagraph"/>
              <w:ind w:right="96"/>
              <w:rPr>
                <w:rFonts w:ascii="Arial" w:hAnsi="Arial" w:cs="Arial"/>
                <w:sz w:val="16"/>
                <w:szCs w:val="20"/>
              </w:rPr>
            </w:pPr>
            <w:r>
              <w:rPr>
                <w:rFonts w:ascii="Arial" w:hAnsi="Arial" w:cs="Arial"/>
                <w:sz w:val="16"/>
                <w:szCs w:val="20"/>
              </w:rPr>
              <w:t>0.01</w:t>
            </w:r>
          </w:p>
        </w:tc>
        <w:tc>
          <w:tcPr>
            <w:tcW w:w="1417" w:type="dxa"/>
          </w:tcPr>
          <w:p w14:paraId="6BBA5A62" w14:textId="77777777" w:rsidR="00C6733C" w:rsidRDefault="006D0638">
            <w:pPr>
              <w:pStyle w:val="TableParagraph"/>
              <w:ind w:right="95"/>
              <w:rPr>
                <w:rFonts w:ascii="Arial" w:hAnsi="Arial" w:cs="Arial"/>
                <w:sz w:val="16"/>
                <w:szCs w:val="20"/>
              </w:rPr>
            </w:pPr>
            <w:r>
              <w:rPr>
                <w:rFonts w:ascii="Arial" w:hAnsi="Arial" w:cs="Arial"/>
                <w:sz w:val="16"/>
                <w:szCs w:val="20"/>
              </w:rPr>
              <w:t>5’000,000.00</w:t>
            </w:r>
          </w:p>
        </w:tc>
        <w:tc>
          <w:tcPr>
            <w:tcW w:w="1418" w:type="dxa"/>
          </w:tcPr>
          <w:p w14:paraId="672A6420" w14:textId="77777777" w:rsidR="00C6733C" w:rsidRDefault="006D0638">
            <w:pPr>
              <w:pStyle w:val="TableParagraph"/>
              <w:ind w:right="95"/>
              <w:rPr>
                <w:rFonts w:ascii="Arial" w:hAnsi="Arial" w:cs="Arial"/>
                <w:sz w:val="16"/>
                <w:szCs w:val="20"/>
              </w:rPr>
            </w:pPr>
            <w:r>
              <w:rPr>
                <w:rFonts w:ascii="Arial" w:hAnsi="Arial" w:cs="Arial"/>
                <w:sz w:val="16"/>
                <w:szCs w:val="20"/>
              </w:rPr>
              <w:t>216,000.00</w:t>
            </w:r>
          </w:p>
        </w:tc>
        <w:tc>
          <w:tcPr>
            <w:tcW w:w="1417" w:type="dxa"/>
          </w:tcPr>
          <w:p w14:paraId="605009A6" w14:textId="77777777" w:rsidR="00C6733C" w:rsidRDefault="006D0638">
            <w:pPr>
              <w:pStyle w:val="TableParagraph"/>
              <w:ind w:right="96"/>
              <w:rPr>
                <w:rFonts w:ascii="Arial" w:hAnsi="Arial" w:cs="Arial"/>
                <w:sz w:val="16"/>
                <w:szCs w:val="20"/>
              </w:rPr>
            </w:pPr>
            <w:r>
              <w:rPr>
                <w:rFonts w:ascii="Arial" w:hAnsi="Arial" w:cs="Arial"/>
                <w:sz w:val="16"/>
                <w:szCs w:val="20"/>
              </w:rPr>
              <w:t>1’080,000.00</w:t>
            </w:r>
          </w:p>
        </w:tc>
        <w:tc>
          <w:tcPr>
            <w:tcW w:w="1559" w:type="dxa"/>
          </w:tcPr>
          <w:p w14:paraId="798EFFF7" w14:textId="77777777" w:rsidR="00C6733C" w:rsidRDefault="006D0638">
            <w:pPr>
              <w:pStyle w:val="TableParagraph"/>
              <w:ind w:right="97"/>
              <w:rPr>
                <w:rFonts w:ascii="Arial" w:hAnsi="Arial" w:cs="Arial"/>
                <w:sz w:val="16"/>
                <w:szCs w:val="20"/>
              </w:rPr>
            </w:pPr>
            <w:r>
              <w:rPr>
                <w:rFonts w:ascii="Arial" w:hAnsi="Arial" w:cs="Arial"/>
                <w:sz w:val="16"/>
                <w:szCs w:val="20"/>
              </w:rPr>
              <w:t>108,000.00</w:t>
            </w:r>
          </w:p>
        </w:tc>
        <w:tc>
          <w:tcPr>
            <w:tcW w:w="1418" w:type="dxa"/>
          </w:tcPr>
          <w:p w14:paraId="7DFE9EB0" w14:textId="77777777" w:rsidR="00C6733C" w:rsidRDefault="006D0638">
            <w:pPr>
              <w:pStyle w:val="TableParagraph"/>
              <w:ind w:right="97"/>
              <w:rPr>
                <w:rFonts w:ascii="Arial" w:hAnsi="Arial" w:cs="Arial"/>
                <w:sz w:val="16"/>
                <w:szCs w:val="20"/>
              </w:rPr>
            </w:pPr>
            <w:r>
              <w:rPr>
                <w:rFonts w:ascii="Arial" w:hAnsi="Arial" w:cs="Arial"/>
                <w:sz w:val="16"/>
                <w:szCs w:val="20"/>
              </w:rPr>
              <w:t>810,000.00</w:t>
            </w:r>
          </w:p>
        </w:tc>
      </w:tr>
      <w:tr w:rsidR="00C6733C" w14:paraId="505C180C" w14:textId="77777777">
        <w:trPr>
          <w:trHeight w:val="410"/>
          <w:jc w:val="center"/>
        </w:trPr>
        <w:tc>
          <w:tcPr>
            <w:tcW w:w="1555" w:type="dxa"/>
          </w:tcPr>
          <w:p w14:paraId="19167180" w14:textId="77777777" w:rsidR="00C6733C" w:rsidRDefault="006D0638">
            <w:pPr>
              <w:pStyle w:val="TableParagraph"/>
              <w:ind w:right="96"/>
              <w:rPr>
                <w:rFonts w:ascii="Arial" w:hAnsi="Arial" w:cs="Arial"/>
                <w:sz w:val="16"/>
                <w:szCs w:val="20"/>
              </w:rPr>
            </w:pPr>
            <w:r>
              <w:rPr>
                <w:rFonts w:ascii="Arial" w:hAnsi="Arial" w:cs="Arial"/>
                <w:sz w:val="16"/>
                <w:szCs w:val="20"/>
              </w:rPr>
              <w:t>5’000,000.01</w:t>
            </w:r>
          </w:p>
        </w:tc>
        <w:tc>
          <w:tcPr>
            <w:tcW w:w="1417" w:type="dxa"/>
          </w:tcPr>
          <w:p w14:paraId="0D0D09BB" w14:textId="77777777" w:rsidR="00C6733C" w:rsidRDefault="006D0638">
            <w:pPr>
              <w:pStyle w:val="TableParagraph"/>
              <w:ind w:right="95"/>
              <w:rPr>
                <w:rFonts w:ascii="Arial" w:hAnsi="Arial" w:cs="Arial"/>
                <w:sz w:val="16"/>
                <w:szCs w:val="20"/>
              </w:rPr>
            </w:pPr>
            <w:r>
              <w:rPr>
                <w:rFonts w:ascii="Arial" w:hAnsi="Arial" w:cs="Arial"/>
                <w:sz w:val="16"/>
                <w:szCs w:val="20"/>
              </w:rPr>
              <w:t>10’000,000.00</w:t>
            </w:r>
          </w:p>
        </w:tc>
        <w:tc>
          <w:tcPr>
            <w:tcW w:w="1418" w:type="dxa"/>
          </w:tcPr>
          <w:p w14:paraId="483AF053" w14:textId="77777777" w:rsidR="00C6733C" w:rsidRDefault="006D0638">
            <w:pPr>
              <w:pStyle w:val="TableParagraph"/>
              <w:ind w:right="95"/>
              <w:rPr>
                <w:rFonts w:ascii="Arial" w:hAnsi="Arial" w:cs="Arial"/>
                <w:sz w:val="16"/>
                <w:szCs w:val="20"/>
              </w:rPr>
            </w:pPr>
            <w:r>
              <w:rPr>
                <w:rFonts w:ascii="Arial" w:hAnsi="Arial" w:cs="Arial"/>
                <w:sz w:val="16"/>
                <w:szCs w:val="20"/>
              </w:rPr>
              <w:t>297,000.00</w:t>
            </w:r>
          </w:p>
        </w:tc>
        <w:tc>
          <w:tcPr>
            <w:tcW w:w="1417" w:type="dxa"/>
          </w:tcPr>
          <w:p w14:paraId="18226C22" w14:textId="77777777" w:rsidR="00C6733C" w:rsidRDefault="006D0638">
            <w:pPr>
              <w:pStyle w:val="TableParagraph"/>
              <w:ind w:right="96"/>
              <w:rPr>
                <w:rFonts w:ascii="Arial" w:hAnsi="Arial" w:cs="Arial"/>
                <w:sz w:val="16"/>
                <w:szCs w:val="20"/>
              </w:rPr>
            </w:pPr>
            <w:r>
              <w:rPr>
                <w:rFonts w:ascii="Arial" w:hAnsi="Arial" w:cs="Arial"/>
                <w:sz w:val="16"/>
                <w:szCs w:val="20"/>
              </w:rPr>
              <w:t>1’485,000.00</w:t>
            </w:r>
          </w:p>
        </w:tc>
        <w:tc>
          <w:tcPr>
            <w:tcW w:w="1559" w:type="dxa"/>
          </w:tcPr>
          <w:p w14:paraId="7B9B0EDE" w14:textId="77777777" w:rsidR="00C6733C" w:rsidRDefault="006D0638">
            <w:pPr>
              <w:pStyle w:val="TableParagraph"/>
              <w:ind w:right="97"/>
              <w:rPr>
                <w:rFonts w:ascii="Arial" w:hAnsi="Arial" w:cs="Arial"/>
                <w:sz w:val="16"/>
                <w:szCs w:val="20"/>
              </w:rPr>
            </w:pPr>
            <w:r>
              <w:rPr>
                <w:rFonts w:ascii="Arial" w:hAnsi="Arial" w:cs="Arial"/>
                <w:sz w:val="16"/>
                <w:szCs w:val="20"/>
              </w:rPr>
              <w:t>148,500.00</w:t>
            </w:r>
          </w:p>
        </w:tc>
        <w:tc>
          <w:tcPr>
            <w:tcW w:w="1418" w:type="dxa"/>
          </w:tcPr>
          <w:p w14:paraId="06965589" w14:textId="77777777" w:rsidR="00C6733C" w:rsidRDefault="006D0638">
            <w:pPr>
              <w:pStyle w:val="TableParagraph"/>
              <w:ind w:right="97"/>
              <w:rPr>
                <w:rFonts w:ascii="Arial" w:hAnsi="Arial" w:cs="Arial"/>
                <w:sz w:val="16"/>
                <w:szCs w:val="20"/>
              </w:rPr>
            </w:pPr>
            <w:r>
              <w:rPr>
                <w:rFonts w:ascii="Arial" w:hAnsi="Arial" w:cs="Arial"/>
                <w:sz w:val="16"/>
                <w:szCs w:val="20"/>
              </w:rPr>
              <w:t>1’114,000.00</w:t>
            </w:r>
          </w:p>
        </w:tc>
      </w:tr>
      <w:tr w:rsidR="00C6733C" w14:paraId="2FE8F340" w14:textId="77777777">
        <w:trPr>
          <w:trHeight w:val="410"/>
          <w:jc w:val="center"/>
        </w:trPr>
        <w:tc>
          <w:tcPr>
            <w:tcW w:w="1555" w:type="dxa"/>
          </w:tcPr>
          <w:p w14:paraId="781375CC" w14:textId="77777777" w:rsidR="00C6733C" w:rsidRDefault="006D0638">
            <w:pPr>
              <w:pStyle w:val="TableParagraph"/>
              <w:ind w:right="96"/>
              <w:rPr>
                <w:rFonts w:ascii="Arial" w:hAnsi="Arial" w:cs="Arial"/>
                <w:sz w:val="16"/>
                <w:szCs w:val="20"/>
              </w:rPr>
            </w:pPr>
            <w:r>
              <w:rPr>
                <w:rFonts w:ascii="Arial" w:hAnsi="Arial" w:cs="Arial"/>
                <w:sz w:val="16"/>
                <w:szCs w:val="20"/>
              </w:rPr>
              <w:t>10’000,000.01</w:t>
            </w:r>
          </w:p>
        </w:tc>
        <w:tc>
          <w:tcPr>
            <w:tcW w:w="1417" w:type="dxa"/>
          </w:tcPr>
          <w:p w14:paraId="1D9B1377" w14:textId="77777777" w:rsidR="00C6733C" w:rsidRDefault="006D0638">
            <w:pPr>
              <w:pStyle w:val="TableParagraph"/>
              <w:ind w:right="95"/>
              <w:rPr>
                <w:rFonts w:ascii="Arial" w:hAnsi="Arial" w:cs="Arial"/>
                <w:sz w:val="16"/>
                <w:szCs w:val="20"/>
              </w:rPr>
            </w:pPr>
            <w:r>
              <w:rPr>
                <w:rFonts w:ascii="Arial" w:hAnsi="Arial" w:cs="Arial"/>
                <w:sz w:val="16"/>
                <w:szCs w:val="20"/>
              </w:rPr>
              <w:t>25’000,000.00</w:t>
            </w:r>
          </w:p>
        </w:tc>
        <w:tc>
          <w:tcPr>
            <w:tcW w:w="1418" w:type="dxa"/>
          </w:tcPr>
          <w:p w14:paraId="6146758D" w14:textId="77777777" w:rsidR="00C6733C" w:rsidRDefault="006D0638">
            <w:pPr>
              <w:pStyle w:val="TableParagraph"/>
              <w:ind w:right="95"/>
              <w:rPr>
                <w:rFonts w:ascii="Arial" w:hAnsi="Arial" w:cs="Arial"/>
                <w:sz w:val="16"/>
                <w:szCs w:val="20"/>
              </w:rPr>
            </w:pPr>
            <w:r>
              <w:rPr>
                <w:rFonts w:ascii="Arial" w:hAnsi="Arial" w:cs="Arial"/>
                <w:sz w:val="16"/>
                <w:szCs w:val="20"/>
              </w:rPr>
              <w:t>378,000.00</w:t>
            </w:r>
          </w:p>
        </w:tc>
        <w:tc>
          <w:tcPr>
            <w:tcW w:w="1417" w:type="dxa"/>
          </w:tcPr>
          <w:p w14:paraId="67187A56" w14:textId="77777777" w:rsidR="00C6733C" w:rsidRDefault="006D0638">
            <w:pPr>
              <w:pStyle w:val="TableParagraph"/>
              <w:ind w:right="96"/>
              <w:rPr>
                <w:rFonts w:ascii="Arial" w:hAnsi="Arial" w:cs="Arial"/>
                <w:sz w:val="16"/>
                <w:szCs w:val="20"/>
              </w:rPr>
            </w:pPr>
            <w:r>
              <w:rPr>
                <w:rFonts w:ascii="Arial" w:hAnsi="Arial" w:cs="Arial"/>
                <w:sz w:val="16"/>
                <w:szCs w:val="20"/>
              </w:rPr>
              <w:t>1’890,000.00</w:t>
            </w:r>
          </w:p>
        </w:tc>
        <w:tc>
          <w:tcPr>
            <w:tcW w:w="1559" w:type="dxa"/>
          </w:tcPr>
          <w:p w14:paraId="311A2676" w14:textId="77777777" w:rsidR="00C6733C" w:rsidRDefault="006D0638">
            <w:pPr>
              <w:pStyle w:val="TableParagraph"/>
              <w:ind w:right="97"/>
              <w:rPr>
                <w:rFonts w:ascii="Arial" w:hAnsi="Arial" w:cs="Arial"/>
                <w:sz w:val="16"/>
                <w:szCs w:val="20"/>
              </w:rPr>
            </w:pPr>
            <w:r>
              <w:rPr>
                <w:rFonts w:ascii="Arial" w:hAnsi="Arial" w:cs="Arial"/>
                <w:sz w:val="16"/>
                <w:szCs w:val="20"/>
              </w:rPr>
              <w:t>189,000.00</w:t>
            </w:r>
          </w:p>
        </w:tc>
        <w:tc>
          <w:tcPr>
            <w:tcW w:w="1418" w:type="dxa"/>
          </w:tcPr>
          <w:p w14:paraId="534241F3" w14:textId="77777777" w:rsidR="00C6733C" w:rsidRDefault="006D0638">
            <w:pPr>
              <w:pStyle w:val="TableParagraph"/>
              <w:ind w:right="97"/>
              <w:rPr>
                <w:rFonts w:ascii="Arial" w:hAnsi="Arial" w:cs="Arial"/>
                <w:sz w:val="16"/>
                <w:szCs w:val="20"/>
              </w:rPr>
            </w:pPr>
            <w:r>
              <w:rPr>
                <w:rFonts w:ascii="Arial" w:hAnsi="Arial" w:cs="Arial"/>
                <w:sz w:val="16"/>
                <w:szCs w:val="20"/>
              </w:rPr>
              <w:t>1’418,000.00</w:t>
            </w:r>
          </w:p>
        </w:tc>
      </w:tr>
      <w:tr w:rsidR="00C6733C" w14:paraId="77545E41" w14:textId="77777777">
        <w:trPr>
          <w:trHeight w:val="412"/>
          <w:jc w:val="center"/>
        </w:trPr>
        <w:tc>
          <w:tcPr>
            <w:tcW w:w="1555" w:type="dxa"/>
          </w:tcPr>
          <w:p w14:paraId="16C8AE47" w14:textId="77777777" w:rsidR="00C6733C" w:rsidRDefault="006D0638">
            <w:pPr>
              <w:pStyle w:val="TableParagraph"/>
              <w:ind w:right="96"/>
              <w:rPr>
                <w:rFonts w:ascii="Arial" w:hAnsi="Arial" w:cs="Arial"/>
                <w:sz w:val="16"/>
                <w:szCs w:val="20"/>
              </w:rPr>
            </w:pPr>
            <w:r>
              <w:rPr>
                <w:rFonts w:ascii="Arial" w:hAnsi="Arial" w:cs="Arial"/>
                <w:sz w:val="16"/>
                <w:szCs w:val="20"/>
              </w:rPr>
              <w:t>25’000,000.01</w:t>
            </w:r>
          </w:p>
        </w:tc>
        <w:tc>
          <w:tcPr>
            <w:tcW w:w="1417" w:type="dxa"/>
          </w:tcPr>
          <w:p w14:paraId="2BD28CF8" w14:textId="77777777" w:rsidR="00C6733C" w:rsidRDefault="006D0638">
            <w:pPr>
              <w:pStyle w:val="TableParagraph"/>
              <w:ind w:right="95"/>
              <w:rPr>
                <w:rFonts w:ascii="Arial" w:hAnsi="Arial" w:cs="Arial"/>
                <w:sz w:val="16"/>
                <w:szCs w:val="20"/>
              </w:rPr>
            </w:pPr>
            <w:r>
              <w:rPr>
                <w:rFonts w:ascii="Arial" w:hAnsi="Arial" w:cs="Arial"/>
                <w:sz w:val="16"/>
                <w:szCs w:val="20"/>
              </w:rPr>
              <w:t>50’000,000.00</w:t>
            </w:r>
          </w:p>
        </w:tc>
        <w:tc>
          <w:tcPr>
            <w:tcW w:w="1418" w:type="dxa"/>
          </w:tcPr>
          <w:p w14:paraId="4776E241" w14:textId="77777777" w:rsidR="00C6733C" w:rsidRDefault="006D0638">
            <w:pPr>
              <w:pStyle w:val="TableParagraph"/>
              <w:ind w:right="95"/>
              <w:rPr>
                <w:rFonts w:ascii="Arial" w:hAnsi="Arial" w:cs="Arial"/>
                <w:sz w:val="16"/>
                <w:szCs w:val="20"/>
              </w:rPr>
            </w:pPr>
            <w:r>
              <w:rPr>
                <w:rFonts w:ascii="Arial" w:hAnsi="Arial" w:cs="Arial"/>
                <w:sz w:val="16"/>
                <w:szCs w:val="20"/>
              </w:rPr>
              <w:t>459,000.00</w:t>
            </w:r>
          </w:p>
        </w:tc>
        <w:tc>
          <w:tcPr>
            <w:tcW w:w="1417" w:type="dxa"/>
          </w:tcPr>
          <w:p w14:paraId="36D2C17D" w14:textId="77777777" w:rsidR="00C6733C" w:rsidRDefault="006D0638">
            <w:pPr>
              <w:pStyle w:val="TableParagraph"/>
              <w:ind w:right="96"/>
              <w:rPr>
                <w:rFonts w:ascii="Arial" w:hAnsi="Arial" w:cs="Arial"/>
                <w:sz w:val="16"/>
                <w:szCs w:val="20"/>
              </w:rPr>
            </w:pPr>
            <w:r>
              <w:rPr>
                <w:rFonts w:ascii="Arial" w:hAnsi="Arial" w:cs="Arial"/>
                <w:sz w:val="16"/>
                <w:szCs w:val="20"/>
              </w:rPr>
              <w:t>2’295,000.00</w:t>
            </w:r>
          </w:p>
        </w:tc>
        <w:tc>
          <w:tcPr>
            <w:tcW w:w="1559" w:type="dxa"/>
          </w:tcPr>
          <w:p w14:paraId="4E55A523" w14:textId="77777777" w:rsidR="00C6733C" w:rsidRDefault="006D0638">
            <w:pPr>
              <w:pStyle w:val="TableParagraph"/>
              <w:ind w:right="97"/>
              <w:rPr>
                <w:rFonts w:ascii="Arial" w:hAnsi="Arial" w:cs="Arial"/>
                <w:sz w:val="16"/>
                <w:szCs w:val="20"/>
              </w:rPr>
            </w:pPr>
            <w:r>
              <w:rPr>
                <w:rFonts w:ascii="Arial" w:hAnsi="Arial" w:cs="Arial"/>
                <w:sz w:val="16"/>
                <w:szCs w:val="20"/>
              </w:rPr>
              <w:t>229,500.00</w:t>
            </w:r>
          </w:p>
        </w:tc>
        <w:tc>
          <w:tcPr>
            <w:tcW w:w="1418" w:type="dxa"/>
          </w:tcPr>
          <w:p w14:paraId="46AD098E" w14:textId="77777777" w:rsidR="00C6733C" w:rsidRDefault="006D0638">
            <w:pPr>
              <w:pStyle w:val="TableParagraph"/>
              <w:ind w:right="97"/>
              <w:rPr>
                <w:rFonts w:ascii="Arial" w:hAnsi="Arial" w:cs="Arial"/>
                <w:sz w:val="16"/>
                <w:szCs w:val="20"/>
              </w:rPr>
            </w:pPr>
            <w:r>
              <w:rPr>
                <w:rFonts w:ascii="Arial" w:hAnsi="Arial" w:cs="Arial"/>
                <w:sz w:val="16"/>
                <w:szCs w:val="20"/>
              </w:rPr>
              <w:t>1’721,000.00</w:t>
            </w:r>
          </w:p>
        </w:tc>
      </w:tr>
      <w:tr w:rsidR="00C6733C" w14:paraId="379F0135" w14:textId="77777777">
        <w:trPr>
          <w:trHeight w:val="410"/>
          <w:jc w:val="center"/>
        </w:trPr>
        <w:tc>
          <w:tcPr>
            <w:tcW w:w="1555" w:type="dxa"/>
          </w:tcPr>
          <w:p w14:paraId="7AB0E35D" w14:textId="77777777" w:rsidR="00C6733C" w:rsidRDefault="006D0638">
            <w:pPr>
              <w:pStyle w:val="TableParagraph"/>
              <w:ind w:right="96"/>
              <w:rPr>
                <w:rFonts w:ascii="Arial" w:hAnsi="Arial" w:cs="Arial"/>
                <w:sz w:val="16"/>
                <w:szCs w:val="20"/>
              </w:rPr>
            </w:pPr>
            <w:r>
              <w:rPr>
                <w:rFonts w:ascii="Arial" w:hAnsi="Arial" w:cs="Arial"/>
                <w:sz w:val="16"/>
                <w:szCs w:val="20"/>
              </w:rPr>
              <w:t>50’000,000.01</w:t>
            </w:r>
          </w:p>
        </w:tc>
        <w:tc>
          <w:tcPr>
            <w:tcW w:w="1417" w:type="dxa"/>
          </w:tcPr>
          <w:p w14:paraId="6F0F5B72" w14:textId="77777777" w:rsidR="00C6733C" w:rsidRDefault="006D0638">
            <w:pPr>
              <w:pStyle w:val="TableParagraph"/>
              <w:ind w:right="95"/>
              <w:rPr>
                <w:rFonts w:ascii="Arial" w:hAnsi="Arial" w:cs="Arial"/>
                <w:sz w:val="16"/>
                <w:szCs w:val="20"/>
              </w:rPr>
            </w:pPr>
            <w:r>
              <w:rPr>
                <w:rFonts w:ascii="Arial" w:hAnsi="Arial" w:cs="Arial"/>
                <w:sz w:val="16"/>
                <w:szCs w:val="20"/>
              </w:rPr>
              <w:t>75’000,000.00</w:t>
            </w:r>
          </w:p>
        </w:tc>
        <w:tc>
          <w:tcPr>
            <w:tcW w:w="1418" w:type="dxa"/>
          </w:tcPr>
          <w:p w14:paraId="3B341D93" w14:textId="77777777" w:rsidR="00C6733C" w:rsidRDefault="006D0638">
            <w:pPr>
              <w:pStyle w:val="TableParagraph"/>
              <w:ind w:right="95"/>
              <w:rPr>
                <w:rFonts w:ascii="Arial" w:hAnsi="Arial" w:cs="Arial"/>
                <w:sz w:val="16"/>
                <w:szCs w:val="20"/>
              </w:rPr>
            </w:pPr>
            <w:r>
              <w:rPr>
                <w:rFonts w:ascii="Arial" w:hAnsi="Arial" w:cs="Arial"/>
                <w:sz w:val="16"/>
                <w:szCs w:val="20"/>
              </w:rPr>
              <w:t>540,000.00</w:t>
            </w:r>
          </w:p>
        </w:tc>
        <w:tc>
          <w:tcPr>
            <w:tcW w:w="1417" w:type="dxa"/>
          </w:tcPr>
          <w:p w14:paraId="595F5F4D" w14:textId="77777777" w:rsidR="00C6733C" w:rsidRDefault="006D0638">
            <w:pPr>
              <w:pStyle w:val="TableParagraph"/>
              <w:ind w:right="96"/>
              <w:rPr>
                <w:rFonts w:ascii="Arial" w:hAnsi="Arial" w:cs="Arial"/>
                <w:sz w:val="16"/>
                <w:szCs w:val="20"/>
              </w:rPr>
            </w:pPr>
            <w:r>
              <w:rPr>
                <w:rFonts w:ascii="Arial" w:hAnsi="Arial" w:cs="Arial"/>
                <w:sz w:val="16"/>
                <w:szCs w:val="20"/>
              </w:rPr>
              <w:t>2’700,000.00</w:t>
            </w:r>
          </w:p>
        </w:tc>
        <w:tc>
          <w:tcPr>
            <w:tcW w:w="1559" w:type="dxa"/>
          </w:tcPr>
          <w:p w14:paraId="3AD7F114" w14:textId="77777777" w:rsidR="00C6733C" w:rsidRDefault="006D0638">
            <w:pPr>
              <w:pStyle w:val="TableParagraph"/>
              <w:ind w:right="97"/>
              <w:rPr>
                <w:rFonts w:ascii="Arial" w:hAnsi="Arial" w:cs="Arial"/>
                <w:sz w:val="16"/>
                <w:szCs w:val="20"/>
              </w:rPr>
            </w:pPr>
            <w:r>
              <w:rPr>
                <w:rFonts w:ascii="Arial" w:hAnsi="Arial" w:cs="Arial"/>
                <w:sz w:val="16"/>
                <w:szCs w:val="20"/>
              </w:rPr>
              <w:t>270,000.00</w:t>
            </w:r>
          </w:p>
        </w:tc>
        <w:tc>
          <w:tcPr>
            <w:tcW w:w="1418" w:type="dxa"/>
          </w:tcPr>
          <w:p w14:paraId="09485985" w14:textId="77777777" w:rsidR="00C6733C" w:rsidRDefault="006D0638">
            <w:pPr>
              <w:pStyle w:val="TableParagraph"/>
              <w:ind w:right="97"/>
              <w:rPr>
                <w:rFonts w:ascii="Arial" w:hAnsi="Arial" w:cs="Arial"/>
                <w:sz w:val="16"/>
                <w:szCs w:val="20"/>
              </w:rPr>
            </w:pPr>
            <w:r>
              <w:rPr>
                <w:rFonts w:ascii="Arial" w:hAnsi="Arial" w:cs="Arial"/>
                <w:sz w:val="16"/>
                <w:szCs w:val="20"/>
              </w:rPr>
              <w:t>2’025,000.00</w:t>
            </w:r>
          </w:p>
        </w:tc>
      </w:tr>
      <w:tr w:rsidR="00C6733C" w14:paraId="2225F55F" w14:textId="77777777">
        <w:trPr>
          <w:trHeight w:val="412"/>
          <w:jc w:val="center"/>
        </w:trPr>
        <w:tc>
          <w:tcPr>
            <w:tcW w:w="1555" w:type="dxa"/>
          </w:tcPr>
          <w:p w14:paraId="69FE2970" w14:textId="77777777" w:rsidR="00C6733C" w:rsidRDefault="006D0638">
            <w:pPr>
              <w:pStyle w:val="TableParagraph"/>
              <w:ind w:right="96"/>
              <w:rPr>
                <w:rFonts w:ascii="Arial" w:hAnsi="Arial" w:cs="Arial"/>
                <w:sz w:val="16"/>
                <w:szCs w:val="20"/>
              </w:rPr>
            </w:pPr>
            <w:r>
              <w:rPr>
                <w:rFonts w:ascii="Arial" w:hAnsi="Arial" w:cs="Arial"/>
                <w:sz w:val="16"/>
                <w:szCs w:val="20"/>
              </w:rPr>
              <w:t>75’000,000.01</w:t>
            </w:r>
          </w:p>
        </w:tc>
        <w:tc>
          <w:tcPr>
            <w:tcW w:w="1417" w:type="dxa"/>
          </w:tcPr>
          <w:p w14:paraId="5688B010" w14:textId="77777777" w:rsidR="00C6733C" w:rsidRDefault="006D0638">
            <w:pPr>
              <w:pStyle w:val="TableParagraph"/>
              <w:ind w:right="96"/>
              <w:rPr>
                <w:rFonts w:ascii="Arial" w:hAnsi="Arial" w:cs="Arial"/>
                <w:sz w:val="16"/>
                <w:szCs w:val="20"/>
              </w:rPr>
            </w:pPr>
            <w:r>
              <w:rPr>
                <w:rFonts w:ascii="Arial" w:hAnsi="Arial" w:cs="Arial"/>
                <w:sz w:val="16"/>
                <w:szCs w:val="20"/>
              </w:rPr>
              <w:t>100’000,000.00</w:t>
            </w:r>
          </w:p>
        </w:tc>
        <w:tc>
          <w:tcPr>
            <w:tcW w:w="1418" w:type="dxa"/>
          </w:tcPr>
          <w:p w14:paraId="54D731C0" w14:textId="77777777" w:rsidR="00C6733C" w:rsidRDefault="006D0638">
            <w:pPr>
              <w:pStyle w:val="TableParagraph"/>
              <w:ind w:right="96"/>
              <w:rPr>
                <w:rFonts w:ascii="Arial" w:hAnsi="Arial" w:cs="Arial"/>
                <w:sz w:val="16"/>
                <w:szCs w:val="20"/>
              </w:rPr>
            </w:pPr>
            <w:r>
              <w:rPr>
                <w:rFonts w:ascii="Arial" w:hAnsi="Arial" w:cs="Arial"/>
                <w:sz w:val="16"/>
                <w:szCs w:val="20"/>
              </w:rPr>
              <w:t>810,000.00</w:t>
            </w:r>
          </w:p>
        </w:tc>
        <w:tc>
          <w:tcPr>
            <w:tcW w:w="1417" w:type="dxa"/>
          </w:tcPr>
          <w:p w14:paraId="5E9C67B8" w14:textId="77777777" w:rsidR="00C6733C" w:rsidRDefault="006D0638">
            <w:pPr>
              <w:pStyle w:val="TableParagraph"/>
              <w:ind w:right="96"/>
              <w:rPr>
                <w:rFonts w:ascii="Arial" w:hAnsi="Arial" w:cs="Arial"/>
                <w:sz w:val="16"/>
                <w:szCs w:val="20"/>
              </w:rPr>
            </w:pPr>
            <w:r>
              <w:rPr>
                <w:rFonts w:ascii="Arial" w:hAnsi="Arial" w:cs="Arial"/>
                <w:sz w:val="16"/>
                <w:szCs w:val="20"/>
              </w:rPr>
              <w:t>4’050,000.00</w:t>
            </w:r>
          </w:p>
        </w:tc>
        <w:tc>
          <w:tcPr>
            <w:tcW w:w="1559" w:type="dxa"/>
          </w:tcPr>
          <w:p w14:paraId="3143D6EF" w14:textId="77777777" w:rsidR="00C6733C" w:rsidRDefault="006D0638">
            <w:pPr>
              <w:pStyle w:val="TableParagraph"/>
              <w:ind w:right="96"/>
              <w:rPr>
                <w:rFonts w:ascii="Arial" w:hAnsi="Arial" w:cs="Arial"/>
                <w:sz w:val="16"/>
                <w:szCs w:val="20"/>
              </w:rPr>
            </w:pPr>
            <w:r>
              <w:rPr>
                <w:rFonts w:ascii="Arial" w:hAnsi="Arial" w:cs="Arial"/>
                <w:sz w:val="16"/>
                <w:szCs w:val="20"/>
              </w:rPr>
              <w:t>405,000.00</w:t>
            </w:r>
          </w:p>
        </w:tc>
        <w:tc>
          <w:tcPr>
            <w:tcW w:w="1418" w:type="dxa"/>
          </w:tcPr>
          <w:p w14:paraId="1299678B" w14:textId="77777777" w:rsidR="00C6733C" w:rsidRDefault="006D0638">
            <w:pPr>
              <w:pStyle w:val="TableParagraph"/>
              <w:ind w:right="96"/>
              <w:rPr>
                <w:rFonts w:ascii="Arial" w:hAnsi="Arial" w:cs="Arial"/>
                <w:sz w:val="16"/>
                <w:szCs w:val="20"/>
              </w:rPr>
            </w:pPr>
            <w:r>
              <w:rPr>
                <w:rFonts w:ascii="Arial" w:hAnsi="Arial" w:cs="Arial"/>
                <w:sz w:val="16"/>
                <w:szCs w:val="20"/>
              </w:rPr>
              <w:t>3’038,000.00</w:t>
            </w:r>
          </w:p>
        </w:tc>
      </w:tr>
      <w:tr w:rsidR="00C6733C" w14:paraId="0AC3FA44" w14:textId="77777777">
        <w:trPr>
          <w:trHeight w:val="410"/>
          <w:jc w:val="center"/>
        </w:trPr>
        <w:tc>
          <w:tcPr>
            <w:tcW w:w="1555" w:type="dxa"/>
          </w:tcPr>
          <w:p w14:paraId="254307FE" w14:textId="77777777" w:rsidR="00C6733C" w:rsidRDefault="006D0638">
            <w:pPr>
              <w:pStyle w:val="TableParagraph"/>
              <w:ind w:right="96"/>
              <w:rPr>
                <w:rFonts w:ascii="Arial" w:hAnsi="Arial" w:cs="Arial"/>
                <w:sz w:val="16"/>
                <w:szCs w:val="20"/>
              </w:rPr>
            </w:pPr>
            <w:r>
              <w:rPr>
                <w:rFonts w:ascii="Arial" w:hAnsi="Arial" w:cs="Arial"/>
                <w:sz w:val="16"/>
                <w:szCs w:val="20"/>
              </w:rPr>
              <w:t>100’000,000.01</w:t>
            </w:r>
          </w:p>
        </w:tc>
        <w:tc>
          <w:tcPr>
            <w:tcW w:w="1417" w:type="dxa"/>
          </w:tcPr>
          <w:p w14:paraId="179663E2" w14:textId="77777777" w:rsidR="00C6733C" w:rsidRDefault="006D0638">
            <w:pPr>
              <w:pStyle w:val="TableParagraph"/>
              <w:ind w:right="96"/>
              <w:rPr>
                <w:rFonts w:ascii="Arial" w:hAnsi="Arial" w:cs="Arial"/>
                <w:sz w:val="16"/>
                <w:szCs w:val="20"/>
              </w:rPr>
            </w:pPr>
            <w:r>
              <w:rPr>
                <w:rFonts w:ascii="Arial" w:hAnsi="Arial" w:cs="Arial"/>
                <w:sz w:val="16"/>
                <w:szCs w:val="20"/>
              </w:rPr>
              <w:t>En adelante</w:t>
            </w:r>
          </w:p>
        </w:tc>
        <w:tc>
          <w:tcPr>
            <w:tcW w:w="1418" w:type="dxa"/>
          </w:tcPr>
          <w:p w14:paraId="7F8288F3" w14:textId="77777777" w:rsidR="00C6733C" w:rsidRDefault="006D0638">
            <w:pPr>
              <w:pStyle w:val="TableParagraph"/>
              <w:ind w:right="96"/>
              <w:rPr>
                <w:rFonts w:ascii="Arial" w:hAnsi="Arial" w:cs="Arial"/>
                <w:sz w:val="16"/>
                <w:szCs w:val="20"/>
              </w:rPr>
            </w:pPr>
            <w:r>
              <w:rPr>
                <w:rFonts w:ascii="Arial" w:hAnsi="Arial" w:cs="Arial"/>
                <w:sz w:val="16"/>
                <w:szCs w:val="20"/>
              </w:rPr>
              <w:t>1’080,000.00</w:t>
            </w:r>
          </w:p>
        </w:tc>
        <w:tc>
          <w:tcPr>
            <w:tcW w:w="1417" w:type="dxa"/>
          </w:tcPr>
          <w:p w14:paraId="4DCCC6CA" w14:textId="77777777" w:rsidR="00C6733C" w:rsidRDefault="006D0638">
            <w:pPr>
              <w:pStyle w:val="TableParagraph"/>
              <w:ind w:right="96"/>
              <w:rPr>
                <w:rFonts w:ascii="Arial" w:hAnsi="Arial" w:cs="Arial"/>
                <w:sz w:val="16"/>
                <w:szCs w:val="20"/>
              </w:rPr>
            </w:pPr>
            <w:r>
              <w:rPr>
                <w:rFonts w:ascii="Arial" w:hAnsi="Arial" w:cs="Arial"/>
                <w:sz w:val="16"/>
                <w:szCs w:val="20"/>
              </w:rPr>
              <w:t>5’400,000.00</w:t>
            </w:r>
          </w:p>
        </w:tc>
        <w:tc>
          <w:tcPr>
            <w:tcW w:w="1559" w:type="dxa"/>
          </w:tcPr>
          <w:p w14:paraId="43F31E9B" w14:textId="77777777" w:rsidR="00C6733C" w:rsidRDefault="006D0638">
            <w:pPr>
              <w:pStyle w:val="TableParagraph"/>
              <w:ind w:right="96"/>
              <w:rPr>
                <w:rFonts w:ascii="Arial" w:hAnsi="Arial" w:cs="Arial"/>
                <w:sz w:val="16"/>
                <w:szCs w:val="20"/>
              </w:rPr>
            </w:pPr>
            <w:r>
              <w:rPr>
                <w:rFonts w:ascii="Arial" w:hAnsi="Arial" w:cs="Arial"/>
                <w:sz w:val="16"/>
                <w:szCs w:val="20"/>
              </w:rPr>
              <w:t>540,000.00</w:t>
            </w:r>
          </w:p>
        </w:tc>
        <w:tc>
          <w:tcPr>
            <w:tcW w:w="1418" w:type="dxa"/>
          </w:tcPr>
          <w:p w14:paraId="60E9F760" w14:textId="77777777" w:rsidR="00C6733C" w:rsidRDefault="006D0638">
            <w:pPr>
              <w:pStyle w:val="TableParagraph"/>
              <w:ind w:right="96"/>
              <w:rPr>
                <w:rFonts w:ascii="Arial" w:hAnsi="Arial" w:cs="Arial"/>
                <w:sz w:val="16"/>
                <w:szCs w:val="20"/>
              </w:rPr>
            </w:pPr>
            <w:r>
              <w:rPr>
                <w:rFonts w:ascii="Arial" w:hAnsi="Arial" w:cs="Arial"/>
                <w:sz w:val="16"/>
                <w:szCs w:val="20"/>
              </w:rPr>
              <w:t>4’050,000.00</w:t>
            </w:r>
          </w:p>
        </w:tc>
      </w:tr>
    </w:tbl>
    <w:p w14:paraId="1B64B4C2" w14:textId="77777777" w:rsidR="00C6733C" w:rsidRDefault="00C6733C">
      <w:pPr>
        <w:pStyle w:val="Textoindependiente"/>
        <w:rPr>
          <w:sz w:val="22"/>
          <w:szCs w:val="22"/>
        </w:rPr>
      </w:pPr>
    </w:p>
    <w:p w14:paraId="017736D8" w14:textId="77777777" w:rsidR="00C6733C" w:rsidRDefault="006D0638">
      <w:pPr>
        <w:pStyle w:val="Textoindependiente"/>
        <w:jc w:val="both"/>
        <w:rPr>
          <w:sz w:val="22"/>
          <w:szCs w:val="22"/>
        </w:rPr>
      </w:pPr>
      <w:r>
        <w:rPr>
          <w:sz w:val="22"/>
          <w:szCs w:val="22"/>
        </w:rPr>
        <w:t>Los montos establecidos deberán considerarse sin incluir el importe del Impuesto al Valor Agregado.</w:t>
      </w:r>
    </w:p>
    <w:p w14:paraId="557FB111" w14:textId="77777777" w:rsidR="00C6733C" w:rsidRDefault="00C6733C">
      <w:pPr>
        <w:pStyle w:val="Textoindependiente"/>
        <w:jc w:val="both"/>
        <w:rPr>
          <w:sz w:val="22"/>
          <w:szCs w:val="22"/>
        </w:rPr>
      </w:pPr>
    </w:p>
    <w:p w14:paraId="1EB8C6A6" w14:textId="77777777" w:rsidR="00C6733C" w:rsidRDefault="006D0638">
      <w:pPr>
        <w:pStyle w:val="Textoindependiente"/>
        <w:jc w:val="both"/>
        <w:rPr>
          <w:sz w:val="22"/>
          <w:szCs w:val="22"/>
        </w:rPr>
      </w:pPr>
      <w:r>
        <w:rPr>
          <w:sz w:val="22"/>
          <w:szCs w:val="22"/>
        </w:rPr>
        <w:t xml:space="preserve">Los Ejecutores de gasto deberán utilizar el presupuesto anual modificado del ejercicio inmediato anterior para </w:t>
      </w:r>
      <w:r>
        <w:rPr>
          <w:sz w:val="22"/>
          <w:szCs w:val="22"/>
        </w:rPr>
        <w:t>efecto de ubicarse en el rango correspondiente.</w:t>
      </w:r>
    </w:p>
    <w:p w14:paraId="31A99BB5" w14:textId="77777777" w:rsidR="00C6733C" w:rsidRDefault="00C6733C">
      <w:pPr>
        <w:pStyle w:val="Textoindependiente"/>
        <w:jc w:val="both"/>
        <w:rPr>
          <w:sz w:val="22"/>
          <w:szCs w:val="22"/>
        </w:rPr>
      </w:pPr>
    </w:p>
    <w:p w14:paraId="52C73A95" w14:textId="77777777" w:rsidR="00C6733C" w:rsidRDefault="00C6733C">
      <w:pPr>
        <w:pStyle w:val="Textoindependiente"/>
        <w:jc w:val="both"/>
        <w:rPr>
          <w:sz w:val="22"/>
          <w:szCs w:val="22"/>
        </w:rPr>
      </w:pPr>
    </w:p>
    <w:p w14:paraId="401F3913" w14:textId="77777777" w:rsidR="00C6733C" w:rsidRDefault="006D0638">
      <w:pPr>
        <w:pStyle w:val="Textoindependiente"/>
        <w:jc w:val="center"/>
        <w:rPr>
          <w:b/>
          <w:sz w:val="22"/>
          <w:szCs w:val="22"/>
        </w:rPr>
      </w:pPr>
      <w:r>
        <w:rPr>
          <w:b/>
          <w:sz w:val="22"/>
          <w:szCs w:val="22"/>
        </w:rPr>
        <w:t>Título Séptimo</w:t>
      </w:r>
    </w:p>
    <w:p w14:paraId="08DD6AAB" w14:textId="77777777" w:rsidR="00C6733C" w:rsidRDefault="006D0638">
      <w:pPr>
        <w:pStyle w:val="Textoindependiente"/>
        <w:jc w:val="center"/>
        <w:rPr>
          <w:b/>
          <w:sz w:val="22"/>
          <w:szCs w:val="22"/>
        </w:rPr>
      </w:pPr>
      <w:r>
        <w:rPr>
          <w:b/>
          <w:sz w:val="22"/>
          <w:szCs w:val="22"/>
        </w:rPr>
        <w:t>De las Transferencias, Asignaciones, Subsidios y Otras Ayudas</w:t>
      </w:r>
    </w:p>
    <w:p w14:paraId="3151D0A7" w14:textId="77777777" w:rsidR="00C6733C" w:rsidRDefault="00C6733C">
      <w:pPr>
        <w:pStyle w:val="Textoindependiente"/>
        <w:jc w:val="both"/>
        <w:rPr>
          <w:sz w:val="22"/>
          <w:szCs w:val="22"/>
        </w:rPr>
      </w:pPr>
    </w:p>
    <w:p w14:paraId="2ABE68CA" w14:textId="77777777" w:rsidR="00C6733C" w:rsidRDefault="006D0638">
      <w:pPr>
        <w:pStyle w:val="Textoindependiente"/>
        <w:jc w:val="both"/>
        <w:rPr>
          <w:sz w:val="22"/>
          <w:szCs w:val="22"/>
        </w:rPr>
      </w:pPr>
      <w:r>
        <w:rPr>
          <w:b/>
          <w:bCs/>
          <w:sz w:val="22"/>
          <w:szCs w:val="22"/>
        </w:rPr>
        <w:t xml:space="preserve">Artículo 67. </w:t>
      </w:r>
      <w:r>
        <w:rPr>
          <w:sz w:val="22"/>
          <w:szCs w:val="22"/>
        </w:rPr>
        <w:t xml:space="preserve">Las asignaciones por concepto de subsidios, ayudas y donativos con cargo al presente Decreto, se sujetarán: </w:t>
      </w:r>
    </w:p>
    <w:p w14:paraId="65C6EA38" w14:textId="77777777" w:rsidR="00C6733C" w:rsidRDefault="00C6733C">
      <w:pPr>
        <w:pStyle w:val="Textoindependiente"/>
        <w:jc w:val="both"/>
        <w:rPr>
          <w:sz w:val="22"/>
          <w:szCs w:val="22"/>
        </w:rPr>
      </w:pPr>
    </w:p>
    <w:p w14:paraId="1B144235" w14:textId="77777777" w:rsidR="00C6733C" w:rsidRDefault="006D0638">
      <w:pPr>
        <w:pStyle w:val="Textoindependiente"/>
        <w:numPr>
          <w:ilvl w:val="0"/>
          <w:numId w:val="14"/>
        </w:numPr>
        <w:jc w:val="both"/>
        <w:rPr>
          <w:sz w:val="22"/>
          <w:szCs w:val="22"/>
        </w:rPr>
      </w:pPr>
      <w:r>
        <w:rPr>
          <w:sz w:val="22"/>
          <w:szCs w:val="22"/>
        </w:rPr>
        <w:t xml:space="preserve">A la </w:t>
      </w:r>
      <w:r>
        <w:rPr>
          <w:sz w:val="22"/>
          <w:szCs w:val="22"/>
        </w:rPr>
        <w:t xml:space="preserve">disponibilidad presupuestaria; </w:t>
      </w:r>
    </w:p>
    <w:p w14:paraId="733CB940" w14:textId="77777777" w:rsidR="00C6733C" w:rsidRDefault="00C6733C">
      <w:pPr>
        <w:pStyle w:val="Textoindependiente"/>
        <w:ind w:left="1004"/>
        <w:jc w:val="both"/>
        <w:rPr>
          <w:sz w:val="22"/>
          <w:szCs w:val="22"/>
        </w:rPr>
      </w:pPr>
    </w:p>
    <w:p w14:paraId="7B9BCFD2" w14:textId="77777777" w:rsidR="00C6733C" w:rsidRDefault="006D0638">
      <w:pPr>
        <w:pStyle w:val="Textoindependiente"/>
        <w:numPr>
          <w:ilvl w:val="0"/>
          <w:numId w:val="14"/>
        </w:numPr>
        <w:jc w:val="both"/>
        <w:rPr>
          <w:sz w:val="22"/>
          <w:szCs w:val="22"/>
        </w:rPr>
      </w:pPr>
      <w:r>
        <w:rPr>
          <w:sz w:val="22"/>
          <w:szCs w:val="22"/>
        </w:rPr>
        <w:t>A los criterios de objetividad, equidad, transparencia, selectividad, perspectiva de género, temporalidad y publicidad a efecto de identificar a la población objetivo, así como el propósito o destino principal de conformida</w:t>
      </w:r>
      <w:r>
        <w:rPr>
          <w:sz w:val="22"/>
          <w:szCs w:val="22"/>
        </w:rPr>
        <w:t xml:space="preserve">d con lo dispuesto en la Ley, y </w:t>
      </w:r>
    </w:p>
    <w:p w14:paraId="2380A9FF" w14:textId="77777777" w:rsidR="00C6733C" w:rsidRDefault="00C6733C">
      <w:pPr>
        <w:pStyle w:val="Textoindependiente"/>
        <w:ind w:left="1004"/>
        <w:jc w:val="both"/>
        <w:rPr>
          <w:sz w:val="22"/>
          <w:szCs w:val="22"/>
        </w:rPr>
      </w:pPr>
    </w:p>
    <w:p w14:paraId="1A06551C" w14:textId="77777777" w:rsidR="00C6733C" w:rsidRDefault="006D0638">
      <w:pPr>
        <w:pStyle w:val="Textoindependiente"/>
        <w:numPr>
          <w:ilvl w:val="0"/>
          <w:numId w:val="14"/>
        </w:numPr>
        <w:jc w:val="both"/>
        <w:rPr>
          <w:sz w:val="22"/>
          <w:szCs w:val="22"/>
        </w:rPr>
      </w:pPr>
      <w:r>
        <w:rPr>
          <w:sz w:val="22"/>
          <w:szCs w:val="22"/>
        </w:rPr>
        <w:t xml:space="preserve">Al programa presupuestario de la Dependencia o Entidad, y a la normatividad aplicable en la materia. </w:t>
      </w:r>
    </w:p>
    <w:p w14:paraId="7FFBD2DB" w14:textId="77777777" w:rsidR="00C6733C" w:rsidRDefault="00C6733C">
      <w:pPr>
        <w:pStyle w:val="Textoindependiente"/>
        <w:numPr>
          <w:ilvl w:val="1"/>
          <w:numId w:val="13"/>
        </w:numPr>
        <w:jc w:val="both"/>
        <w:rPr>
          <w:sz w:val="22"/>
          <w:szCs w:val="22"/>
        </w:rPr>
      </w:pPr>
    </w:p>
    <w:p w14:paraId="7AD52AE5" w14:textId="77777777" w:rsidR="00C6733C" w:rsidRDefault="006D0638">
      <w:pPr>
        <w:pStyle w:val="Textoindependiente"/>
        <w:jc w:val="both"/>
        <w:rPr>
          <w:sz w:val="22"/>
          <w:szCs w:val="22"/>
        </w:rPr>
      </w:pPr>
      <w:r>
        <w:rPr>
          <w:b/>
          <w:bCs/>
          <w:sz w:val="22"/>
          <w:szCs w:val="22"/>
        </w:rPr>
        <w:t xml:space="preserve">Artículo 68. </w:t>
      </w:r>
      <w:r>
        <w:rPr>
          <w:sz w:val="22"/>
          <w:szCs w:val="22"/>
        </w:rPr>
        <w:t>Los titulares de las Dependencias y Entidades a los que se autorice la asignación de transferencias, subsidios y donativos con cargo al Presupuesto de Egresos, serán responsables de su correcta aplicación conforme a lo establecido en la Ley, este Decreto y</w:t>
      </w:r>
      <w:r>
        <w:rPr>
          <w:sz w:val="22"/>
          <w:szCs w:val="22"/>
        </w:rPr>
        <w:t xml:space="preserve"> las demás disposiciones aplicables. </w:t>
      </w:r>
    </w:p>
    <w:p w14:paraId="5EDB7F76" w14:textId="77777777" w:rsidR="00C6733C" w:rsidRDefault="00C6733C">
      <w:pPr>
        <w:pStyle w:val="Textoindependiente"/>
        <w:jc w:val="both"/>
        <w:rPr>
          <w:b/>
          <w:bCs/>
          <w:sz w:val="22"/>
          <w:szCs w:val="22"/>
        </w:rPr>
      </w:pPr>
    </w:p>
    <w:p w14:paraId="25B5BDD7" w14:textId="77777777" w:rsidR="00C6733C" w:rsidRDefault="006D0638">
      <w:pPr>
        <w:widowControl/>
        <w:autoSpaceDE/>
        <w:autoSpaceDN/>
        <w:jc w:val="both"/>
        <w:rPr>
          <w:rFonts w:ascii="Arial" w:hAnsi="Arial" w:cs="Arial"/>
        </w:rPr>
      </w:pPr>
      <w:r>
        <w:rPr>
          <w:rFonts w:ascii="Arial" w:hAnsi="Arial" w:cs="Arial"/>
          <w:b/>
          <w:bCs/>
        </w:rPr>
        <w:t xml:space="preserve">Artículo 69. </w:t>
      </w:r>
      <w:r>
        <w:rPr>
          <w:rFonts w:ascii="Arial" w:hAnsi="Arial" w:cs="Arial"/>
        </w:rPr>
        <w:t>Los recursos destinados a subsidios o ayudas sociales por Entidad ascienden a $</w:t>
      </w:r>
      <w:r>
        <w:rPr>
          <w:rFonts w:ascii="Arial" w:eastAsia="Times New Roman" w:hAnsi="Arial" w:cs="Arial"/>
          <w:lang w:bidi="ar-SA"/>
        </w:rPr>
        <w:t xml:space="preserve">237,402,190.60 </w:t>
      </w:r>
      <w:r>
        <w:rPr>
          <w:rFonts w:ascii="Arial" w:hAnsi="Arial" w:cs="Arial"/>
        </w:rPr>
        <w:t>(</w:t>
      </w:r>
      <w:r>
        <w:rPr>
          <w:rFonts w:ascii="Arial" w:eastAsia="Times New Roman" w:hAnsi="Arial" w:cs="Arial"/>
          <w:color w:val="000000"/>
          <w:lang w:bidi="ar-SA"/>
        </w:rPr>
        <w:t>Doscientos treinta y siete millones cuatrocientos dos mil ciento noventa pesos 60</w:t>
      </w:r>
      <w:r>
        <w:rPr>
          <w:rFonts w:ascii="Arial" w:hAnsi="Arial" w:cs="Arial"/>
        </w:rPr>
        <w:t>/100 M.N.), según el siguien</w:t>
      </w:r>
      <w:r>
        <w:rPr>
          <w:rFonts w:ascii="Arial" w:hAnsi="Arial" w:cs="Arial"/>
        </w:rPr>
        <w:t>te desglose:</w:t>
      </w:r>
    </w:p>
    <w:p w14:paraId="4840B121" w14:textId="77777777" w:rsidR="00C6733C" w:rsidRDefault="00C6733C">
      <w:pPr>
        <w:pStyle w:val="Textoindependiente"/>
        <w:rPr>
          <w:sz w:val="22"/>
          <w:szCs w:val="22"/>
        </w:rPr>
      </w:pPr>
    </w:p>
    <w:tbl>
      <w:tblPr>
        <w:tblW w:w="6980" w:type="dxa"/>
        <w:jc w:val="center"/>
        <w:tblCellMar>
          <w:left w:w="70" w:type="dxa"/>
          <w:right w:w="70" w:type="dxa"/>
        </w:tblCellMar>
        <w:tblLook w:val="04A0" w:firstRow="1" w:lastRow="0" w:firstColumn="1" w:lastColumn="0" w:noHBand="0" w:noVBand="1"/>
      </w:tblPr>
      <w:tblGrid>
        <w:gridCol w:w="5310"/>
        <w:gridCol w:w="1670"/>
      </w:tblGrid>
      <w:tr w:rsidR="00C6733C" w14:paraId="0EE6E7EB" w14:textId="77777777">
        <w:trPr>
          <w:trHeight w:val="570"/>
          <w:jc w:val="center"/>
        </w:trPr>
        <w:tc>
          <w:tcPr>
            <w:tcW w:w="5340" w:type="dxa"/>
            <w:tcBorders>
              <w:top w:val="nil"/>
              <w:left w:val="nil"/>
              <w:bottom w:val="nil"/>
              <w:right w:val="nil"/>
            </w:tcBorders>
            <w:shd w:val="clear" w:color="auto" w:fill="auto"/>
            <w:vAlign w:val="center"/>
            <w:hideMark/>
          </w:tcPr>
          <w:p w14:paraId="74D81886" w14:textId="77777777" w:rsidR="00C6733C" w:rsidRDefault="00C6733C">
            <w:pPr>
              <w:widowControl/>
              <w:autoSpaceDE/>
              <w:autoSpaceDN/>
              <w:rPr>
                <w:rFonts w:ascii="Arial" w:eastAsia="Times New Roman" w:hAnsi="Arial" w:cs="Arial"/>
                <w:sz w:val="24"/>
                <w:szCs w:val="24"/>
                <w:lang w:bidi="ar-SA"/>
              </w:rPr>
            </w:pPr>
          </w:p>
        </w:tc>
        <w:tc>
          <w:tcPr>
            <w:tcW w:w="1640" w:type="dxa"/>
            <w:tcBorders>
              <w:top w:val="nil"/>
              <w:left w:val="nil"/>
              <w:bottom w:val="nil"/>
              <w:right w:val="nil"/>
            </w:tcBorders>
            <w:shd w:val="clear" w:color="auto" w:fill="auto"/>
            <w:noWrap/>
            <w:vAlign w:val="center"/>
            <w:hideMark/>
          </w:tcPr>
          <w:p w14:paraId="2131CF35" w14:textId="77777777" w:rsidR="00C6733C" w:rsidRDefault="006D0638">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rsidR="00C6733C" w14:paraId="54BE360D" w14:textId="77777777">
        <w:trPr>
          <w:trHeight w:val="570"/>
          <w:jc w:val="center"/>
        </w:trPr>
        <w:tc>
          <w:tcPr>
            <w:tcW w:w="5340" w:type="dxa"/>
            <w:tcBorders>
              <w:top w:val="nil"/>
              <w:left w:val="nil"/>
              <w:bottom w:val="nil"/>
              <w:right w:val="nil"/>
            </w:tcBorders>
            <w:shd w:val="clear" w:color="auto" w:fill="auto"/>
            <w:vAlign w:val="center"/>
            <w:hideMark/>
          </w:tcPr>
          <w:p w14:paraId="4B5BD6A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Gubernatura</w:t>
            </w:r>
          </w:p>
        </w:tc>
        <w:tc>
          <w:tcPr>
            <w:tcW w:w="1640" w:type="dxa"/>
            <w:tcBorders>
              <w:top w:val="nil"/>
              <w:left w:val="nil"/>
              <w:bottom w:val="nil"/>
              <w:right w:val="nil"/>
            </w:tcBorders>
            <w:shd w:val="clear" w:color="auto" w:fill="auto"/>
            <w:noWrap/>
            <w:vAlign w:val="center"/>
            <w:hideMark/>
          </w:tcPr>
          <w:p w14:paraId="1D47561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500,000.00</w:t>
            </w:r>
          </w:p>
        </w:tc>
      </w:tr>
      <w:tr w:rsidR="00C6733C" w14:paraId="214F2ADF" w14:textId="77777777">
        <w:trPr>
          <w:trHeight w:val="570"/>
          <w:jc w:val="center"/>
        </w:trPr>
        <w:tc>
          <w:tcPr>
            <w:tcW w:w="5340" w:type="dxa"/>
            <w:tcBorders>
              <w:top w:val="nil"/>
              <w:left w:val="nil"/>
              <w:bottom w:val="nil"/>
              <w:right w:val="nil"/>
            </w:tcBorders>
            <w:shd w:val="clear" w:color="auto" w:fill="auto"/>
            <w:vAlign w:val="center"/>
            <w:hideMark/>
          </w:tcPr>
          <w:p w14:paraId="202C631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General de Gobierno</w:t>
            </w:r>
          </w:p>
        </w:tc>
        <w:tc>
          <w:tcPr>
            <w:tcW w:w="1640" w:type="dxa"/>
            <w:tcBorders>
              <w:top w:val="nil"/>
              <w:left w:val="nil"/>
              <w:bottom w:val="nil"/>
              <w:right w:val="nil"/>
            </w:tcBorders>
            <w:shd w:val="clear" w:color="auto" w:fill="auto"/>
            <w:noWrap/>
            <w:vAlign w:val="center"/>
            <w:hideMark/>
          </w:tcPr>
          <w:p w14:paraId="61E174E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20,000,000.00</w:t>
            </w:r>
          </w:p>
        </w:tc>
      </w:tr>
      <w:tr w:rsidR="00C6733C" w14:paraId="7AAA39BF" w14:textId="77777777">
        <w:trPr>
          <w:trHeight w:val="570"/>
          <w:jc w:val="center"/>
        </w:trPr>
        <w:tc>
          <w:tcPr>
            <w:tcW w:w="5340" w:type="dxa"/>
            <w:tcBorders>
              <w:top w:val="nil"/>
              <w:left w:val="nil"/>
              <w:bottom w:val="nil"/>
              <w:right w:val="nil"/>
            </w:tcBorders>
            <w:shd w:val="clear" w:color="auto" w:fill="auto"/>
            <w:vAlign w:val="center"/>
            <w:hideMark/>
          </w:tcPr>
          <w:p w14:paraId="752C7C2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Movilidad</w:t>
            </w:r>
          </w:p>
        </w:tc>
        <w:tc>
          <w:tcPr>
            <w:tcW w:w="1640" w:type="dxa"/>
            <w:tcBorders>
              <w:top w:val="nil"/>
              <w:left w:val="nil"/>
              <w:bottom w:val="nil"/>
              <w:right w:val="nil"/>
            </w:tcBorders>
            <w:shd w:val="clear" w:color="auto" w:fill="auto"/>
            <w:noWrap/>
            <w:vAlign w:val="center"/>
            <w:hideMark/>
          </w:tcPr>
          <w:p w14:paraId="46A31D5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300,000.00</w:t>
            </w:r>
          </w:p>
        </w:tc>
      </w:tr>
      <w:tr w:rsidR="00C6733C" w14:paraId="1EFB953A" w14:textId="77777777">
        <w:trPr>
          <w:trHeight w:val="570"/>
          <w:jc w:val="center"/>
        </w:trPr>
        <w:tc>
          <w:tcPr>
            <w:tcW w:w="5340" w:type="dxa"/>
            <w:tcBorders>
              <w:top w:val="nil"/>
              <w:left w:val="nil"/>
              <w:bottom w:val="nil"/>
              <w:right w:val="nil"/>
            </w:tcBorders>
            <w:shd w:val="clear" w:color="auto" w:fill="auto"/>
            <w:vAlign w:val="center"/>
            <w:hideMark/>
          </w:tcPr>
          <w:p w14:paraId="6F7640BB"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Pueblos Indígenas y Afromexicano</w:t>
            </w:r>
          </w:p>
        </w:tc>
        <w:tc>
          <w:tcPr>
            <w:tcW w:w="1640" w:type="dxa"/>
            <w:tcBorders>
              <w:top w:val="nil"/>
              <w:left w:val="nil"/>
              <w:bottom w:val="nil"/>
              <w:right w:val="nil"/>
            </w:tcBorders>
            <w:shd w:val="clear" w:color="auto" w:fill="auto"/>
            <w:noWrap/>
            <w:vAlign w:val="center"/>
            <w:hideMark/>
          </w:tcPr>
          <w:p w14:paraId="269E38F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190,000.00</w:t>
            </w:r>
          </w:p>
        </w:tc>
      </w:tr>
      <w:tr w:rsidR="00C6733C" w14:paraId="685BE588" w14:textId="77777777">
        <w:trPr>
          <w:trHeight w:val="570"/>
          <w:jc w:val="center"/>
        </w:trPr>
        <w:tc>
          <w:tcPr>
            <w:tcW w:w="5340" w:type="dxa"/>
            <w:tcBorders>
              <w:top w:val="nil"/>
              <w:left w:val="nil"/>
              <w:bottom w:val="nil"/>
              <w:right w:val="nil"/>
            </w:tcBorders>
            <w:shd w:val="clear" w:color="auto" w:fill="auto"/>
            <w:vAlign w:val="center"/>
            <w:hideMark/>
          </w:tcPr>
          <w:p w14:paraId="3498887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Coordinación General de Enlace Federal y Relaciones </w:t>
            </w:r>
            <w:r>
              <w:rPr>
                <w:rFonts w:ascii="Arial" w:eastAsia="Times New Roman" w:hAnsi="Arial" w:cs="Arial"/>
                <w:color w:val="000000"/>
                <w:lang w:bidi="ar-SA"/>
              </w:rPr>
              <w:t>Internacionales</w:t>
            </w:r>
          </w:p>
        </w:tc>
        <w:tc>
          <w:tcPr>
            <w:tcW w:w="1640" w:type="dxa"/>
            <w:tcBorders>
              <w:top w:val="nil"/>
              <w:left w:val="nil"/>
              <w:bottom w:val="nil"/>
              <w:right w:val="nil"/>
            </w:tcBorders>
            <w:shd w:val="clear" w:color="auto" w:fill="auto"/>
            <w:noWrap/>
            <w:vAlign w:val="center"/>
            <w:hideMark/>
          </w:tcPr>
          <w:p w14:paraId="5AB8387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16,470.00</w:t>
            </w:r>
          </w:p>
        </w:tc>
      </w:tr>
      <w:tr w:rsidR="00C6733C" w14:paraId="695E98F7" w14:textId="77777777">
        <w:trPr>
          <w:trHeight w:val="570"/>
          <w:jc w:val="center"/>
        </w:trPr>
        <w:tc>
          <w:tcPr>
            <w:tcW w:w="5340" w:type="dxa"/>
            <w:tcBorders>
              <w:top w:val="nil"/>
              <w:left w:val="nil"/>
              <w:bottom w:val="nil"/>
              <w:right w:val="nil"/>
            </w:tcBorders>
            <w:shd w:val="clear" w:color="auto" w:fill="auto"/>
            <w:vAlign w:val="center"/>
            <w:hideMark/>
          </w:tcPr>
          <w:p w14:paraId="28816F3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Electoral y de Participación Ciudadana de Oaxaca</w:t>
            </w:r>
          </w:p>
        </w:tc>
        <w:tc>
          <w:tcPr>
            <w:tcW w:w="1640" w:type="dxa"/>
            <w:tcBorders>
              <w:top w:val="nil"/>
              <w:left w:val="nil"/>
              <w:bottom w:val="nil"/>
              <w:right w:val="nil"/>
            </w:tcBorders>
            <w:shd w:val="clear" w:color="auto" w:fill="auto"/>
            <w:noWrap/>
            <w:vAlign w:val="center"/>
            <w:hideMark/>
          </w:tcPr>
          <w:p w14:paraId="0895796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164,286,735.14</w:t>
            </w:r>
          </w:p>
        </w:tc>
      </w:tr>
      <w:tr w:rsidR="00C6733C" w14:paraId="4A77E3A9" w14:textId="77777777">
        <w:trPr>
          <w:trHeight w:val="570"/>
          <w:jc w:val="center"/>
        </w:trPr>
        <w:tc>
          <w:tcPr>
            <w:tcW w:w="5340" w:type="dxa"/>
            <w:tcBorders>
              <w:top w:val="nil"/>
              <w:left w:val="nil"/>
              <w:bottom w:val="nil"/>
              <w:right w:val="nil"/>
            </w:tcBorders>
            <w:shd w:val="clear" w:color="auto" w:fill="auto"/>
            <w:vAlign w:val="center"/>
            <w:hideMark/>
          </w:tcPr>
          <w:p w14:paraId="6D1F18F0"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Consejo Estatal para la Prevención y Control del SIDA</w:t>
            </w:r>
          </w:p>
        </w:tc>
        <w:tc>
          <w:tcPr>
            <w:tcW w:w="1640" w:type="dxa"/>
            <w:tcBorders>
              <w:top w:val="nil"/>
              <w:left w:val="nil"/>
              <w:bottom w:val="nil"/>
              <w:right w:val="nil"/>
            </w:tcBorders>
            <w:shd w:val="clear" w:color="auto" w:fill="auto"/>
            <w:noWrap/>
            <w:vAlign w:val="center"/>
            <w:hideMark/>
          </w:tcPr>
          <w:p w14:paraId="5D0CADE4"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25,000.00</w:t>
            </w:r>
          </w:p>
        </w:tc>
      </w:tr>
      <w:tr w:rsidR="00C6733C" w14:paraId="2F7C383D" w14:textId="77777777">
        <w:trPr>
          <w:trHeight w:val="570"/>
          <w:jc w:val="center"/>
        </w:trPr>
        <w:tc>
          <w:tcPr>
            <w:tcW w:w="5340" w:type="dxa"/>
            <w:tcBorders>
              <w:top w:val="nil"/>
              <w:left w:val="nil"/>
              <w:bottom w:val="nil"/>
              <w:right w:val="nil"/>
            </w:tcBorders>
            <w:shd w:val="clear" w:color="auto" w:fill="auto"/>
            <w:vAlign w:val="center"/>
            <w:hideMark/>
          </w:tcPr>
          <w:p w14:paraId="7465B07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Estatal de Protección Civil de Oaxaca</w:t>
            </w:r>
          </w:p>
        </w:tc>
        <w:tc>
          <w:tcPr>
            <w:tcW w:w="1640" w:type="dxa"/>
            <w:tcBorders>
              <w:top w:val="nil"/>
              <w:left w:val="nil"/>
              <w:bottom w:val="nil"/>
              <w:right w:val="nil"/>
            </w:tcBorders>
            <w:shd w:val="clear" w:color="auto" w:fill="auto"/>
            <w:noWrap/>
            <w:vAlign w:val="center"/>
            <w:hideMark/>
          </w:tcPr>
          <w:p w14:paraId="7C2EEE6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3,000,000.00</w:t>
            </w:r>
          </w:p>
        </w:tc>
      </w:tr>
      <w:tr w:rsidR="00C6733C" w14:paraId="2B886465" w14:textId="77777777">
        <w:trPr>
          <w:trHeight w:val="570"/>
          <w:jc w:val="center"/>
        </w:trPr>
        <w:tc>
          <w:tcPr>
            <w:tcW w:w="5340" w:type="dxa"/>
            <w:tcBorders>
              <w:top w:val="nil"/>
              <w:left w:val="nil"/>
              <w:bottom w:val="nil"/>
              <w:right w:val="nil"/>
            </w:tcBorders>
            <w:shd w:val="clear" w:color="auto" w:fill="auto"/>
            <w:vAlign w:val="center"/>
            <w:hideMark/>
          </w:tcPr>
          <w:p w14:paraId="4B8641C5"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Estudios de Bachillerato del Estado de Oaxaca</w:t>
            </w:r>
          </w:p>
        </w:tc>
        <w:tc>
          <w:tcPr>
            <w:tcW w:w="1640" w:type="dxa"/>
            <w:tcBorders>
              <w:top w:val="nil"/>
              <w:left w:val="nil"/>
              <w:bottom w:val="nil"/>
              <w:right w:val="nil"/>
            </w:tcBorders>
            <w:shd w:val="clear" w:color="auto" w:fill="auto"/>
            <w:noWrap/>
            <w:vAlign w:val="center"/>
            <w:hideMark/>
          </w:tcPr>
          <w:p w14:paraId="7895F296"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80,560.00</w:t>
            </w:r>
          </w:p>
        </w:tc>
      </w:tr>
      <w:tr w:rsidR="00C6733C" w14:paraId="764D6C27" w14:textId="77777777">
        <w:trPr>
          <w:trHeight w:val="570"/>
          <w:jc w:val="center"/>
        </w:trPr>
        <w:tc>
          <w:tcPr>
            <w:tcW w:w="5340" w:type="dxa"/>
            <w:tcBorders>
              <w:top w:val="nil"/>
              <w:left w:val="nil"/>
              <w:bottom w:val="nil"/>
              <w:right w:val="nil"/>
            </w:tcBorders>
            <w:shd w:val="clear" w:color="auto" w:fill="auto"/>
            <w:vAlign w:val="center"/>
            <w:hideMark/>
          </w:tcPr>
          <w:p w14:paraId="2A8052E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la Juventud del Estado de Oaxaca</w:t>
            </w:r>
          </w:p>
        </w:tc>
        <w:tc>
          <w:tcPr>
            <w:tcW w:w="1640" w:type="dxa"/>
            <w:tcBorders>
              <w:top w:val="nil"/>
              <w:left w:val="nil"/>
              <w:bottom w:val="nil"/>
              <w:right w:val="nil"/>
            </w:tcBorders>
            <w:shd w:val="clear" w:color="auto" w:fill="auto"/>
            <w:noWrap/>
            <w:vAlign w:val="center"/>
            <w:hideMark/>
          </w:tcPr>
          <w:p w14:paraId="17FA3EF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520,000.00</w:t>
            </w:r>
          </w:p>
        </w:tc>
      </w:tr>
      <w:tr w:rsidR="00C6733C" w14:paraId="4282BFEB" w14:textId="77777777">
        <w:trPr>
          <w:trHeight w:val="570"/>
          <w:jc w:val="center"/>
        </w:trPr>
        <w:tc>
          <w:tcPr>
            <w:tcW w:w="5340" w:type="dxa"/>
            <w:tcBorders>
              <w:top w:val="nil"/>
              <w:left w:val="nil"/>
              <w:bottom w:val="nil"/>
              <w:right w:val="nil"/>
            </w:tcBorders>
            <w:shd w:val="clear" w:color="auto" w:fill="auto"/>
            <w:vAlign w:val="center"/>
            <w:hideMark/>
          </w:tcPr>
          <w:p w14:paraId="133B14B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de Educación para Adultos</w:t>
            </w:r>
          </w:p>
        </w:tc>
        <w:tc>
          <w:tcPr>
            <w:tcW w:w="1640" w:type="dxa"/>
            <w:tcBorders>
              <w:top w:val="nil"/>
              <w:left w:val="nil"/>
              <w:bottom w:val="nil"/>
              <w:right w:val="nil"/>
            </w:tcBorders>
            <w:shd w:val="clear" w:color="auto" w:fill="auto"/>
            <w:noWrap/>
            <w:vAlign w:val="center"/>
            <w:hideMark/>
          </w:tcPr>
          <w:p w14:paraId="5C97B18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29,349,890.00</w:t>
            </w:r>
          </w:p>
        </w:tc>
      </w:tr>
      <w:tr w:rsidR="00C6733C" w14:paraId="6F94E37C" w14:textId="77777777">
        <w:trPr>
          <w:trHeight w:val="570"/>
          <w:jc w:val="center"/>
        </w:trPr>
        <w:tc>
          <w:tcPr>
            <w:tcW w:w="5340" w:type="dxa"/>
            <w:tcBorders>
              <w:top w:val="nil"/>
              <w:left w:val="nil"/>
              <w:bottom w:val="nil"/>
              <w:right w:val="nil"/>
            </w:tcBorders>
            <w:shd w:val="clear" w:color="auto" w:fill="auto"/>
            <w:vAlign w:val="center"/>
            <w:hideMark/>
          </w:tcPr>
          <w:p w14:paraId="2D096A79"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Oaxaqueño de Atención al Migrante</w:t>
            </w:r>
          </w:p>
        </w:tc>
        <w:tc>
          <w:tcPr>
            <w:tcW w:w="1640" w:type="dxa"/>
            <w:tcBorders>
              <w:top w:val="nil"/>
              <w:left w:val="nil"/>
              <w:bottom w:val="nil"/>
              <w:right w:val="nil"/>
            </w:tcBorders>
            <w:shd w:val="clear" w:color="auto" w:fill="auto"/>
            <w:noWrap/>
            <w:vAlign w:val="center"/>
            <w:hideMark/>
          </w:tcPr>
          <w:p w14:paraId="5D465E1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5,700,000.00</w:t>
            </w:r>
          </w:p>
        </w:tc>
      </w:tr>
      <w:tr w:rsidR="00C6733C" w14:paraId="6F3FF8E6" w14:textId="77777777">
        <w:trPr>
          <w:trHeight w:val="570"/>
          <w:jc w:val="center"/>
        </w:trPr>
        <w:tc>
          <w:tcPr>
            <w:tcW w:w="5340" w:type="dxa"/>
            <w:tcBorders>
              <w:top w:val="nil"/>
              <w:left w:val="nil"/>
              <w:bottom w:val="nil"/>
              <w:right w:val="nil"/>
            </w:tcBorders>
            <w:shd w:val="clear" w:color="auto" w:fill="auto"/>
            <w:vAlign w:val="center"/>
            <w:hideMark/>
          </w:tcPr>
          <w:p w14:paraId="3DE7F64C"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Novauniversitas</w:t>
            </w:r>
          </w:p>
        </w:tc>
        <w:tc>
          <w:tcPr>
            <w:tcW w:w="1640" w:type="dxa"/>
            <w:tcBorders>
              <w:top w:val="nil"/>
              <w:left w:val="nil"/>
              <w:bottom w:val="nil"/>
              <w:right w:val="nil"/>
            </w:tcBorders>
            <w:shd w:val="clear" w:color="auto" w:fill="auto"/>
            <w:noWrap/>
            <w:vAlign w:val="center"/>
            <w:hideMark/>
          </w:tcPr>
          <w:p w14:paraId="06E08AF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139,080.00</w:t>
            </w:r>
          </w:p>
        </w:tc>
      </w:tr>
      <w:tr w:rsidR="00C6733C" w14:paraId="59E84746" w14:textId="77777777">
        <w:trPr>
          <w:trHeight w:val="570"/>
          <w:jc w:val="center"/>
        </w:trPr>
        <w:tc>
          <w:tcPr>
            <w:tcW w:w="5340" w:type="dxa"/>
            <w:tcBorders>
              <w:top w:val="nil"/>
              <w:left w:val="nil"/>
              <w:bottom w:val="nil"/>
              <w:right w:val="nil"/>
            </w:tcBorders>
            <w:shd w:val="clear" w:color="auto" w:fill="auto"/>
            <w:vAlign w:val="center"/>
            <w:hideMark/>
          </w:tcPr>
          <w:p w14:paraId="043C813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Agua Potable y Alcantarillado de Oaxaca</w:t>
            </w:r>
          </w:p>
        </w:tc>
        <w:tc>
          <w:tcPr>
            <w:tcW w:w="1640" w:type="dxa"/>
            <w:tcBorders>
              <w:top w:val="nil"/>
              <w:left w:val="nil"/>
              <w:bottom w:val="nil"/>
              <w:right w:val="nil"/>
            </w:tcBorders>
            <w:shd w:val="clear" w:color="auto" w:fill="auto"/>
            <w:noWrap/>
            <w:vAlign w:val="center"/>
            <w:hideMark/>
          </w:tcPr>
          <w:p w14:paraId="20363051"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3,069,999.96</w:t>
            </w:r>
          </w:p>
        </w:tc>
      </w:tr>
      <w:tr w:rsidR="00C6733C" w14:paraId="63FDA720" w14:textId="77777777">
        <w:trPr>
          <w:trHeight w:val="570"/>
          <w:jc w:val="center"/>
        </w:trPr>
        <w:tc>
          <w:tcPr>
            <w:tcW w:w="5340" w:type="dxa"/>
            <w:tcBorders>
              <w:top w:val="nil"/>
              <w:left w:val="nil"/>
              <w:bottom w:val="nil"/>
              <w:right w:val="nil"/>
            </w:tcBorders>
            <w:shd w:val="clear" w:color="auto" w:fill="auto"/>
            <w:vAlign w:val="center"/>
            <w:hideMark/>
          </w:tcPr>
          <w:p w14:paraId="3F033CF2"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Sistema para el Desarrollo Integral de la Familia del Estado de Oaxaca</w:t>
            </w:r>
          </w:p>
        </w:tc>
        <w:tc>
          <w:tcPr>
            <w:tcW w:w="1640" w:type="dxa"/>
            <w:tcBorders>
              <w:top w:val="nil"/>
              <w:left w:val="nil"/>
              <w:bottom w:val="nil"/>
              <w:right w:val="nil"/>
            </w:tcBorders>
            <w:shd w:val="clear" w:color="auto" w:fill="auto"/>
            <w:noWrap/>
            <w:vAlign w:val="center"/>
            <w:hideMark/>
          </w:tcPr>
          <w:p w14:paraId="7A45D4B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w:t>
            </w:r>
          </w:p>
        </w:tc>
      </w:tr>
      <w:tr w:rsidR="00C6733C" w14:paraId="6CCECF77" w14:textId="77777777">
        <w:trPr>
          <w:trHeight w:val="570"/>
          <w:jc w:val="center"/>
        </w:trPr>
        <w:tc>
          <w:tcPr>
            <w:tcW w:w="5340" w:type="dxa"/>
            <w:tcBorders>
              <w:top w:val="nil"/>
              <w:left w:val="nil"/>
              <w:bottom w:val="nil"/>
              <w:right w:val="nil"/>
            </w:tcBorders>
            <w:shd w:val="clear" w:color="auto" w:fill="auto"/>
            <w:vAlign w:val="center"/>
            <w:hideMark/>
          </w:tcPr>
          <w:p w14:paraId="15015736"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Chalcatongo</w:t>
            </w:r>
          </w:p>
        </w:tc>
        <w:tc>
          <w:tcPr>
            <w:tcW w:w="1640" w:type="dxa"/>
            <w:tcBorders>
              <w:top w:val="nil"/>
              <w:left w:val="nil"/>
              <w:bottom w:val="nil"/>
              <w:right w:val="nil"/>
            </w:tcBorders>
            <w:shd w:val="clear" w:color="auto" w:fill="auto"/>
            <w:noWrap/>
            <w:vAlign w:val="center"/>
            <w:hideMark/>
          </w:tcPr>
          <w:p w14:paraId="6F7B6B4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35,000.00</w:t>
            </w:r>
          </w:p>
        </w:tc>
      </w:tr>
      <w:tr w:rsidR="00C6733C" w14:paraId="10C9A684" w14:textId="77777777">
        <w:trPr>
          <w:trHeight w:val="570"/>
          <w:jc w:val="center"/>
        </w:trPr>
        <w:tc>
          <w:tcPr>
            <w:tcW w:w="5340" w:type="dxa"/>
            <w:tcBorders>
              <w:top w:val="nil"/>
              <w:left w:val="nil"/>
              <w:bottom w:val="nil"/>
              <w:right w:val="nil"/>
            </w:tcBorders>
            <w:shd w:val="clear" w:color="auto" w:fill="auto"/>
            <w:vAlign w:val="center"/>
            <w:hideMark/>
          </w:tcPr>
          <w:p w14:paraId="54F9F83F"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Cañada</w:t>
            </w:r>
          </w:p>
        </w:tc>
        <w:tc>
          <w:tcPr>
            <w:tcW w:w="1640" w:type="dxa"/>
            <w:tcBorders>
              <w:top w:val="nil"/>
              <w:left w:val="nil"/>
              <w:bottom w:val="nil"/>
              <w:right w:val="nil"/>
            </w:tcBorders>
            <w:shd w:val="clear" w:color="auto" w:fill="auto"/>
            <w:noWrap/>
            <w:vAlign w:val="center"/>
            <w:hideMark/>
          </w:tcPr>
          <w:p w14:paraId="14B5780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50,000.00</w:t>
            </w:r>
          </w:p>
        </w:tc>
      </w:tr>
      <w:tr w:rsidR="00C6733C" w14:paraId="01D1AB59" w14:textId="77777777">
        <w:trPr>
          <w:trHeight w:val="570"/>
          <w:jc w:val="center"/>
        </w:trPr>
        <w:tc>
          <w:tcPr>
            <w:tcW w:w="5340" w:type="dxa"/>
            <w:tcBorders>
              <w:top w:val="nil"/>
              <w:left w:val="nil"/>
              <w:bottom w:val="nil"/>
              <w:right w:val="nil"/>
            </w:tcBorders>
            <w:shd w:val="clear" w:color="auto" w:fill="auto"/>
            <w:vAlign w:val="center"/>
            <w:hideMark/>
          </w:tcPr>
          <w:p w14:paraId="2305DBD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Costa</w:t>
            </w:r>
          </w:p>
        </w:tc>
        <w:tc>
          <w:tcPr>
            <w:tcW w:w="1640" w:type="dxa"/>
            <w:tcBorders>
              <w:top w:val="nil"/>
              <w:left w:val="nil"/>
              <w:bottom w:val="nil"/>
              <w:right w:val="nil"/>
            </w:tcBorders>
            <w:shd w:val="clear" w:color="auto" w:fill="auto"/>
            <w:noWrap/>
            <w:vAlign w:val="center"/>
            <w:hideMark/>
          </w:tcPr>
          <w:p w14:paraId="32D072D2"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30,000.00</w:t>
            </w:r>
          </w:p>
        </w:tc>
      </w:tr>
      <w:tr w:rsidR="00C6733C" w14:paraId="72AC99D3" w14:textId="77777777">
        <w:trPr>
          <w:trHeight w:val="570"/>
          <w:jc w:val="center"/>
        </w:trPr>
        <w:tc>
          <w:tcPr>
            <w:tcW w:w="5340" w:type="dxa"/>
            <w:tcBorders>
              <w:top w:val="nil"/>
              <w:left w:val="nil"/>
              <w:bottom w:val="nil"/>
              <w:right w:val="nil"/>
            </w:tcBorders>
            <w:shd w:val="clear" w:color="auto" w:fill="auto"/>
            <w:vAlign w:val="center"/>
            <w:hideMark/>
          </w:tcPr>
          <w:p w14:paraId="63A72CA1"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Juárez</w:t>
            </w:r>
          </w:p>
        </w:tc>
        <w:tc>
          <w:tcPr>
            <w:tcW w:w="1640" w:type="dxa"/>
            <w:tcBorders>
              <w:top w:val="nil"/>
              <w:left w:val="nil"/>
              <w:bottom w:val="nil"/>
              <w:right w:val="nil"/>
            </w:tcBorders>
            <w:shd w:val="clear" w:color="auto" w:fill="auto"/>
            <w:noWrap/>
            <w:vAlign w:val="center"/>
            <w:hideMark/>
          </w:tcPr>
          <w:p w14:paraId="1F67F848"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48,510.00</w:t>
            </w:r>
          </w:p>
        </w:tc>
      </w:tr>
      <w:tr w:rsidR="00C6733C" w14:paraId="0DB002DD" w14:textId="77777777">
        <w:trPr>
          <w:trHeight w:val="570"/>
          <w:jc w:val="center"/>
        </w:trPr>
        <w:tc>
          <w:tcPr>
            <w:tcW w:w="5340" w:type="dxa"/>
            <w:tcBorders>
              <w:top w:val="nil"/>
              <w:left w:val="nil"/>
              <w:bottom w:val="nil"/>
              <w:right w:val="nil"/>
            </w:tcBorders>
            <w:shd w:val="clear" w:color="auto" w:fill="auto"/>
            <w:vAlign w:val="center"/>
            <w:hideMark/>
          </w:tcPr>
          <w:p w14:paraId="6296324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Sur</w:t>
            </w:r>
          </w:p>
        </w:tc>
        <w:tc>
          <w:tcPr>
            <w:tcW w:w="1640" w:type="dxa"/>
            <w:tcBorders>
              <w:top w:val="nil"/>
              <w:left w:val="nil"/>
              <w:bottom w:val="nil"/>
              <w:right w:val="nil"/>
            </w:tcBorders>
            <w:shd w:val="clear" w:color="auto" w:fill="auto"/>
            <w:noWrap/>
            <w:vAlign w:val="center"/>
            <w:hideMark/>
          </w:tcPr>
          <w:p w14:paraId="3713CD19"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252,768.00</w:t>
            </w:r>
          </w:p>
        </w:tc>
      </w:tr>
      <w:tr w:rsidR="00C6733C" w14:paraId="6736FC74" w14:textId="77777777">
        <w:trPr>
          <w:trHeight w:val="570"/>
          <w:jc w:val="center"/>
        </w:trPr>
        <w:tc>
          <w:tcPr>
            <w:tcW w:w="5340" w:type="dxa"/>
            <w:tcBorders>
              <w:top w:val="nil"/>
              <w:left w:val="nil"/>
              <w:bottom w:val="nil"/>
              <w:right w:val="nil"/>
            </w:tcBorders>
            <w:shd w:val="clear" w:color="auto" w:fill="auto"/>
            <w:vAlign w:val="center"/>
            <w:hideMark/>
          </w:tcPr>
          <w:p w14:paraId="346A966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Istmo</w:t>
            </w:r>
          </w:p>
        </w:tc>
        <w:tc>
          <w:tcPr>
            <w:tcW w:w="1640" w:type="dxa"/>
            <w:tcBorders>
              <w:top w:val="nil"/>
              <w:left w:val="nil"/>
              <w:bottom w:val="nil"/>
              <w:right w:val="nil"/>
            </w:tcBorders>
            <w:shd w:val="clear" w:color="auto" w:fill="auto"/>
            <w:noWrap/>
            <w:vAlign w:val="center"/>
            <w:hideMark/>
          </w:tcPr>
          <w:p w14:paraId="7818B725"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234,448.00</w:t>
            </w:r>
          </w:p>
        </w:tc>
      </w:tr>
      <w:tr w:rsidR="00C6733C" w14:paraId="3B2C1323" w14:textId="77777777">
        <w:trPr>
          <w:trHeight w:val="570"/>
          <w:jc w:val="center"/>
        </w:trPr>
        <w:tc>
          <w:tcPr>
            <w:tcW w:w="5340" w:type="dxa"/>
            <w:tcBorders>
              <w:top w:val="nil"/>
              <w:left w:val="nil"/>
              <w:bottom w:val="nil"/>
              <w:right w:val="nil"/>
            </w:tcBorders>
            <w:shd w:val="clear" w:color="auto" w:fill="auto"/>
            <w:vAlign w:val="center"/>
            <w:hideMark/>
          </w:tcPr>
          <w:p w14:paraId="437FCB47"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Mar</w:t>
            </w:r>
          </w:p>
        </w:tc>
        <w:tc>
          <w:tcPr>
            <w:tcW w:w="1640" w:type="dxa"/>
            <w:tcBorders>
              <w:top w:val="nil"/>
              <w:left w:val="nil"/>
              <w:bottom w:val="nil"/>
              <w:right w:val="nil"/>
            </w:tcBorders>
            <w:shd w:val="clear" w:color="auto" w:fill="auto"/>
            <w:noWrap/>
            <w:vAlign w:val="center"/>
            <w:hideMark/>
          </w:tcPr>
          <w:p w14:paraId="18A6342B"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139,823.00</w:t>
            </w:r>
          </w:p>
        </w:tc>
      </w:tr>
      <w:tr w:rsidR="00C6733C" w14:paraId="4AB1EC42" w14:textId="77777777">
        <w:trPr>
          <w:trHeight w:val="570"/>
          <w:jc w:val="center"/>
        </w:trPr>
        <w:tc>
          <w:tcPr>
            <w:tcW w:w="5340" w:type="dxa"/>
            <w:tcBorders>
              <w:top w:val="nil"/>
              <w:left w:val="nil"/>
              <w:bottom w:val="nil"/>
              <w:right w:val="nil"/>
            </w:tcBorders>
            <w:shd w:val="clear" w:color="auto" w:fill="auto"/>
            <w:vAlign w:val="center"/>
            <w:hideMark/>
          </w:tcPr>
          <w:p w14:paraId="24E7046D"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Papaloapan</w:t>
            </w:r>
          </w:p>
        </w:tc>
        <w:tc>
          <w:tcPr>
            <w:tcW w:w="1640" w:type="dxa"/>
            <w:tcBorders>
              <w:top w:val="nil"/>
              <w:left w:val="nil"/>
              <w:bottom w:val="nil"/>
              <w:right w:val="nil"/>
            </w:tcBorders>
            <w:shd w:val="clear" w:color="auto" w:fill="auto"/>
            <w:noWrap/>
            <w:vAlign w:val="center"/>
            <w:hideMark/>
          </w:tcPr>
          <w:p w14:paraId="4DA193D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62,010.00</w:t>
            </w:r>
          </w:p>
        </w:tc>
      </w:tr>
      <w:tr w:rsidR="00C6733C" w14:paraId="4D5DD062" w14:textId="77777777">
        <w:trPr>
          <w:trHeight w:val="570"/>
          <w:jc w:val="center"/>
        </w:trPr>
        <w:tc>
          <w:tcPr>
            <w:tcW w:w="5340" w:type="dxa"/>
            <w:tcBorders>
              <w:top w:val="nil"/>
              <w:left w:val="nil"/>
              <w:bottom w:val="nil"/>
              <w:right w:val="nil"/>
            </w:tcBorders>
            <w:shd w:val="clear" w:color="auto" w:fill="auto"/>
            <w:vAlign w:val="center"/>
            <w:hideMark/>
          </w:tcPr>
          <w:p w14:paraId="26C1868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Universidad </w:t>
            </w:r>
            <w:r>
              <w:rPr>
                <w:rFonts w:ascii="Arial" w:eastAsia="Times New Roman" w:hAnsi="Arial" w:cs="Arial"/>
                <w:color w:val="000000"/>
                <w:lang w:bidi="ar-SA"/>
              </w:rPr>
              <w:t>Tecnológica de la Mixteca</w:t>
            </w:r>
          </w:p>
        </w:tc>
        <w:tc>
          <w:tcPr>
            <w:tcW w:w="1640" w:type="dxa"/>
            <w:tcBorders>
              <w:top w:val="nil"/>
              <w:left w:val="nil"/>
              <w:bottom w:val="nil"/>
              <w:right w:val="nil"/>
            </w:tcBorders>
            <w:shd w:val="clear" w:color="auto" w:fill="auto"/>
            <w:noWrap/>
            <w:vAlign w:val="center"/>
            <w:hideMark/>
          </w:tcPr>
          <w:p w14:paraId="6953C29C"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332,306.50</w:t>
            </w:r>
          </w:p>
        </w:tc>
      </w:tr>
      <w:tr w:rsidR="00C6733C" w14:paraId="44E5A596" w14:textId="77777777">
        <w:trPr>
          <w:trHeight w:val="570"/>
          <w:jc w:val="center"/>
        </w:trPr>
        <w:tc>
          <w:tcPr>
            <w:tcW w:w="5340" w:type="dxa"/>
            <w:tcBorders>
              <w:top w:val="nil"/>
              <w:left w:val="nil"/>
              <w:bottom w:val="nil"/>
              <w:right w:val="nil"/>
            </w:tcBorders>
            <w:shd w:val="clear" w:color="auto" w:fill="auto"/>
            <w:vAlign w:val="center"/>
            <w:hideMark/>
          </w:tcPr>
          <w:p w14:paraId="23102728"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Sierra Sur de Oaxaca</w:t>
            </w:r>
          </w:p>
        </w:tc>
        <w:tc>
          <w:tcPr>
            <w:tcW w:w="1640" w:type="dxa"/>
            <w:tcBorders>
              <w:top w:val="nil"/>
              <w:left w:val="nil"/>
              <w:bottom w:val="nil"/>
              <w:right w:val="nil"/>
            </w:tcBorders>
            <w:shd w:val="clear" w:color="auto" w:fill="auto"/>
            <w:noWrap/>
            <w:vAlign w:val="center"/>
            <w:hideMark/>
          </w:tcPr>
          <w:p w14:paraId="3DBADE0E"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39,590.00</w:t>
            </w:r>
          </w:p>
        </w:tc>
      </w:tr>
      <w:tr w:rsidR="00C6733C" w14:paraId="62DA527F" w14:textId="77777777">
        <w:trPr>
          <w:trHeight w:val="570"/>
          <w:jc w:val="center"/>
        </w:trPr>
        <w:tc>
          <w:tcPr>
            <w:tcW w:w="5340" w:type="dxa"/>
            <w:tcBorders>
              <w:top w:val="nil"/>
              <w:left w:val="nil"/>
              <w:bottom w:val="nil"/>
              <w:right w:val="nil"/>
            </w:tcBorders>
            <w:shd w:val="clear" w:color="auto" w:fill="auto"/>
            <w:vAlign w:val="center"/>
            <w:hideMark/>
          </w:tcPr>
          <w:p w14:paraId="390E57EA"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Régimen Estatal de Protección Social en Salud del Estado de Oaxaca</w:t>
            </w:r>
          </w:p>
        </w:tc>
        <w:tc>
          <w:tcPr>
            <w:tcW w:w="1640" w:type="dxa"/>
            <w:tcBorders>
              <w:top w:val="nil"/>
              <w:left w:val="nil"/>
              <w:bottom w:val="nil"/>
              <w:right w:val="nil"/>
            </w:tcBorders>
            <w:shd w:val="clear" w:color="auto" w:fill="auto"/>
            <w:noWrap/>
            <w:vAlign w:val="center"/>
            <w:hideMark/>
          </w:tcPr>
          <w:p w14:paraId="764F7F7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6,600,000.00</w:t>
            </w:r>
          </w:p>
        </w:tc>
      </w:tr>
      <w:tr w:rsidR="00C6733C" w14:paraId="7099CB62" w14:textId="77777777">
        <w:trPr>
          <w:trHeight w:val="570"/>
          <w:jc w:val="center"/>
        </w:trPr>
        <w:tc>
          <w:tcPr>
            <w:tcW w:w="5340" w:type="dxa"/>
            <w:tcBorders>
              <w:top w:val="nil"/>
              <w:left w:val="nil"/>
              <w:bottom w:val="nil"/>
              <w:right w:val="nil"/>
            </w:tcBorders>
            <w:shd w:val="clear" w:color="auto" w:fill="auto"/>
            <w:vAlign w:val="center"/>
            <w:hideMark/>
          </w:tcPr>
          <w:p w14:paraId="6C9BB09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Defensoría Pública del Estado de Oaxaca</w:t>
            </w:r>
          </w:p>
        </w:tc>
        <w:tc>
          <w:tcPr>
            <w:tcW w:w="1640" w:type="dxa"/>
            <w:tcBorders>
              <w:top w:val="nil"/>
              <w:left w:val="nil"/>
              <w:bottom w:val="nil"/>
              <w:right w:val="nil"/>
            </w:tcBorders>
            <w:shd w:val="clear" w:color="auto" w:fill="auto"/>
            <w:noWrap/>
            <w:vAlign w:val="center"/>
            <w:hideMark/>
          </w:tcPr>
          <w:p w14:paraId="2BD39F7A"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w:t>
            </w:r>
          </w:p>
        </w:tc>
      </w:tr>
      <w:tr w:rsidR="00C6733C" w14:paraId="227BB765" w14:textId="77777777">
        <w:trPr>
          <w:trHeight w:val="570"/>
          <w:jc w:val="center"/>
        </w:trPr>
        <w:tc>
          <w:tcPr>
            <w:tcW w:w="5340" w:type="dxa"/>
            <w:tcBorders>
              <w:top w:val="nil"/>
              <w:left w:val="nil"/>
              <w:bottom w:val="nil"/>
              <w:right w:val="nil"/>
            </w:tcBorders>
            <w:shd w:val="clear" w:color="auto" w:fill="auto"/>
            <w:vAlign w:val="center"/>
            <w:hideMark/>
          </w:tcPr>
          <w:p w14:paraId="571C540E" w14:textId="77777777" w:rsidR="00C6733C" w:rsidRDefault="006D0638">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Atención Regional</w:t>
            </w:r>
          </w:p>
        </w:tc>
        <w:tc>
          <w:tcPr>
            <w:tcW w:w="1640" w:type="dxa"/>
            <w:tcBorders>
              <w:top w:val="nil"/>
              <w:left w:val="nil"/>
              <w:bottom w:val="nil"/>
              <w:right w:val="nil"/>
            </w:tcBorders>
            <w:shd w:val="clear" w:color="auto" w:fill="auto"/>
            <w:noWrap/>
            <w:vAlign w:val="center"/>
            <w:hideMark/>
          </w:tcPr>
          <w:p w14:paraId="74D174D3" w14:textId="77777777" w:rsidR="00C6733C" w:rsidRDefault="006D0638">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2,000,000.00</w:t>
            </w:r>
          </w:p>
        </w:tc>
      </w:tr>
      <w:tr w:rsidR="00C6733C" w14:paraId="754506C8" w14:textId="77777777">
        <w:trPr>
          <w:trHeight w:val="570"/>
          <w:jc w:val="center"/>
        </w:trPr>
        <w:tc>
          <w:tcPr>
            <w:tcW w:w="5340" w:type="dxa"/>
            <w:tcBorders>
              <w:top w:val="nil"/>
              <w:left w:val="nil"/>
              <w:bottom w:val="nil"/>
              <w:right w:val="nil"/>
            </w:tcBorders>
            <w:shd w:val="clear" w:color="auto" w:fill="auto"/>
            <w:vAlign w:val="center"/>
            <w:hideMark/>
          </w:tcPr>
          <w:p w14:paraId="7F37512A" w14:textId="77777777" w:rsidR="00C6733C" w:rsidRDefault="006D0638">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640" w:type="dxa"/>
            <w:tcBorders>
              <w:top w:val="nil"/>
              <w:left w:val="nil"/>
              <w:bottom w:val="nil"/>
              <w:right w:val="nil"/>
            </w:tcBorders>
            <w:shd w:val="clear" w:color="auto" w:fill="auto"/>
            <w:noWrap/>
            <w:vAlign w:val="center"/>
            <w:hideMark/>
          </w:tcPr>
          <w:p w14:paraId="0831B04C" w14:textId="77777777" w:rsidR="00C6733C" w:rsidRDefault="006D0638">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237,402,190.60</w:t>
            </w:r>
          </w:p>
        </w:tc>
      </w:tr>
    </w:tbl>
    <w:p w14:paraId="7422292E" w14:textId="77777777" w:rsidR="00C6733C" w:rsidRDefault="00C6733C">
      <w:pPr>
        <w:pStyle w:val="Default"/>
        <w:jc w:val="both"/>
        <w:rPr>
          <w:b/>
          <w:bCs/>
          <w:sz w:val="22"/>
          <w:szCs w:val="22"/>
        </w:rPr>
      </w:pPr>
    </w:p>
    <w:p w14:paraId="5D92B3BC" w14:textId="77777777" w:rsidR="00C6733C" w:rsidRDefault="006D0638">
      <w:pPr>
        <w:pStyle w:val="Default"/>
        <w:jc w:val="both"/>
        <w:rPr>
          <w:sz w:val="22"/>
          <w:szCs w:val="22"/>
        </w:rPr>
      </w:pPr>
      <w:r>
        <w:rPr>
          <w:b/>
          <w:bCs/>
          <w:sz w:val="22"/>
          <w:szCs w:val="22"/>
        </w:rPr>
        <w:t xml:space="preserve">Artículo 70. </w:t>
      </w:r>
      <w:r>
        <w:rPr>
          <w:sz w:val="22"/>
          <w:szCs w:val="22"/>
        </w:rPr>
        <w:t xml:space="preserve">La Secretaría podrá emitir durante el ejercicio fiscal, disposiciones sobre la operación, ejercicio y evaluación del gasto relacionado con el otorgamiento y aplicación de subsidios y ayudas. </w:t>
      </w:r>
    </w:p>
    <w:p w14:paraId="60060E09" w14:textId="77777777" w:rsidR="00C6733C" w:rsidRDefault="00C6733C">
      <w:pPr>
        <w:pStyle w:val="Default"/>
        <w:rPr>
          <w:sz w:val="22"/>
          <w:szCs w:val="22"/>
        </w:rPr>
      </w:pPr>
    </w:p>
    <w:p w14:paraId="635547D5" w14:textId="77777777" w:rsidR="00C6733C" w:rsidRDefault="006D0638">
      <w:pPr>
        <w:pStyle w:val="Default"/>
        <w:jc w:val="both"/>
        <w:rPr>
          <w:sz w:val="22"/>
          <w:szCs w:val="22"/>
        </w:rPr>
      </w:pPr>
      <w:r>
        <w:rPr>
          <w:b/>
          <w:bCs/>
          <w:sz w:val="22"/>
          <w:szCs w:val="22"/>
        </w:rPr>
        <w:t xml:space="preserve">Artículo 71. </w:t>
      </w:r>
      <w:r>
        <w:rPr>
          <w:sz w:val="22"/>
          <w:szCs w:val="22"/>
        </w:rPr>
        <w:t>La Secretaría y los Coordinadores de Sector verifi</w:t>
      </w:r>
      <w:r>
        <w:rPr>
          <w:sz w:val="22"/>
          <w:szCs w:val="22"/>
        </w:rPr>
        <w:t xml:space="preserve">carán en el ámbito de sus respectivas competencias, que las Entidades: </w:t>
      </w:r>
    </w:p>
    <w:p w14:paraId="59B1AB0A" w14:textId="77777777" w:rsidR="00C6733C" w:rsidRDefault="00C6733C">
      <w:pPr>
        <w:pStyle w:val="Default"/>
        <w:rPr>
          <w:sz w:val="22"/>
          <w:szCs w:val="22"/>
        </w:rPr>
      </w:pPr>
    </w:p>
    <w:p w14:paraId="0FFB97B8" w14:textId="77777777" w:rsidR="00C6733C" w:rsidRDefault="006D0638">
      <w:pPr>
        <w:pStyle w:val="Default"/>
        <w:numPr>
          <w:ilvl w:val="0"/>
          <w:numId w:val="15"/>
        </w:numPr>
        <w:tabs>
          <w:tab w:val="left" w:pos="567"/>
        </w:tabs>
        <w:ind w:left="567" w:hanging="283"/>
        <w:jc w:val="both"/>
        <w:rPr>
          <w:sz w:val="22"/>
          <w:szCs w:val="22"/>
        </w:rPr>
      </w:pPr>
      <w:r>
        <w:rPr>
          <w:sz w:val="22"/>
          <w:szCs w:val="22"/>
        </w:rPr>
        <w:t>Justifiquen la necesidad de las transferencias autorizadas, en función del estado de liquidez de la Entidad beneficiaria, así como la aplicación de dichos recursos, mediante la presen</w:t>
      </w:r>
      <w:r>
        <w:rPr>
          <w:sz w:val="22"/>
          <w:szCs w:val="22"/>
        </w:rPr>
        <w:t xml:space="preserve">tación periódica de estados financieros; </w:t>
      </w:r>
    </w:p>
    <w:p w14:paraId="41F835B3" w14:textId="77777777" w:rsidR="00C6733C" w:rsidRDefault="00C6733C">
      <w:pPr>
        <w:pStyle w:val="Default"/>
        <w:tabs>
          <w:tab w:val="left" w:pos="567"/>
        </w:tabs>
        <w:ind w:left="567"/>
        <w:jc w:val="both"/>
        <w:rPr>
          <w:sz w:val="22"/>
          <w:szCs w:val="22"/>
        </w:rPr>
      </w:pPr>
    </w:p>
    <w:p w14:paraId="6A30F548" w14:textId="77777777" w:rsidR="00C6733C" w:rsidRDefault="006D0638">
      <w:pPr>
        <w:pStyle w:val="Default"/>
        <w:numPr>
          <w:ilvl w:val="0"/>
          <w:numId w:val="15"/>
        </w:numPr>
        <w:tabs>
          <w:tab w:val="left" w:pos="567"/>
        </w:tabs>
        <w:ind w:left="567" w:hanging="283"/>
        <w:jc w:val="both"/>
        <w:rPr>
          <w:sz w:val="22"/>
          <w:szCs w:val="22"/>
        </w:rPr>
      </w:pPr>
      <w:r>
        <w:rPr>
          <w:sz w:val="22"/>
          <w:szCs w:val="22"/>
        </w:rPr>
        <w:t>No cuenten con recursos ociosos o aplicados en operaciones que originen rendimientos de cualquier clase no autorizados por la Secretaría;</w:t>
      </w:r>
    </w:p>
    <w:p w14:paraId="733EC284" w14:textId="77777777" w:rsidR="00C6733C" w:rsidRDefault="00C6733C">
      <w:pPr>
        <w:pStyle w:val="Prrafodelista"/>
      </w:pPr>
    </w:p>
    <w:p w14:paraId="49B9295B" w14:textId="77777777" w:rsidR="00C6733C" w:rsidRDefault="006D0638">
      <w:pPr>
        <w:pStyle w:val="Default"/>
        <w:numPr>
          <w:ilvl w:val="0"/>
          <w:numId w:val="15"/>
        </w:numPr>
        <w:tabs>
          <w:tab w:val="left" w:pos="567"/>
        </w:tabs>
        <w:ind w:left="567" w:hanging="283"/>
        <w:jc w:val="both"/>
        <w:rPr>
          <w:sz w:val="22"/>
          <w:szCs w:val="22"/>
        </w:rPr>
      </w:pPr>
      <w:r>
        <w:rPr>
          <w:sz w:val="22"/>
          <w:szCs w:val="22"/>
        </w:rPr>
        <w:t xml:space="preserve">Realicen los informes trimestrales de avance </w:t>
      </w:r>
      <w:r>
        <w:rPr>
          <w:sz w:val="22"/>
          <w:szCs w:val="22"/>
        </w:rPr>
        <w:t>físico-financiero de sus programas, proyectos, actividades y metas, en el Portal Único de la Secretaría de Hacienda y Crédito Público y en el sistema electrónico autorizado por la Secretaría, y</w:t>
      </w:r>
    </w:p>
    <w:p w14:paraId="5F745502" w14:textId="77777777" w:rsidR="00C6733C" w:rsidRDefault="00C6733C">
      <w:pPr>
        <w:pStyle w:val="Prrafodelista"/>
        <w:spacing w:before="0"/>
      </w:pPr>
    </w:p>
    <w:p w14:paraId="0CEE1C79" w14:textId="77777777" w:rsidR="00C6733C" w:rsidRDefault="006D0638">
      <w:pPr>
        <w:pStyle w:val="Default"/>
        <w:numPr>
          <w:ilvl w:val="0"/>
          <w:numId w:val="15"/>
        </w:numPr>
        <w:tabs>
          <w:tab w:val="left" w:pos="567"/>
        </w:tabs>
        <w:ind w:left="567" w:hanging="283"/>
        <w:jc w:val="both"/>
        <w:rPr>
          <w:sz w:val="22"/>
          <w:szCs w:val="22"/>
        </w:rPr>
      </w:pPr>
      <w:r>
        <w:rPr>
          <w:sz w:val="22"/>
          <w:szCs w:val="22"/>
        </w:rPr>
        <w:t>Observen estrictamente lo dispuesto en el Artículo 4 de la Le</w:t>
      </w:r>
      <w:r>
        <w:rPr>
          <w:sz w:val="22"/>
          <w:szCs w:val="22"/>
        </w:rPr>
        <w:t>y de Ingresos del Estado de Oaxaca para el Ejercicio Fiscal 2020.</w:t>
      </w:r>
    </w:p>
    <w:p w14:paraId="25C71345" w14:textId="77777777" w:rsidR="00C6733C" w:rsidRDefault="00C6733C">
      <w:pPr>
        <w:pStyle w:val="Default"/>
        <w:rPr>
          <w:sz w:val="22"/>
          <w:szCs w:val="22"/>
        </w:rPr>
      </w:pPr>
    </w:p>
    <w:p w14:paraId="613AF237" w14:textId="77777777" w:rsidR="00C6733C" w:rsidRDefault="006D0638">
      <w:pPr>
        <w:pStyle w:val="Default"/>
        <w:jc w:val="both"/>
        <w:rPr>
          <w:sz w:val="22"/>
          <w:szCs w:val="22"/>
        </w:rPr>
      </w:pPr>
      <w:r>
        <w:rPr>
          <w:b/>
          <w:bCs/>
          <w:sz w:val="22"/>
          <w:szCs w:val="22"/>
        </w:rPr>
        <w:t xml:space="preserve">Artículo 72. </w:t>
      </w:r>
      <w:r>
        <w:rPr>
          <w:sz w:val="22"/>
          <w:szCs w:val="22"/>
        </w:rPr>
        <w:t xml:space="preserve">La Secretaría podrá reducir, suspender o terminar las transferencias, ayudas, donativos y subsidios cuando a quien se le otorguen: </w:t>
      </w:r>
    </w:p>
    <w:p w14:paraId="2D6B1201" w14:textId="77777777" w:rsidR="00C6733C" w:rsidRDefault="00C6733C">
      <w:pPr>
        <w:pStyle w:val="Default"/>
        <w:jc w:val="both"/>
        <w:rPr>
          <w:sz w:val="22"/>
          <w:szCs w:val="22"/>
        </w:rPr>
      </w:pPr>
    </w:p>
    <w:p w14:paraId="7F9E8B06" w14:textId="77777777" w:rsidR="00C6733C" w:rsidRDefault="006D0638">
      <w:pPr>
        <w:pStyle w:val="Prrafodelista"/>
        <w:widowControl/>
        <w:numPr>
          <w:ilvl w:val="0"/>
          <w:numId w:val="18"/>
        </w:numPr>
        <w:tabs>
          <w:tab w:val="left" w:pos="567"/>
        </w:tabs>
        <w:adjustRightInd w:val="0"/>
        <w:spacing w:before="0"/>
        <w:rPr>
          <w:rFonts w:eastAsiaTheme="minorHAnsi"/>
          <w:color w:val="000000"/>
          <w:lang w:eastAsia="en-US" w:bidi="ar-SA"/>
        </w:rPr>
      </w:pPr>
      <w:r>
        <w:rPr>
          <w:rFonts w:eastAsiaTheme="minorHAnsi"/>
          <w:color w:val="000000"/>
          <w:lang w:eastAsia="en-US" w:bidi="ar-SA"/>
        </w:rPr>
        <w:t xml:space="preserve">Cuenten con autosuficiencia financiera; </w:t>
      </w:r>
    </w:p>
    <w:p w14:paraId="00485D25" w14:textId="77777777" w:rsidR="00C6733C" w:rsidRDefault="006D0638">
      <w:pPr>
        <w:pStyle w:val="Prrafodelista"/>
        <w:widowControl/>
        <w:numPr>
          <w:ilvl w:val="0"/>
          <w:numId w:val="18"/>
        </w:numPr>
        <w:tabs>
          <w:tab w:val="left" w:pos="567"/>
        </w:tabs>
        <w:adjustRightInd w:val="0"/>
        <w:rPr>
          <w:rFonts w:eastAsiaTheme="minorHAnsi"/>
          <w:color w:val="000000"/>
          <w:lang w:eastAsia="en-US" w:bidi="ar-SA"/>
        </w:rPr>
      </w:pPr>
      <w:r>
        <w:rPr>
          <w:rFonts w:eastAsiaTheme="minorHAnsi"/>
          <w:color w:val="000000"/>
          <w:lang w:eastAsia="en-US" w:bidi="ar-SA"/>
        </w:rPr>
        <w:t>No</w:t>
      </w:r>
      <w:r>
        <w:rPr>
          <w:rFonts w:eastAsiaTheme="minorHAnsi"/>
          <w:color w:val="000000"/>
          <w:lang w:eastAsia="en-US" w:bidi="ar-SA"/>
        </w:rPr>
        <w:t xml:space="preserve"> remitan la información referente a la aplicación de los mismos;</w:t>
      </w:r>
    </w:p>
    <w:p w14:paraId="732A0092" w14:textId="77777777" w:rsidR="00C6733C" w:rsidRDefault="006D0638">
      <w:pPr>
        <w:pStyle w:val="Prrafodelista"/>
        <w:widowControl/>
        <w:numPr>
          <w:ilvl w:val="0"/>
          <w:numId w:val="18"/>
        </w:numPr>
        <w:tabs>
          <w:tab w:val="left" w:pos="567"/>
        </w:tabs>
        <w:adjustRightInd w:val="0"/>
        <w:rPr>
          <w:rFonts w:eastAsiaTheme="minorHAnsi"/>
          <w:color w:val="000000"/>
          <w:lang w:eastAsia="en-US" w:bidi="ar-SA"/>
        </w:rPr>
      </w:pPr>
      <w:r>
        <w:rPr>
          <w:rFonts w:eastAsiaTheme="minorHAnsi"/>
          <w:color w:val="000000"/>
          <w:lang w:eastAsia="en-US" w:bidi="ar-SA"/>
        </w:rPr>
        <w:t>No cumplan con el objetivo de su otorgamiento, y</w:t>
      </w:r>
    </w:p>
    <w:p w14:paraId="2D64E0B8" w14:textId="77777777" w:rsidR="00C6733C" w:rsidRDefault="006D0638">
      <w:pPr>
        <w:pStyle w:val="Prrafodelista"/>
        <w:widowControl/>
        <w:numPr>
          <w:ilvl w:val="0"/>
          <w:numId w:val="18"/>
        </w:numPr>
        <w:tabs>
          <w:tab w:val="left" w:pos="567"/>
        </w:tabs>
        <w:adjustRightInd w:val="0"/>
        <w:rPr>
          <w:rFonts w:eastAsiaTheme="minorHAnsi"/>
          <w:color w:val="000000"/>
          <w:lang w:eastAsia="en-US" w:bidi="ar-SA"/>
        </w:rPr>
      </w:pPr>
      <w:r>
        <w:rPr>
          <w:rFonts w:eastAsiaTheme="minorHAnsi"/>
          <w:color w:val="000000"/>
          <w:lang w:eastAsia="en-US" w:bidi="ar-SA"/>
        </w:rPr>
        <w:t>No existan las condiciones presupuestarias para seguir otorgándolas.</w:t>
      </w:r>
    </w:p>
    <w:p w14:paraId="120DC87D" w14:textId="77777777" w:rsidR="00C6733C" w:rsidRDefault="00C6733C">
      <w:pPr>
        <w:widowControl/>
        <w:adjustRightInd w:val="0"/>
        <w:ind w:left="567" w:hanging="283"/>
        <w:rPr>
          <w:rFonts w:ascii="Arial" w:eastAsiaTheme="minorHAnsi" w:hAnsi="Arial" w:cs="Arial"/>
          <w:color w:val="000000"/>
          <w:lang w:eastAsia="en-US" w:bidi="ar-SA"/>
        </w:rPr>
      </w:pPr>
    </w:p>
    <w:p w14:paraId="35D12E7D" w14:textId="77777777" w:rsidR="00C6733C" w:rsidRDefault="00C6733C">
      <w:pPr>
        <w:widowControl/>
        <w:adjustRightInd w:val="0"/>
        <w:ind w:left="567" w:hanging="283"/>
        <w:rPr>
          <w:rFonts w:ascii="Arial" w:eastAsiaTheme="minorHAnsi" w:hAnsi="Arial" w:cs="Arial"/>
          <w:color w:val="000000"/>
          <w:lang w:eastAsia="en-US" w:bidi="ar-SA"/>
        </w:rPr>
      </w:pPr>
    </w:p>
    <w:p w14:paraId="34F14B66" w14:textId="77777777" w:rsidR="00C6733C" w:rsidRDefault="006D0638">
      <w:pPr>
        <w:widowControl/>
        <w:adjustRightInd w:val="0"/>
        <w:jc w:val="center"/>
        <w:rPr>
          <w:rFonts w:ascii="Arial" w:eastAsiaTheme="minorHAnsi" w:hAnsi="Arial" w:cs="Arial"/>
          <w:color w:val="000000"/>
          <w:lang w:eastAsia="en-US" w:bidi="ar-SA"/>
        </w:rPr>
      </w:pPr>
      <w:r>
        <w:rPr>
          <w:rFonts w:ascii="Arial" w:eastAsiaTheme="minorHAnsi" w:hAnsi="Arial" w:cs="Arial"/>
          <w:b/>
          <w:bCs/>
          <w:color w:val="000000"/>
          <w:lang w:eastAsia="en-US" w:bidi="ar-SA"/>
        </w:rPr>
        <w:t>Título Octavo</w:t>
      </w:r>
    </w:p>
    <w:p w14:paraId="27E667AA" w14:textId="77777777" w:rsidR="00C6733C" w:rsidRDefault="006D0638">
      <w:pPr>
        <w:widowControl/>
        <w:adjustRightInd w:val="0"/>
        <w:jc w:val="center"/>
        <w:rPr>
          <w:rFonts w:ascii="Arial" w:eastAsiaTheme="minorHAnsi" w:hAnsi="Arial" w:cs="Arial"/>
          <w:b/>
          <w:bCs/>
          <w:color w:val="000000"/>
          <w:lang w:eastAsia="en-US" w:bidi="ar-SA"/>
        </w:rPr>
      </w:pPr>
      <w:r>
        <w:rPr>
          <w:rFonts w:ascii="Arial" w:eastAsiaTheme="minorHAnsi" w:hAnsi="Arial" w:cs="Arial"/>
          <w:b/>
          <w:bCs/>
          <w:color w:val="000000"/>
          <w:lang w:eastAsia="en-US" w:bidi="ar-SA"/>
        </w:rPr>
        <w:t>De las Disposiciones de Racionalidad, Austeridad y Discip</w:t>
      </w:r>
      <w:r>
        <w:rPr>
          <w:rFonts w:ascii="Arial" w:eastAsiaTheme="minorHAnsi" w:hAnsi="Arial" w:cs="Arial"/>
          <w:b/>
          <w:bCs/>
          <w:color w:val="000000"/>
          <w:lang w:eastAsia="en-US" w:bidi="ar-SA"/>
        </w:rPr>
        <w:t>lina Presupuestaria</w:t>
      </w:r>
    </w:p>
    <w:p w14:paraId="4D23B5E8" w14:textId="77777777" w:rsidR="00C6733C" w:rsidRDefault="00C6733C">
      <w:pPr>
        <w:widowControl/>
        <w:adjustRightInd w:val="0"/>
        <w:rPr>
          <w:rFonts w:ascii="Arial" w:eastAsiaTheme="minorHAnsi" w:hAnsi="Arial" w:cs="Arial"/>
          <w:color w:val="000000"/>
          <w:lang w:eastAsia="en-US" w:bidi="ar-SA"/>
        </w:rPr>
      </w:pPr>
    </w:p>
    <w:p w14:paraId="6E065441" w14:textId="77777777" w:rsidR="00C6733C" w:rsidRDefault="006D0638">
      <w:pPr>
        <w:pStyle w:val="Default"/>
        <w:jc w:val="both"/>
        <w:rPr>
          <w:sz w:val="22"/>
          <w:szCs w:val="22"/>
        </w:rPr>
      </w:pPr>
      <w:r>
        <w:rPr>
          <w:b/>
          <w:bCs/>
          <w:sz w:val="22"/>
          <w:szCs w:val="22"/>
        </w:rPr>
        <w:t xml:space="preserve">Artículo 73. </w:t>
      </w:r>
      <w:r>
        <w:rPr>
          <w:sz w:val="22"/>
          <w:szCs w:val="22"/>
        </w:rPr>
        <w:t xml:space="preserve">La Secretaría, en adición a lo dispuesto en este Decreto podrá emitir disposiciones de racionalidad, austeridad y disciplina presupuestaria en materia de gasto corriente. </w:t>
      </w:r>
    </w:p>
    <w:p w14:paraId="03DB2CB1" w14:textId="77777777" w:rsidR="00C6733C" w:rsidRDefault="00C6733C">
      <w:pPr>
        <w:pStyle w:val="Default"/>
        <w:jc w:val="both"/>
        <w:rPr>
          <w:sz w:val="22"/>
          <w:szCs w:val="22"/>
        </w:rPr>
      </w:pPr>
    </w:p>
    <w:p w14:paraId="0A4E2525" w14:textId="77777777" w:rsidR="00C6733C" w:rsidRDefault="006D0638">
      <w:pPr>
        <w:pStyle w:val="Default"/>
        <w:jc w:val="both"/>
        <w:rPr>
          <w:sz w:val="22"/>
          <w:szCs w:val="22"/>
        </w:rPr>
      </w:pPr>
      <w:r>
        <w:rPr>
          <w:sz w:val="22"/>
          <w:szCs w:val="22"/>
        </w:rPr>
        <w:t>Todo ahorro presupuestario que derive de las disposiciones de este Título, podrá se</w:t>
      </w:r>
      <w:r>
        <w:rPr>
          <w:sz w:val="22"/>
          <w:szCs w:val="22"/>
        </w:rPr>
        <w:t>r reducido por la Secretaría sin que medie oficio de solicitud, y deberá ser comunicado a los Ejecutores de gasto</w:t>
      </w:r>
      <w:r>
        <w:rPr>
          <w:b/>
          <w:bCs/>
          <w:sz w:val="22"/>
          <w:szCs w:val="22"/>
        </w:rPr>
        <w:t>.</w:t>
      </w:r>
    </w:p>
    <w:p w14:paraId="72F3C1AC" w14:textId="77777777" w:rsidR="00C6733C" w:rsidRDefault="00C6733C">
      <w:pPr>
        <w:pStyle w:val="Ttulo1"/>
        <w:tabs>
          <w:tab w:val="left" w:pos="4111"/>
        </w:tabs>
        <w:ind w:left="0" w:right="-29"/>
        <w:jc w:val="both"/>
        <w:rPr>
          <w:sz w:val="22"/>
          <w:szCs w:val="22"/>
        </w:rPr>
      </w:pPr>
    </w:p>
    <w:p w14:paraId="0C59DD65" w14:textId="77777777" w:rsidR="00C6733C" w:rsidRDefault="006D0638">
      <w:pPr>
        <w:widowControl/>
        <w:adjustRightInd w:val="0"/>
        <w:jc w:val="both"/>
        <w:rPr>
          <w:rFonts w:ascii="Arial" w:eastAsiaTheme="minorHAnsi" w:hAnsi="Arial" w:cs="Arial"/>
          <w:b/>
          <w:bCs/>
          <w:color w:val="000000"/>
          <w:lang w:eastAsia="en-US" w:bidi="ar-SA"/>
        </w:rPr>
      </w:pPr>
      <w:r>
        <w:rPr>
          <w:rFonts w:ascii="Arial" w:eastAsiaTheme="minorHAnsi" w:hAnsi="Arial" w:cs="Arial"/>
          <w:color w:val="000000"/>
          <w:lang w:eastAsia="en-US" w:bidi="ar-SA"/>
        </w:rPr>
        <w:t xml:space="preserve">Todo presupuesto que en los registros del sistema electrónico no se encuentre ligado a compromisos podrá ser reducido por la Secretaría sin </w:t>
      </w:r>
      <w:r>
        <w:rPr>
          <w:rFonts w:ascii="Arial" w:eastAsiaTheme="minorHAnsi" w:hAnsi="Arial" w:cs="Arial"/>
          <w:color w:val="000000"/>
          <w:lang w:eastAsia="en-US" w:bidi="ar-SA"/>
        </w:rPr>
        <w:t>que medie oficio de solicitud, lo cual podrá efectuarse al cierre de un trimestre, ejercicio fiscal y en casos excepcionales cuando así lo determine la propia Secretaría. Esta determinación deberá ser comunicada al Ejecutor de gasto que corresponde</w:t>
      </w:r>
      <w:r>
        <w:rPr>
          <w:rFonts w:ascii="Arial" w:eastAsiaTheme="minorHAnsi" w:hAnsi="Arial" w:cs="Arial"/>
          <w:b/>
          <w:bCs/>
          <w:color w:val="000000"/>
          <w:lang w:eastAsia="en-US" w:bidi="ar-SA"/>
        </w:rPr>
        <w:t xml:space="preserve">. </w:t>
      </w:r>
    </w:p>
    <w:p w14:paraId="6E8F338C" w14:textId="77777777" w:rsidR="00C6733C" w:rsidRDefault="00C6733C">
      <w:pPr>
        <w:widowControl/>
        <w:adjustRightInd w:val="0"/>
        <w:rPr>
          <w:rFonts w:ascii="Arial" w:eastAsiaTheme="minorHAnsi" w:hAnsi="Arial" w:cs="Arial"/>
          <w:color w:val="000000"/>
          <w:lang w:eastAsia="en-US" w:bidi="ar-SA"/>
        </w:rPr>
      </w:pPr>
    </w:p>
    <w:p w14:paraId="06B9631F"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Artí</w:t>
      </w:r>
      <w:r>
        <w:rPr>
          <w:rFonts w:ascii="Arial" w:eastAsiaTheme="minorHAnsi" w:hAnsi="Arial" w:cs="Arial"/>
          <w:b/>
          <w:bCs/>
          <w:color w:val="000000"/>
          <w:lang w:eastAsia="en-US" w:bidi="ar-SA"/>
        </w:rPr>
        <w:t xml:space="preserve">culo 74. </w:t>
      </w:r>
      <w:r>
        <w:rPr>
          <w:rFonts w:ascii="Arial" w:eastAsiaTheme="minorHAnsi" w:hAnsi="Arial" w:cs="Arial"/>
          <w:color w:val="000000"/>
          <w:lang w:eastAsia="en-US" w:bidi="ar-SA"/>
        </w:rPr>
        <w:t xml:space="preserve">Las Dependencias y Entidades se sujetarán a las disposiciones de austeridad y ajuste del gasto corriente que se establezcan en los términos del Título Tercero, Capítulo IV de la Ley, conforme a lo siguiente: </w:t>
      </w:r>
    </w:p>
    <w:p w14:paraId="111C470D" w14:textId="77777777" w:rsidR="00C6733C" w:rsidRDefault="00C6733C">
      <w:pPr>
        <w:widowControl/>
        <w:adjustRightInd w:val="0"/>
        <w:rPr>
          <w:rFonts w:ascii="Arial" w:eastAsiaTheme="minorHAnsi" w:hAnsi="Arial" w:cs="Arial"/>
          <w:color w:val="000000"/>
          <w:lang w:eastAsia="en-US" w:bidi="ar-SA"/>
        </w:rPr>
      </w:pPr>
    </w:p>
    <w:p w14:paraId="04DE6656" w14:textId="77777777" w:rsidR="00C6733C" w:rsidRDefault="006D0638">
      <w:pPr>
        <w:widowControl/>
        <w:numPr>
          <w:ilvl w:val="0"/>
          <w:numId w:val="16"/>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La adquisición y los arrendamientos d</w:t>
      </w:r>
      <w:r>
        <w:rPr>
          <w:rFonts w:ascii="Arial" w:eastAsiaTheme="minorHAnsi" w:hAnsi="Arial" w:cs="Arial"/>
          <w:color w:val="000000"/>
          <w:lang w:eastAsia="en-US" w:bidi="ar-SA"/>
        </w:rPr>
        <w:t xml:space="preserve">e inmuebles procederán exclusivamente cuando no se cuente con bienes del Estado aptos para cubrir las necesidades correspondientes; previo análisis costo-beneficio y siempre que se compruebe la disponibilidad presupuestaria para tal efecto; </w:t>
      </w:r>
    </w:p>
    <w:p w14:paraId="6308B5F3" w14:textId="77777777" w:rsidR="00C6733C" w:rsidRDefault="00C6733C">
      <w:pPr>
        <w:widowControl/>
        <w:adjustRightInd w:val="0"/>
        <w:ind w:left="567"/>
        <w:jc w:val="both"/>
        <w:rPr>
          <w:rFonts w:ascii="Arial" w:eastAsiaTheme="minorHAnsi" w:hAnsi="Arial" w:cs="Arial"/>
          <w:color w:val="000000"/>
          <w:lang w:eastAsia="en-US" w:bidi="ar-SA"/>
        </w:rPr>
      </w:pPr>
    </w:p>
    <w:p w14:paraId="60391AC5" w14:textId="77777777" w:rsidR="00C6733C" w:rsidRDefault="006D0638">
      <w:pPr>
        <w:widowControl/>
        <w:numPr>
          <w:ilvl w:val="0"/>
          <w:numId w:val="16"/>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No se </w:t>
      </w:r>
      <w:r>
        <w:rPr>
          <w:rFonts w:ascii="Arial" w:eastAsiaTheme="minorHAnsi" w:hAnsi="Arial" w:cs="Arial"/>
          <w:color w:val="000000"/>
          <w:lang w:eastAsia="en-US" w:bidi="ar-SA"/>
        </w:rPr>
        <w:t>autoriza la remodelación de oficinas, sólo podrá autorizarse para la reparación de daños provenientes de casos fortuitos,</w:t>
      </w:r>
    </w:p>
    <w:p w14:paraId="09C4DC33" w14:textId="77777777" w:rsidR="00C6733C" w:rsidRDefault="00C6733C">
      <w:pPr>
        <w:widowControl/>
        <w:adjustRightInd w:val="0"/>
        <w:ind w:left="567"/>
        <w:jc w:val="both"/>
        <w:rPr>
          <w:rFonts w:ascii="Arial" w:eastAsiaTheme="minorHAnsi" w:hAnsi="Arial" w:cs="Arial"/>
          <w:color w:val="000000"/>
          <w:lang w:eastAsia="en-US" w:bidi="ar-SA"/>
        </w:rPr>
      </w:pPr>
    </w:p>
    <w:p w14:paraId="604041D4" w14:textId="77777777" w:rsidR="00C6733C" w:rsidRDefault="006D0638">
      <w:pPr>
        <w:widowControl/>
        <w:numPr>
          <w:ilvl w:val="0"/>
          <w:numId w:val="16"/>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Tratándose de los arrendamientos vigentes, no deberán considerarse incrementos respecto de las rentas convenidas en el ejercicio inme</w:t>
      </w:r>
      <w:r>
        <w:rPr>
          <w:rFonts w:ascii="Arial" w:eastAsiaTheme="minorHAnsi" w:hAnsi="Arial" w:cs="Arial"/>
          <w:color w:val="000000"/>
          <w:lang w:eastAsia="en-US" w:bidi="ar-SA"/>
        </w:rPr>
        <w:t xml:space="preserve">diato anterior, y </w:t>
      </w:r>
    </w:p>
    <w:p w14:paraId="1C2A4FCA" w14:textId="77777777" w:rsidR="00C6733C" w:rsidRDefault="00C6733C">
      <w:pPr>
        <w:widowControl/>
        <w:adjustRightInd w:val="0"/>
        <w:ind w:left="567"/>
        <w:jc w:val="both"/>
        <w:rPr>
          <w:rFonts w:ascii="Arial" w:eastAsiaTheme="minorHAnsi" w:hAnsi="Arial" w:cs="Arial"/>
          <w:color w:val="000000"/>
          <w:lang w:eastAsia="en-US" w:bidi="ar-SA"/>
        </w:rPr>
      </w:pPr>
    </w:p>
    <w:p w14:paraId="1E43AFD5" w14:textId="77777777" w:rsidR="00C6733C" w:rsidRDefault="006D0638">
      <w:pPr>
        <w:widowControl/>
        <w:numPr>
          <w:ilvl w:val="0"/>
          <w:numId w:val="16"/>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La adquisición y/o arrendamiento de vehículos, estará sujeta a la disponibilidad presupuestaria. Adicionalmente el Ejecutor de gasto deberá contar previamente con autorización expresa de la Secretaría.</w:t>
      </w:r>
    </w:p>
    <w:p w14:paraId="25BD41BE" w14:textId="77777777" w:rsidR="00C6733C" w:rsidRDefault="00C6733C">
      <w:pPr>
        <w:widowControl/>
        <w:adjustRightInd w:val="0"/>
        <w:rPr>
          <w:rFonts w:ascii="Arial" w:eastAsiaTheme="minorHAnsi" w:hAnsi="Arial" w:cs="Arial"/>
          <w:color w:val="000000"/>
          <w:lang w:eastAsia="en-US" w:bidi="ar-SA"/>
        </w:rPr>
      </w:pPr>
    </w:p>
    <w:p w14:paraId="688FD4D0" w14:textId="77777777" w:rsidR="00C6733C" w:rsidRDefault="006D0638">
      <w:pPr>
        <w:pStyle w:val="Default"/>
        <w:jc w:val="both"/>
        <w:rPr>
          <w:sz w:val="22"/>
          <w:szCs w:val="22"/>
        </w:rPr>
      </w:pPr>
      <w:r>
        <w:rPr>
          <w:sz w:val="22"/>
          <w:szCs w:val="22"/>
        </w:rPr>
        <w:t>Los Poderes Legislativo y Judicia</w:t>
      </w:r>
      <w:r>
        <w:rPr>
          <w:sz w:val="22"/>
          <w:szCs w:val="22"/>
        </w:rPr>
        <w:t>l, y los Órganos Autónomos, deberán implementar medidas equivalentes a las aplicables a Dependencias y Entidades, respecto de la reducción del gasto destinado a las actividades administrativas y de apoyo, para lo cual publicarán en el Periódico Oficial del</w:t>
      </w:r>
      <w:r>
        <w:rPr>
          <w:sz w:val="22"/>
          <w:szCs w:val="22"/>
        </w:rPr>
        <w:t xml:space="preserve"> Estado y en sus respectivas páginas de internet, a más tardar el último día hábil del mes de enero, sus respectivos lineamientos y el monto correspondiente a la meta de ahorro. </w:t>
      </w:r>
    </w:p>
    <w:p w14:paraId="70E411A4" w14:textId="77777777" w:rsidR="00C6733C" w:rsidRDefault="00C6733C">
      <w:pPr>
        <w:pStyle w:val="Default"/>
        <w:rPr>
          <w:sz w:val="22"/>
          <w:szCs w:val="22"/>
        </w:rPr>
      </w:pPr>
    </w:p>
    <w:p w14:paraId="7885B7DC" w14:textId="77777777" w:rsidR="00C6733C" w:rsidRDefault="006D0638">
      <w:pPr>
        <w:pStyle w:val="Default"/>
        <w:jc w:val="both"/>
        <w:rPr>
          <w:sz w:val="22"/>
          <w:szCs w:val="22"/>
        </w:rPr>
      </w:pPr>
      <w:r>
        <w:rPr>
          <w:sz w:val="22"/>
          <w:szCs w:val="22"/>
        </w:rPr>
        <w:t>En los informes de avance de gestión financiera que envíen al Congreso de fo</w:t>
      </w:r>
      <w:r>
        <w:rPr>
          <w:sz w:val="22"/>
          <w:szCs w:val="22"/>
        </w:rPr>
        <w:t>rma trimestral, los Poderes y los Órganos Autónomos deberán señalar las medidas adoptadas y los montos de los ahorros obtenidos; reportes que serán considerados por la Comisión de Presupuesto y Programación en el proceso de análisis y aprobación de las ero</w:t>
      </w:r>
      <w:r>
        <w:rPr>
          <w:sz w:val="22"/>
          <w:szCs w:val="22"/>
        </w:rPr>
        <w:t xml:space="preserve">gaciones correspondientes al Presupuesto de Egresos para el Ejercicio Fiscal. </w:t>
      </w:r>
    </w:p>
    <w:p w14:paraId="3CEB79B8" w14:textId="77777777" w:rsidR="00C6733C" w:rsidRDefault="00C6733C">
      <w:pPr>
        <w:pStyle w:val="Ttulo1"/>
        <w:tabs>
          <w:tab w:val="left" w:pos="4111"/>
        </w:tabs>
        <w:ind w:left="0" w:right="-29"/>
        <w:jc w:val="both"/>
        <w:rPr>
          <w:sz w:val="22"/>
          <w:szCs w:val="22"/>
        </w:rPr>
      </w:pPr>
    </w:p>
    <w:p w14:paraId="30A958FE" w14:textId="77777777" w:rsidR="00C6733C" w:rsidRDefault="006D0638">
      <w:pPr>
        <w:pStyle w:val="Ttulo1"/>
        <w:tabs>
          <w:tab w:val="left" w:pos="4111"/>
        </w:tabs>
        <w:ind w:left="0" w:right="-29"/>
        <w:jc w:val="both"/>
        <w:rPr>
          <w:b w:val="0"/>
          <w:sz w:val="22"/>
          <w:szCs w:val="22"/>
        </w:rPr>
      </w:pPr>
      <w:r>
        <w:rPr>
          <w:b w:val="0"/>
          <w:sz w:val="22"/>
          <w:szCs w:val="22"/>
        </w:rPr>
        <w:t>Para el cumplimiento de las presentes medidas de austeridad, racionalidad y disciplina presupuestaria, la Secretaría, la Contraloría y el Órgano de Fiscalización estarán facult</w:t>
      </w:r>
      <w:r>
        <w:rPr>
          <w:b w:val="0"/>
          <w:sz w:val="22"/>
          <w:szCs w:val="22"/>
        </w:rPr>
        <w:t>ados para el seguimiento, revisión y fiscalización en el ámbito de sus respectivas competencias.</w:t>
      </w:r>
    </w:p>
    <w:p w14:paraId="6BC7D73F" w14:textId="77777777" w:rsidR="00C6733C" w:rsidRDefault="00C6733C">
      <w:pPr>
        <w:pStyle w:val="Ttulo1"/>
        <w:tabs>
          <w:tab w:val="left" w:pos="4111"/>
        </w:tabs>
        <w:ind w:left="0" w:right="-29"/>
        <w:jc w:val="both"/>
        <w:rPr>
          <w:sz w:val="22"/>
          <w:szCs w:val="22"/>
        </w:rPr>
      </w:pPr>
    </w:p>
    <w:p w14:paraId="6C9976F5" w14:textId="77777777" w:rsidR="00C6733C" w:rsidRDefault="006D0638">
      <w:pPr>
        <w:pStyle w:val="Default"/>
        <w:jc w:val="both"/>
        <w:rPr>
          <w:sz w:val="22"/>
          <w:szCs w:val="22"/>
        </w:rPr>
      </w:pPr>
      <w:r>
        <w:rPr>
          <w:b/>
          <w:bCs/>
          <w:sz w:val="22"/>
          <w:szCs w:val="22"/>
        </w:rPr>
        <w:t xml:space="preserve">Artículo 75. </w:t>
      </w:r>
      <w:r>
        <w:rPr>
          <w:sz w:val="22"/>
          <w:szCs w:val="22"/>
        </w:rPr>
        <w:t>Los montos asignados a las partidas presupuestarias: placas de tránsito, formas de registro y control vehicular; formatos para registro y formas valoradas; alimentación, servicio de comedor y víveres para personas; vestuario administrativo y de campo; vest</w:t>
      </w:r>
      <w:r>
        <w:rPr>
          <w:sz w:val="22"/>
          <w:szCs w:val="22"/>
        </w:rPr>
        <w:t>uario para seguridad pública; prendas de protección administrativo y de campo; prendas de protección para seguridad pública; blancos y telas, excepto prendas de vestir; energía eléctrica; agua; teléfono convencional; telefonía celular; internet, redes y pr</w:t>
      </w:r>
      <w:r>
        <w:rPr>
          <w:sz w:val="22"/>
          <w:szCs w:val="22"/>
        </w:rPr>
        <w:t>ocesamiento de información; arrendamiento de terrenos; arrendamiento de edificios; capacitación y desarrollo de personal; servicios de protección y seguridad; servicios de vigilancia; seguros y fianzas de equipo de transporte; seguros y fianzas de edificio</w:t>
      </w:r>
      <w:r>
        <w:rPr>
          <w:sz w:val="22"/>
          <w:szCs w:val="22"/>
        </w:rPr>
        <w:t>s; primas de seguros y fianzas; seguros y fianzas de aeronaves; impuestos y derechos vehiculares; impuestos y derechos; servicios de investigación científica y desarrollo; servicios de consultoría administrativa, de procesos, técnica y en tecnologías de la</w:t>
      </w:r>
      <w:r>
        <w:rPr>
          <w:sz w:val="22"/>
          <w:szCs w:val="22"/>
        </w:rPr>
        <w:t xml:space="preserve"> información; difusión sobre programas y actividades gubernamentales; apoyos a damnificados; ayudas por desastres naturales y otros siniestros; servicios profesionales, científicos y técnicos integrales; y servicios para proyectos PPS, se considerarán intr</w:t>
      </w:r>
      <w:r>
        <w:rPr>
          <w:sz w:val="22"/>
          <w:szCs w:val="22"/>
        </w:rPr>
        <w:t xml:space="preserve">ansferibles, y los saldos no ejercidos serán concentrados y/o reasignados por la Secretaría como ahorro presupuestario. </w:t>
      </w:r>
    </w:p>
    <w:p w14:paraId="56758492" w14:textId="77777777" w:rsidR="00C6733C" w:rsidRDefault="00C6733C">
      <w:pPr>
        <w:pStyle w:val="Default"/>
        <w:rPr>
          <w:sz w:val="22"/>
          <w:szCs w:val="22"/>
        </w:rPr>
      </w:pPr>
    </w:p>
    <w:p w14:paraId="756BC0B5" w14:textId="77777777" w:rsidR="00C6733C" w:rsidRDefault="006D0638">
      <w:pPr>
        <w:pStyle w:val="Ttulo1"/>
        <w:tabs>
          <w:tab w:val="left" w:pos="4111"/>
        </w:tabs>
        <w:ind w:left="0" w:right="-29"/>
        <w:jc w:val="both"/>
        <w:rPr>
          <w:b w:val="0"/>
          <w:sz w:val="22"/>
          <w:szCs w:val="22"/>
        </w:rPr>
      </w:pPr>
      <w:r>
        <w:rPr>
          <w:bCs w:val="0"/>
          <w:sz w:val="22"/>
          <w:szCs w:val="22"/>
        </w:rPr>
        <w:t>Artículo 76.</w:t>
      </w:r>
      <w:r>
        <w:rPr>
          <w:b w:val="0"/>
          <w:bCs w:val="0"/>
          <w:sz w:val="22"/>
          <w:szCs w:val="22"/>
        </w:rPr>
        <w:t xml:space="preserve"> </w:t>
      </w:r>
      <w:r>
        <w:rPr>
          <w:b w:val="0"/>
          <w:sz w:val="22"/>
          <w:szCs w:val="22"/>
        </w:rPr>
        <w:t>Las Dependencias y Entidades del Ejecutivo podrán adquirir o arrendar inmuebles previa autorización específica, por parte</w:t>
      </w:r>
      <w:r>
        <w:rPr>
          <w:b w:val="0"/>
          <w:sz w:val="22"/>
          <w:szCs w:val="22"/>
        </w:rPr>
        <w:t xml:space="preserve"> de Administración, la autorización de la Secretaría equivaldrá a la asignación autorizada, misma que podrá acreditarse con un reporte del sistema electrónico.</w:t>
      </w:r>
    </w:p>
    <w:p w14:paraId="41CCE0A1" w14:textId="77777777" w:rsidR="00C6733C" w:rsidRDefault="00C6733C">
      <w:pPr>
        <w:pStyle w:val="Ttulo1"/>
        <w:tabs>
          <w:tab w:val="left" w:pos="4111"/>
        </w:tabs>
        <w:ind w:left="0" w:right="-29"/>
        <w:jc w:val="both"/>
        <w:rPr>
          <w:b w:val="0"/>
          <w:sz w:val="22"/>
          <w:szCs w:val="22"/>
        </w:rPr>
      </w:pPr>
    </w:p>
    <w:p w14:paraId="6BD26A82" w14:textId="77777777" w:rsidR="00C6733C" w:rsidRDefault="006D0638">
      <w:pPr>
        <w:pStyle w:val="Ttulo1"/>
        <w:tabs>
          <w:tab w:val="left" w:pos="4111"/>
        </w:tabs>
        <w:ind w:left="0" w:right="-29"/>
        <w:jc w:val="both"/>
        <w:rPr>
          <w:b w:val="0"/>
          <w:sz w:val="22"/>
          <w:szCs w:val="22"/>
        </w:rPr>
      </w:pPr>
      <w:r>
        <w:rPr>
          <w:bCs w:val="0"/>
          <w:sz w:val="22"/>
          <w:szCs w:val="22"/>
        </w:rPr>
        <w:t>Artículo 77.</w:t>
      </w:r>
      <w:r>
        <w:rPr>
          <w:b w:val="0"/>
          <w:bCs w:val="0"/>
          <w:sz w:val="22"/>
          <w:szCs w:val="22"/>
        </w:rPr>
        <w:t xml:space="preserve"> </w:t>
      </w:r>
      <w:r>
        <w:rPr>
          <w:b w:val="0"/>
          <w:sz w:val="22"/>
          <w:szCs w:val="22"/>
        </w:rPr>
        <w:t xml:space="preserve">Las Dependencias y Entidades deberán justificar ante el comité o subcomités según </w:t>
      </w:r>
      <w:r>
        <w:rPr>
          <w:b w:val="0"/>
          <w:sz w:val="22"/>
          <w:szCs w:val="22"/>
        </w:rPr>
        <w:t xml:space="preserve">corresponda, la disponibilidad presupuestaria al inicio del procedimiento de contratación mediante oficio emitido por la Secretaría o reporte del sistema electrónico de la Secretaría. </w:t>
      </w:r>
    </w:p>
    <w:p w14:paraId="024CFE42" w14:textId="77777777" w:rsidR="00C6733C" w:rsidRDefault="00C6733C">
      <w:pPr>
        <w:pStyle w:val="Default"/>
        <w:rPr>
          <w:sz w:val="22"/>
          <w:szCs w:val="22"/>
        </w:rPr>
      </w:pPr>
    </w:p>
    <w:p w14:paraId="5EC2D55C" w14:textId="77777777" w:rsidR="00C6733C" w:rsidRDefault="006D0638">
      <w:pPr>
        <w:pStyle w:val="Default"/>
        <w:jc w:val="both"/>
        <w:rPr>
          <w:sz w:val="22"/>
          <w:szCs w:val="22"/>
        </w:rPr>
      </w:pPr>
      <w:r>
        <w:rPr>
          <w:sz w:val="22"/>
          <w:szCs w:val="22"/>
        </w:rPr>
        <w:t xml:space="preserve">Las Dependencias y Entidades, que soliciten o acrediten los supuestos </w:t>
      </w:r>
      <w:r>
        <w:rPr>
          <w:sz w:val="22"/>
          <w:szCs w:val="22"/>
        </w:rPr>
        <w:t>del Artículo 45 de la Ley, en los casos de contratación plurianual podrán obtener la autorización de la Secretaría, que se incluirá en los proyectos de Presupuestos de Egresos del Estado los montos de las obligaciones financieras que deban realizarse en lo</w:t>
      </w:r>
      <w:r>
        <w:rPr>
          <w:sz w:val="22"/>
          <w:szCs w:val="22"/>
        </w:rPr>
        <w:t xml:space="preserve">s subsecuentes ejercicios fiscales. </w:t>
      </w:r>
    </w:p>
    <w:p w14:paraId="73800AC7" w14:textId="77777777" w:rsidR="00C6733C" w:rsidRDefault="00C6733C">
      <w:pPr>
        <w:pStyle w:val="Default"/>
        <w:jc w:val="both"/>
        <w:rPr>
          <w:sz w:val="22"/>
          <w:szCs w:val="22"/>
        </w:rPr>
      </w:pPr>
    </w:p>
    <w:p w14:paraId="122A7BC4" w14:textId="77777777" w:rsidR="00C6733C" w:rsidRDefault="006D0638">
      <w:pPr>
        <w:pStyle w:val="Default"/>
        <w:jc w:val="both"/>
        <w:rPr>
          <w:sz w:val="22"/>
          <w:szCs w:val="22"/>
        </w:rPr>
      </w:pPr>
      <w:r>
        <w:rPr>
          <w:b/>
          <w:bCs/>
          <w:sz w:val="22"/>
          <w:szCs w:val="22"/>
        </w:rPr>
        <w:t>Artículo 78.</w:t>
      </w:r>
      <w:r>
        <w:rPr>
          <w:bCs/>
          <w:sz w:val="22"/>
          <w:szCs w:val="22"/>
        </w:rPr>
        <w:t xml:space="preserve"> </w:t>
      </w:r>
      <w:r>
        <w:rPr>
          <w:sz w:val="22"/>
          <w:szCs w:val="22"/>
        </w:rPr>
        <w:t xml:space="preserve">Con el propósito de optimizar el ejercicio del gasto corriente, la Secretaría definirá los porcentajes de los montos asignados a las partidas presupuestarias susceptibles de consolidarse. </w:t>
      </w:r>
    </w:p>
    <w:p w14:paraId="02DAD145" w14:textId="77777777" w:rsidR="00C6733C" w:rsidRDefault="00C6733C">
      <w:pPr>
        <w:pStyle w:val="Default"/>
        <w:rPr>
          <w:sz w:val="22"/>
          <w:szCs w:val="22"/>
        </w:rPr>
      </w:pPr>
    </w:p>
    <w:p w14:paraId="1F9AE6FC" w14:textId="77777777" w:rsidR="00C6733C" w:rsidRDefault="006D0638">
      <w:pPr>
        <w:pStyle w:val="Ttulo1"/>
        <w:tabs>
          <w:tab w:val="left" w:pos="4111"/>
        </w:tabs>
        <w:ind w:left="0" w:right="-29"/>
        <w:jc w:val="both"/>
        <w:rPr>
          <w:b w:val="0"/>
          <w:sz w:val="22"/>
          <w:szCs w:val="22"/>
        </w:rPr>
      </w:pPr>
      <w:r>
        <w:rPr>
          <w:bCs w:val="0"/>
          <w:sz w:val="22"/>
          <w:szCs w:val="22"/>
        </w:rPr>
        <w:t>Artículo 79.</w:t>
      </w:r>
      <w:r>
        <w:rPr>
          <w:b w:val="0"/>
          <w:bCs w:val="0"/>
          <w:sz w:val="22"/>
          <w:szCs w:val="22"/>
        </w:rPr>
        <w:t xml:space="preserve"> </w:t>
      </w:r>
      <w:r>
        <w:rPr>
          <w:b w:val="0"/>
          <w:sz w:val="22"/>
          <w:szCs w:val="22"/>
        </w:rPr>
        <w:t>Un</w:t>
      </w:r>
      <w:r>
        <w:rPr>
          <w:b w:val="0"/>
          <w:sz w:val="22"/>
          <w:szCs w:val="22"/>
        </w:rPr>
        <w:t>a vez aprobado el presupuesto de egresos, los Órganos Autónomos deberán sujetarse a su presupuesto aprobado, y durante el ejercicio establecerán controles administrativos que les permitan eficientar el gasto, a fin de lograr los objetivos previstos, confor</w:t>
      </w:r>
      <w:r>
        <w:rPr>
          <w:b w:val="0"/>
          <w:sz w:val="22"/>
          <w:szCs w:val="22"/>
        </w:rPr>
        <w:t>me a su disponibilidad presupuestaria, por lo que no podrá contraer compromisos más allá de su presupuesto aprobado.</w:t>
      </w:r>
    </w:p>
    <w:p w14:paraId="149C1DC1" w14:textId="77777777" w:rsidR="00C6733C" w:rsidRDefault="00C6733C">
      <w:pPr>
        <w:pStyle w:val="Ttulo1"/>
        <w:tabs>
          <w:tab w:val="left" w:pos="4111"/>
        </w:tabs>
        <w:ind w:left="0" w:right="-29"/>
        <w:jc w:val="both"/>
        <w:rPr>
          <w:b w:val="0"/>
          <w:sz w:val="22"/>
          <w:szCs w:val="22"/>
        </w:rPr>
      </w:pPr>
    </w:p>
    <w:p w14:paraId="442E352D" w14:textId="77777777" w:rsidR="00C6733C" w:rsidRDefault="00C6733C">
      <w:pPr>
        <w:pStyle w:val="Ttulo1"/>
        <w:tabs>
          <w:tab w:val="left" w:pos="4111"/>
        </w:tabs>
        <w:ind w:left="0" w:right="-29"/>
        <w:jc w:val="both"/>
        <w:rPr>
          <w:b w:val="0"/>
          <w:sz w:val="22"/>
          <w:szCs w:val="22"/>
        </w:rPr>
      </w:pPr>
    </w:p>
    <w:p w14:paraId="3BBAE4CD" w14:textId="77777777" w:rsidR="00C6733C" w:rsidRDefault="006D0638">
      <w:pPr>
        <w:pStyle w:val="Ttulo1"/>
        <w:ind w:left="0" w:right="-29"/>
        <w:rPr>
          <w:sz w:val="22"/>
          <w:szCs w:val="22"/>
        </w:rPr>
      </w:pPr>
      <w:r>
        <w:rPr>
          <w:sz w:val="22"/>
          <w:szCs w:val="22"/>
        </w:rPr>
        <w:t>Capítulo I</w:t>
      </w:r>
    </w:p>
    <w:p w14:paraId="0BE86411" w14:textId="77777777" w:rsidR="00C6733C" w:rsidRDefault="006D0638">
      <w:pPr>
        <w:ind w:right="-29"/>
        <w:jc w:val="center"/>
        <w:rPr>
          <w:rFonts w:ascii="Arial" w:hAnsi="Arial" w:cs="Arial"/>
          <w:b/>
        </w:rPr>
      </w:pPr>
      <w:r>
        <w:rPr>
          <w:rFonts w:ascii="Arial" w:hAnsi="Arial" w:cs="Arial"/>
          <w:b/>
        </w:rPr>
        <w:t>De los Servicios Personales</w:t>
      </w:r>
    </w:p>
    <w:p w14:paraId="6D53A09D" w14:textId="77777777" w:rsidR="00C6733C" w:rsidRDefault="00C6733C">
      <w:pPr>
        <w:pStyle w:val="Textoindependiente"/>
        <w:ind w:right="-29"/>
        <w:jc w:val="center"/>
        <w:rPr>
          <w:b/>
          <w:sz w:val="22"/>
          <w:szCs w:val="22"/>
        </w:rPr>
      </w:pPr>
    </w:p>
    <w:p w14:paraId="3C4588F8"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80. </w:t>
      </w:r>
      <w:r>
        <w:rPr>
          <w:rFonts w:ascii="Arial" w:eastAsiaTheme="minorHAnsi" w:hAnsi="Arial" w:cs="Arial"/>
          <w:color w:val="000000"/>
          <w:lang w:eastAsia="en-US" w:bidi="ar-SA"/>
        </w:rPr>
        <w:t>Ningún servidor público podrá recibir remuneración por el desempeño de su función, e</w:t>
      </w:r>
      <w:r>
        <w:rPr>
          <w:rFonts w:ascii="Arial" w:eastAsiaTheme="minorHAnsi" w:hAnsi="Arial" w:cs="Arial"/>
          <w:color w:val="000000"/>
          <w:lang w:eastAsia="en-US" w:bidi="ar-SA"/>
        </w:rPr>
        <w:t xml:space="preserve">mpleo, cargo o comisión, igual o mayor a la establecida para el Titular del Ejecutivo del Estado. </w:t>
      </w:r>
    </w:p>
    <w:p w14:paraId="52A45527" w14:textId="77777777" w:rsidR="00C6733C" w:rsidRDefault="00C6733C">
      <w:pPr>
        <w:widowControl/>
        <w:adjustRightInd w:val="0"/>
        <w:rPr>
          <w:rFonts w:ascii="Arial" w:eastAsiaTheme="minorHAnsi" w:hAnsi="Arial" w:cs="Arial"/>
          <w:color w:val="000000"/>
          <w:lang w:eastAsia="en-US" w:bidi="ar-SA"/>
        </w:rPr>
      </w:pPr>
    </w:p>
    <w:p w14:paraId="0563A8D1" w14:textId="77777777" w:rsidR="00C6733C" w:rsidRDefault="006D0638">
      <w:pPr>
        <w:jc w:val="both"/>
        <w:rPr>
          <w:rFonts w:ascii="Arial" w:hAnsi="Arial" w:cs="Arial"/>
        </w:rPr>
      </w:pPr>
      <w:r>
        <w:rPr>
          <w:rFonts w:ascii="Arial" w:eastAsiaTheme="minorHAnsi" w:hAnsi="Arial" w:cs="Arial"/>
          <w:b/>
          <w:bCs/>
          <w:color w:val="000000"/>
          <w:lang w:eastAsia="en-US" w:bidi="ar-SA"/>
        </w:rPr>
        <w:t xml:space="preserve">Artículo 81. </w:t>
      </w:r>
      <w:r>
        <w:rPr>
          <w:rFonts w:ascii="Arial" w:hAnsi="Arial" w:cs="Arial"/>
        </w:rPr>
        <w:t xml:space="preserve">La asignación global de los recursos para servicios personales del ejercicio fiscal 2020, deberá ajustarse a lo dispuesto en el Artículo 10 fracción I de la Ley de Disciplina y su correlativo 30 fracción I de la Ley, con las siguientes salvedades: </w:t>
      </w:r>
    </w:p>
    <w:p w14:paraId="5B4FFFC3" w14:textId="77777777" w:rsidR="00C6733C" w:rsidRDefault="00C6733C">
      <w:pPr>
        <w:jc w:val="both"/>
        <w:rPr>
          <w:rFonts w:ascii="Arial" w:hAnsi="Arial" w:cs="Arial"/>
        </w:rPr>
      </w:pPr>
    </w:p>
    <w:p w14:paraId="2713D1A1" w14:textId="77777777" w:rsidR="00C6733C" w:rsidRDefault="006D0638">
      <w:pPr>
        <w:jc w:val="both"/>
        <w:rPr>
          <w:rFonts w:ascii="Arial" w:hAnsi="Arial" w:cs="Arial"/>
        </w:rPr>
      </w:pPr>
      <w:r>
        <w:rPr>
          <w:rFonts w:ascii="Arial" w:hAnsi="Arial" w:cs="Arial"/>
        </w:rPr>
        <w:t xml:space="preserve">a) Sentencias laborales definitivas emitidas por la autoridad laboral competente, y </w:t>
      </w:r>
    </w:p>
    <w:p w14:paraId="3E5DD5A5" w14:textId="77777777" w:rsidR="00C6733C" w:rsidRDefault="00C6733C">
      <w:pPr>
        <w:widowControl/>
        <w:numPr>
          <w:ilvl w:val="1"/>
          <w:numId w:val="17"/>
        </w:numPr>
        <w:autoSpaceDE/>
        <w:autoSpaceDN/>
        <w:spacing w:after="160" w:line="259" w:lineRule="auto"/>
        <w:jc w:val="both"/>
        <w:rPr>
          <w:rFonts w:ascii="Arial" w:hAnsi="Arial" w:cs="Arial"/>
        </w:rPr>
      </w:pPr>
    </w:p>
    <w:p w14:paraId="30D9F1B6" w14:textId="77777777" w:rsidR="00C6733C" w:rsidRDefault="006D0638">
      <w:pPr>
        <w:jc w:val="both"/>
        <w:rPr>
          <w:rFonts w:ascii="Arial" w:hAnsi="Arial" w:cs="Arial"/>
        </w:rPr>
      </w:pPr>
      <w:r>
        <w:rPr>
          <w:rFonts w:ascii="Arial" w:hAnsi="Arial" w:cs="Arial"/>
        </w:rPr>
        <w:t xml:space="preserve">b) Los gastos en servicios personales que sean estrictamente indispensables para la implementación de nuevas leyes generales, estatales o reformas de las mismas. </w:t>
      </w:r>
    </w:p>
    <w:p w14:paraId="341A93A2" w14:textId="77777777" w:rsidR="00C6733C" w:rsidRDefault="00C6733C">
      <w:pPr>
        <w:widowControl/>
        <w:numPr>
          <w:ilvl w:val="1"/>
          <w:numId w:val="17"/>
        </w:numPr>
        <w:autoSpaceDE/>
        <w:autoSpaceDN/>
        <w:spacing w:after="160" w:line="259" w:lineRule="auto"/>
        <w:jc w:val="both"/>
        <w:rPr>
          <w:rFonts w:ascii="Arial" w:hAnsi="Arial" w:cs="Arial"/>
        </w:rPr>
      </w:pPr>
    </w:p>
    <w:p w14:paraId="7A9E7062" w14:textId="77777777" w:rsidR="00C6733C" w:rsidRDefault="006D0638">
      <w:pPr>
        <w:jc w:val="both"/>
        <w:rPr>
          <w:rFonts w:ascii="Arial" w:hAnsi="Arial" w:cs="Arial"/>
        </w:rPr>
      </w:pPr>
      <w:r>
        <w:rPr>
          <w:rFonts w:ascii="Arial" w:hAnsi="Arial" w:cs="Arial"/>
        </w:rPr>
        <w:t>Para l</w:t>
      </w:r>
      <w:r>
        <w:rPr>
          <w:rFonts w:ascii="Arial" w:hAnsi="Arial" w:cs="Arial"/>
        </w:rPr>
        <w:t xml:space="preserve">o cual, en el ejercicio presupuestario correspondiente a Servicios Personales: </w:t>
      </w:r>
    </w:p>
    <w:p w14:paraId="2B4A6B32" w14:textId="77777777" w:rsidR="00C6733C" w:rsidRDefault="00C6733C">
      <w:pPr>
        <w:jc w:val="both"/>
        <w:rPr>
          <w:rFonts w:ascii="Arial" w:hAnsi="Arial" w:cs="Arial"/>
        </w:rPr>
      </w:pPr>
    </w:p>
    <w:p w14:paraId="60FF1FEC" w14:textId="77777777" w:rsidR="00C6733C" w:rsidRDefault="006D0638">
      <w:pPr>
        <w:widowControl/>
        <w:numPr>
          <w:ilvl w:val="0"/>
          <w:numId w:val="9"/>
        </w:numPr>
        <w:autoSpaceDE/>
        <w:autoSpaceDN/>
        <w:spacing w:after="160" w:line="259" w:lineRule="auto"/>
        <w:ind w:left="567" w:hanging="283"/>
        <w:jc w:val="both"/>
        <w:rPr>
          <w:rFonts w:ascii="Arial" w:hAnsi="Arial" w:cs="Arial"/>
        </w:rPr>
      </w:pPr>
      <w:r>
        <w:rPr>
          <w:rFonts w:ascii="Arial" w:hAnsi="Arial" w:cs="Arial"/>
        </w:rPr>
        <w:t>Administración deberá cumplir lo siguiente:</w:t>
      </w:r>
    </w:p>
    <w:p w14:paraId="36789ADE" w14:textId="77777777" w:rsidR="00C6733C" w:rsidRDefault="006D0638">
      <w:pPr>
        <w:widowControl/>
        <w:numPr>
          <w:ilvl w:val="0"/>
          <w:numId w:val="6"/>
        </w:numPr>
        <w:autoSpaceDE/>
        <w:autoSpaceDN/>
        <w:spacing w:after="160" w:line="259" w:lineRule="auto"/>
        <w:ind w:left="851" w:hanging="283"/>
        <w:jc w:val="both"/>
        <w:rPr>
          <w:rFonts w:ascii="Arial" w:hAnsi="Arial" w:cs="Arial"/>
        </w:rPr>
      </w:pPr>
      <w:r>
        <w:rPr>
          <w:rFonts w:ascii="Arial" w:hAnsi="Arial" w:cs="Arial"/>
        </w:rPr>
        <w:t>Revisará las funciones y competencias de las Dependencias y Entidades a fin de identificar duplicidades y, en su caso, compactar ár</w:t>
      </w:r>
      <w:r>
        <w:rPr>
          <w:rFonts w:ascii="Arial" w:hAnsi="Arial" w:cs="Arial"/>
        </w:rPr>
        <w:t>eas, o eliminar aquellas cuya existencia no se justifique a fin de optimizar recursos;</w:t>
      </w:r>
    </w:p>
    <w:p w14:paraId="4BDA1356" w14:textId="77777777" w:rsidR="00C6733C" w:rsidRDefault="006D0638">
      <w:pPr>
        <w:widowControl/>
        <w:numPr>
          <w:ilvl w:val="0"/>
          <w:numId w:val="6"/>
        </w:numPr>
        <w:autoSpaceDE/>
        <w:autoSpaceDN/>
        <w:spacing w:after="160" w:line="259" w:lineRule="auto"/>
        <w:ind w:left="851" w:hanging="283"/>
        <w:jc w:val="both"/>
        <w:rPr>
          <w:rFonts w:ascii="Arial" w:hAnsi="Arial" w:cs="Arial"/>
        </w:rPr>
      </w:pPr>
      <w:r>
        <w:rPr>
          <w:rFonts w:ascii="Arial" w:hAnsi="Arial" w:cs="Arial"/>
        </w:rPr>
        <w:t>No autorizará plazas de nueva creación en ninguna modalidad de contratación, sin el comunicado de disponibilidad presupuestaria de la Secretaría, para lo cual Administra</w:t>
      </w:r>
      <w:r>
        <w:rPr>
          <w:rFonts w:ascii="Arial" w:hAnsi="Arial" w:cs="Arial"/>
        </w:rPr>
        <w:t>ción oportunamente proporcionará la información que la Secretaría solicite;</w:t>
      </w:r>
    </w:p>
    <w:p w14:paraId="0824982C" w14:textId="77777777" w:rsidR="00C6733C" w:rsidRDefault="006D0638">
      <w:pPr>
        <w:widowControl/>
        <w:numPr>
          <w:ilvl w:val="0"/>
          <w:numId w:val="6"/>
        </w:numPr>
        <w:autoSpaceDE/>
        <w:autoSpaceDN/>
        <w:spacing w:after="160" w:line="259" w:lineRule="auto"/>
        <w:ind w:left="851" w:hanging="283"/>
        <w:jc w:val="both"/>
        <w:rPr>
          <w:rFonts w:ascii="Arial" w:hAnsi="Arial" w:cs="Arial"/>
        </w:rPr>
      </w:pPr>
      <w:r>
        <w:rPr>
          <w:rFonts w:ascii="Arial" w:hAnsi="Arial" w:cs="Arial"/>
        </w:rPr>
        <w:t>Verificará que las plazas de base únicamente sean utilizadas por sus titulares, por lo que las plazas de base de personal con licencia sin goce de sueldo deberán quedar reservadas;</w:t>
      </w:r>
    </w:p>
    <w:p w14:paraId="7EEE7FDC" w14:textId="77777777" w:rsidR="00C6733C" w:rsidRDefault="006D0638">
      <w:pPr>
        <w:widowControl/>
        <w:numPr>
          <w:ilvl w:val="0"/>
          <w:numId w:val="6"/>
        </w:numPr>
        <w:autoSpaceDE/>
        <w:autoSpaceDN/>
        <w:spacing w:after="160" w:line="259" w:lineRule="auto"/>
        <w:ind w:left="851" w:hanging="283"/>
        <w:jc w:val="both"/>
        <w:rPr>
          <w:rFonts w:ascii="Arial" w:hAnsi="Arial" w:cs="Arial"/>
        </w:rPr>
      </w:pPr>
      <w:r>
        <w:rPr>
          <w:rFonts w:ascii="Arial" w:hAnsi="Arial" w:cs="Arial"/>
        </w:rPr>
        <w:t>A más tardar en el mes de enero deberá comunicar detalladamente en los términos solicitados por la Secretaría, el inventario de plazas con cobertura presupuestaria anual por Ejecutor de gasto, privilegiando al personal de base, mandos medios y superiores,</w:t>
      </w:r>
      <w:r>
        <w:rPr>
          <w:rFonts w:ascii="Arial" w:hAnsi="Arial" w:cs="Arial"/>
        </w:rPr>
        <w:t xml:space="preserve"> y</w:t>
      </w:r>
    </w:p>
    <w:p w14:paraId="1EAC1DC0" w14:textId="77777777" w:rsidR="00C6733C" w:rsidRDefault="006D0638">
      <w:pPr>
        <w:widowControl/>
        <w:numPr>
          <w:ilvl w:val="0"/>
          <w:numId w:val="6"/>
        </w:numPr>
        <w:autoSpaceDE/>
        <w:autoSpaceDN/>
        <w:spacing w:after="160" w:line="259" w:lineRule="auto"/>
        <w:ind w:left="851" w:hanging="283"/>
        <w:jc w:val="both"/>
        <w:rPr>
          <w:rFonts w:ascii="Arial" w:hAnsi="Arial" w:cs="Arial"/>
        </w:rPr>
      </w:pPr>
      <w:r>
        <w:rPr>
          <w:rFonts w:ascii="Arial" w:hAnsi="Arial" w:cs="Arial"/>
        </w:rPr>
        <w:t>Verificará que las Dependencias y Entidades únicamente contraten personal de mandos medios y superiores, en estricto apego a la estructura orgánica autorizada.</w:t>
      </w:r>
    </w:p>
    <w:p w14:paraId="4BFE07EB" w14:textId="77777777" w:rsidR="00C6733C" w:rsidRDefault="006D0638">
      <w:pPr>
        <w:pStyle w:val="Prrafodelista"/>
        <w:numPr>
          <w:ilvl w:val="0"/>
          <w:numId w:val="9"/>
        </w:numPr>
        <w:tabs>
          <w:tab w:val="left" w:pos="567"/>
        </w:tabs>
        <w:spacing w:before="0"/>
        <w:ind w:left="567" w:right="-29" w:hanging="283"/>
      </w:pPr>
      <w:r>
        <w:t>Los Ejecutores de gasto deberán cumplir lo siguiente:</w:t>
      </w:r>
    </w:p>
    <w:p w14:paraId="6B82B2E9" w14:textId="77777777" w:rsidR="00C6733C" w:rsidRDefault="00C6733C">
      <w:pPr>
        <w:pStyle w:val="Textoindependiente"/>
        <w:rPr>
          <w:sz w:val="22"/>
          <w:szCs w:val="22"/>
        </w:rPr>
      </w:pPr>
    </w:p>
    <w:p w14:paraId="10168E1B" w14:textId="77777777" w:rsidR="00C6733C" w:rsidRDefault="006D0638">
      <w:pPr>
        <w:pStyle w:val="Prrafodelista"/>
        <w:numPr>
          <w:ilvl w:val="0"/>
          <w:numId w:val="5"/>
        </w:numPr>
        <w:tabs>
          <w:tab w:val="left" w:pos="1262"/>
        </w:tabs>
        <w:spacing w:before="0"/>
        <w:ind w:left="851" w:right="-29" w:hanging="284"/>
        <w:jc w:val="both"/>
      </w:pPr>
      <w:r>
        <w:t xml:space="preserve">No crearán plazas, salvo las que </w:t>
      </w:r>
      <w:r>
        <w:t>sean resultado de reformas jurídicas y en estricto apego a la estructura orgánica</w:t>
      </w:r>
      <w:r>
        <w:rPr>
          <w:spacing w:val="-5"/>
        </w:rPr>
        <w:t xml:space="preserve"> </w:t>
      </w:r>
      <w:r>
        <w:t>autorizada;</w:t>
      </w:r>
    </w:p>
    <w:p w14:paraId="4C566638" w14:textId="77777777" w:rsidR="00C6733C" w:rsidRDefault="00C6733C">
      <w:pPr>
        <w:pStyle w:val="Prrafodelista"/>
        <w:tabs>
          <w:tab w:val="left" w:pos="1262"/>
        </w:tabs>
        <w:spacing w:before="0"/>
        <w:ind w:left="851" w:right="-29" w:firstLine="0"/>
        <w:jc w:val="right"/>
      </w:pPr>
    </w:p>
    <w:p w14:paraId="299C45F7" w14:textId="77777777" w:rsidR="00C6733C" w:rsidRDefault="006D0638">
      <w:pPr>
        <w:pStyle w:val="Prrafodelista"/>
        <w:numPr>
          <w:ilvl w:val="0"/>
          <w:numId w:val="5"/>
        </w:numPr>
        <w:tabs>
          <w:tab w:val="left" w:pos="1262"/>
        </w:tabs>
        <w:spacing w:before="0"/>
        <w:ind w:left="851" w:right="-29" w:hanging="284"/>
        <w:jc w:val="both"/>
      </w:pPr>
      <w:r>
        <w:t>Poner en práctica mecanismos de trabajo que permitan reducir al mínimo el pago de horas extraordinarias, no debiendo exceder de tres horas diarias y de tres vece</w:t>
      </w:r>
      <w:r>
        <w:t>s a la</w:t>
      </w:r>
      <w:r>
        <w:rPr>
          <w:spacing w:val="-16"/>
        </w:rPr>
        <w:t xml:space="preserve"> </w:t>
      </w:r>
      <w:r>
        <w:t>semana.</w:t>
      </w:r>
    </w:p>
    <w:p w14:paraId="6B34E37A" w14:textId="77777777" w:rsidR="00C6733C" w:rsidRDefault="00C6733C">
      <w:pPr>
        <w:pStyle w:val="Textoindependiente"/>
        <w:rPr>
          <w:sz w:val="22"/>
          <w:szCs w:val="22"/>
        </w:rPr>
      </w:pPr>
    </w:p>
    <w:p w14:paraId="6707BBD9" w14:textId="77777777" w:rsidR="00C6733C" w:rsidRDefault="006D0638">
      <w:pPr>
        <w:ind w:right="-29"/>
        <w:jc w:val="both"/>
        <w:rPr>
          <w:rFonts w:ascii="Arial" w:hAnsi="Arial" w:cs="Arial"/>
        </w:rPr>
      </w:pPr>
      <w:r>
        <w:rPr>
          <w:rFonts w:ascii="Arial" w:hAnsi="Arial" w:cs="Arial"/>
        </w:rPr>
        <w:t>Solo podrán hacer uso de la partida presupuestaria de remuneraciones extraordinarias los Ejecutores de gasto que por la naturaleza de sus funciones lo ameriten y que hayan sido autorizados en el presupuesto inmediato anterior.</w:t>
      </w:r>
    </w:p>
    <w:p w14:paraId="2EBE6FD7" w14:textId="77777777" w:rsidR="00C6733C" w:rsidRDefault="00C6733C">
      <w:pPr>
        <w:pStyle w:val="Textoindependiente"/>
        <w:ind w:left="851" w:right="-29"/>
        <w:rPr>
          <w:sz w:val="22"/>
          <w:szCs w:val="22"/>
        </w:rPr>
      </w:pPr>
    </w:p>
    <w:p w14:paraId="5AD5562F" w14:textId="77777777" w:rsidR="00C6733C" w:rsidRDefault="006D0638">
      <w:pPr>
        <w:pStyle w:val="Textoindependiente"/>
        <w:ind w:right="-29"/>
        <w:jc w:val="both"/>
        <w:rPr>
          <w:sz w:val="22"/>
          <w:szCs w:val="22"/>
        </w:rPr>
      </w:pPr>
      <w:r>
        <w:rPr>
          <w:sz w:val="22"/>
          <w:szCs w:val="22"/>
        </w:rPr>
        <w:t>Las disposic</w:t>
      </w:r>
      <w:r>
        <w:rPr>
          <w:sz w:val="22"/>
          <w:szCs w:val="22"/>
        </w:rPr>
        <w:t>iones que establezcan el Poder Judicial, la Tesorería o su equivalente de la Legislatura del Estado, las Tesorerías o su equivalente de los Órganos Autónomos, el Poder Ejecutivo a través de Administración y la Secretaría, para el pago de esta prestación no</w:t>
      </w:r>
      <w:r>
        <w:rPr>
          <w:sz w:val="22"/>
          <w:szCs w:val="22"/>
        </w:rPr>
        <w:t xml:space="preserve"> deberán contravenir el presente</w:t>
      </w:r>
      <w:r>
        <w:rPr>
          <w:spacing w:val="-9"/>
          <w:sz w:val="22"/>
          <w:szCs w:val="22"/>
        </w:rPr>
        <w:t xml:space="preserve"> </w:t>
      </w:r>
      <w:r>
        <w:rPr>
          <w:sz w:val="22"/>
          <w:szCs w:val="22"/>
        </w:rPr>
        <w:t>Decreto.</w:t>
      </w:r>
    </w:p>
    <w:p w14:paraId="45582310" w14:textId="77777777" w:rsidR="00C6733C" w:rsidRDefault="00C6733C">
      <w:pPr>
        <w:pStyle w:val="Textoindependiente"/>
        <w:rPr>
          <w:sz w:val="22"/>
          <w:szCs w:val="22"/>
        </w:rPr>
      </w:pPr>
    </w:p>
    <w:p w14:paraId="6145FC6B" w14:textId="77777777" w:rsidR="00C6733C" w:rsidRDefault="006D0638">
      <w:pPr>
        <w:pStyle w:val="Prrafodelista"/>
        <w:numPr>
          <w:ilvl w:val="0"/>
          <w:numId w:val="5"/>
        </w:numPr>
        <w:tabs>
          <w:tab w:val="left" w:pos="851"/>
        </w:tabs>
        <w:spacing w:before="0"/>
        <w:ind w:left="851" w:right="-29" w:hanging="284"/>
        <w:jc w:val="both"/>
      </w:pPr>
      <w:r>
        <w:t>Solo podrán contratar personal bajo la modalidad de honorarios asimilados a salarios, previa autorización de Administración y aprobación de la cobertura presupuestaria emitida por la Secretaría;</w:t>
      </w:r>
    </w:p>
    <w:p w14:paraId="54F18C61" w14:textId="77777777" w:rsidR="00C6733C" w:rsidRDefault="00C6733C">
      <w:pPr>
        <w:pStyle w:val="Prrafodelista"/>
        <w:tabs>
          <w:tab w:val="left" w:pos="851"/>
        </w:tabs>
        <w:spacing w:before="0"/>
        <w:ind w:left="851" w:right="-29" w:firstLine="0"/>
        <w:jc w:val="right"/>
      </w:pPr>
    </w:p>
    <w:p w14:paraId="51A35A93" w14:textId="77777777" w:rsidR="00C6733C" w:rsidRDefault="006D0638">
      <w:pPr>
        <w:pStyle w:val="Prrafodelista"/>
        <w:numPr>
          <w:ilvl w:val="0"/>
          <w:numId w:val="5"/>
        </w:numPr>
        <w:tabs>
          <w:tab w:val="left" w:pos="851"/>
        </w:tabs>
        <w:spacing w:before="0"/>
        <w:ind w:left="851" w:right="-29" w:hanging="284"/>
        <w:jc w:val="both"/>
      </w:pPr>
      <w:r>
        <w:t xml:space="preserve">Se abstendrán de </w:t>
      </w:r>
      <w:r>
        <w:t>incorporar mediante la celebración de contratos administrativos de prestación de servicios personales en la modalidad de honorarios asimilados a salario, personal para el desempeño de labores iguales o similares a las que realiza el personal que forma la p</w:t>
      </w:r>
      <w:r>
        <w:t>lantilla</w:t>
      </w:r>
      <w:r>
        <w:rPr>
          <w:spacing w:val="-1"/>
        </w:rPr>
        <w:t xml:space="preserve"> </w:t>
      </w:r>
      <w:r>
        <w:t>autorizada;</w:t>
      </w:r>
    </w:p>
    <w:p w14:paraId="02D6A47B" w14:textId="77777777" w:rsidR="00C6733C" w:rsidRDefault="00C6733C">
      <w:pPr>
        <w:pStyle w:val="Textoindependiente"/>
        <w:rPr>
          <w:sz w:val="22"/>
          <w:szCs w:val="22"/>
        </w:rPr>
      </w:pPr>
    </w:p>
    <w:p w14:paraId="7F70A572" w14:textId="77777777" w:rsidR="00C6733C" w:rsidRDefault="006D0638">
      <w:pPr>
        <w:pStyle w:val="Prrafodelista"/>
        <w:numPr>
          <w:ilvl w:val="0"/>
          <w:numId w:val="5"/>
        </w:numPr>
        <w:tabs>
          <w:tab w:val="left" w:pos="851"/>
        </w:tabs>
        <w:spacing w:before="0"/>
        <w:ind w:left="851" w:right="-29" w:hanging="284"/>
        <w:jc w:val="both"/>
      </w:pPr>
      <w:r>
        <w:t>Las plazas en litigio no deberán ser ocupadas hasta la emisión de sentencia definitiva y cumplimiento de la misma debiendo solicitar a la Secretaría la reducción del saldo presupuestario del costo total de la</w:t>
      </w:r>
      <w:r>
        <w:rPr>
          <w:spacing w:val="-6"/>
        </w:rPr>
        <w:t xml:space="preserve"> </w:t>
      </w:r>
      <w:r>
        <w:t>plaza;</w:t>
      </w:r>
    </w:p>
    <w:p w14:paraId="1F881169" w14:textId="77777777" w:rsidR="00C6733C" w:rsidRDefault="00C6733C">
      <w:pPr>
        <w:rPr>
          <w:rFonts w:ascii="Arial" w:hAnsi="Arial" w:cs="Arial"/>
        </w:rPr>
      </w:pPr>
    </w:p>
    <w:p w14:paraId="4210B173" w14:textId="77777777" w:rsidR="00C6733C" w:rsidRDefault="006D0638">
      <w:pPr>
        <w:pStyle w:val="Prrafodelista"/>
        <w:numPr>
          <w:ilvl w:val="0"/>
          <w:numId w:val="5"/>
        </w:numPr>
        <w:tabs>
          <w:tab w:val="left" w:pos="851"/>
        </w:tabs>
        <w:spacing w:before="0"/>
        <w:ind w:left="851" w:right="-29" w:hanging="284"/>
        <w:jc w:val="both"/>
      </w:pPr>
      <w:r>
        <w:t xml:space="preserve">Se </w:t>
      </w:r>
      <w:r>
        <w:t>abstendrán de proponer traspasos de recursos de otros capítulos de gasto al capítulo de servicios personales y</w:t>
      </w:r>
      <w:r>
        <w:rPr>
          <w:spacing w:val="-2"/>
        </w:rPr>
        <w:t xml:space="preserve"> </w:t>
      </w:r>
      <w:r>
        <w:t>viceversa, y</w:t>
      </w:r>
    </w:p>
    <w:p w14:paraId="15746D7C" w14:textId="77777777" w:rsidR="00C6733C" w:rsidRDefault="00C6733C">
      <w:pPr>
        <w:pStyle w:val="Prrafodelista"/>
        <w:tabs>
          <w:tab w:val="left" w:pos="851"/>
        </w:tabs>
        <w:spacing w:before="0"/>
        <w:ind w:left="851" w:right="-29" w:firstLine="0"/>
        <w:jc w:val="right"/>
      </w:pPr>
    </w:p>
    <w:p w14:paraId="2E98E652" w14:textId="77777777" w:rsidR="00C6733C" w:rsidRDefault="006D0638">
      <w:pPr>
        <w:pStyle w:val="Prrafodelista"/>
        <w:numPr>
          <w:ilvl w:val="0"/>
          <w:numId w:val="5"/>
        </w:numPr>
        <w:tabs>
          <w:tab w:val="left" w:pos="851"/>
        </w:tabs>
        <w:spacing w:before="0"/>
        <w:ind w:left="851" w:right="-29" w:hanging="284"/>
        <w:jc w:val="both"/>
      </w:pPr>
      <w:r>
        <w:t>Se abstendrán de contratar recursos humanos que generen incompatibilidad en el empleo por coincidencia en los turnos laborales.</w:t>
      </w:r>
    </w:p>
    <w:p w14:paraId="3AC89B13" w14:textId="77777777" w:rsidR="00C6733C" w:rsidRDefault="00C6733C">
      <w:pPr>
        <w:pStyle w:val="Prrafodelista"/>
      </w:pPr>
    </w:p>
    <w:p w14:paraId="3CF20616" w14:textId="77777777" w:rsidR="00C6733C" w:rsidRDefault="006D0638">
      <w:pPr>
        <w:pStyle w:val="Textoindependiente"/>
        <w:jc w:val="both"/>
        <w:rPr>
          <w:sz w:val="22"/>
          <w:szCs w:val="22"/>
        </w:rPr>
      </w:pPr>
      <w:r>
        <w:rPr>
          <w:sz w:val="22"/>
          <w:szCs w:val="22"/>
        </w:rPr>
        <w:t>As</w:t>
      </w:r>
      <w:r>
        <w:rPr>
          <w:sz w:val="22"/>
          <w:szCs w:val="22"/>
        </w:rPr>
        <w:t>í mismo, cuando una persona ocupe dos o más puestos o comisiones en cualquier Municipio, en el Gobierno del Estado o en la Federación, y</w:t>
      </w:r>
    </w:p>
    <w:p w14:paraId="2BE06032" w14:textId="77777777" w:rsidR="00C6733C" w:rsidRDefault="00C6733C">
      <w:pPr>
        <w:pStyle w:val="Textoindependiente"/>
        <w:ind w:left="851"/>
        <w:jc w:val="both"/>
        <w:rPr>
          <w:sz w:val="22"/>
          <w:szCs w:val="22"/>
        </w:rPr>
      </w:pPr>
    </w:p>
    <w:p w14:paraId="59D72EB6" w14:textId="77777777" w:rsidR="00C6733C" w:rsidRDefault="006D0638">
      <w:pPr>
        <w:pStyle w:val="Prrafodelista"/>
        <w:numPr>
          <w:ilvl w:val="0"/>
          <w:numId w:val="5"/>
        </w:numPr>
        <w:tabs>
          <w:tab w:val="left" w:pos="851"/>
        </w:tabs>
        <w:spacing w:before="0"/>
        <w:ind w:left="851" w:right="-29" w:hanging="284"/>
        <w:jc w:val="both"/>
      </w:pPr>
      <w:r>
        <w:t>Se abstendrán de traspasar recursos destinados a programas de capacitación a otras partidas presupuestarias.</w:t>
      </w:r>
    </w:p>
    <w:p w14:paraId="2F27E013" w14:textId="77777777" w:rsidR="00C6733C" w:rsidRDefault="00C6733C">
      <w:pPr>
        <w:pStyle w:val="Textoindependiente"/>
        <w:rPr>
          <w:sz w:val="22"/>
          <w:szCs w:val="22"/>
        </w:rPr>
      </w:pPr>
    </w:p>
    <w:p w14:paraId="27CBF838" w14:textId="77777777" w:rsidR="00C6733C" w:rsidRDefault="006D0638">
      <w:pPr>
        <w:pStyle w:val="Textoindependiente"/>
        <w:tabs>
          <w:tab w:val="left" w:pos="6634"/>
        </w:tabs>
        <w:ind w:right="-29"/>
        <w:jc w:val="both"/>
        <w:rPr>
          <w:sz w:val="22"/>
          <w:szCs w:val="22"/>
        </w:rPr>
      </w:pPr>
      <w:r>
        <w:rPr>
          <w:sz w:val="22"/>
          <w:szCs w:val="22"/>
        </w:rPr>
        <w:t>Administ</w:t>
      </w:r>
      <w:r>
        <w:rPr>
          <w:sz w:val="22"/>
          <w:szCs w:val="22"/>
        </w:rPr>
        <w:t>ración y los Ejecutores de gasto se apegarán estrictamente a los niveles e importes establecidos en los tabuladores de sueldos del Anexo 6 que forma parte del presente Decreto.</w:t>
      </w:r>
    </w:p>
    <w:p w14:paraId="56FE427A" w14:textId="77777777" w:rsidR="00C6733C" w:rsidRDefault="00C6733C">
      <w:pPr>
        <w:pStyle w:val="Textoindependiente"/>
        <w:tabs>
          <w:tab w:val="left" w:pos="6634"/>
        </w:tabs>
        <w:ind w:right="-29"/>
        <w:jc w:val="both"/>
        <w:rPr>
          <w:sz w:val="22"/>
          <w:szCs w:val="22"/>
        </w:rPr>
      </w:pPr>
    </w:p>
    <w:p w14:paraId="73491CC2" w14:textId="77777777" w:rsidR="00C6733C" w:rsidRDefault="006D0638">
      <w:pPr>
        <w:pStyle w:val="Textoindependiente"/>
        <w:tabs>
          <w:tab w:val="left" w:pos="6634"/>
        </w:tabs>
        <w:ind w:right="-29"/>
        <w:jc w:val="both"/>
        <w:rPr>
          <w:sz w:val="22"/>
          <w:szCs w:val="22"/>
        </w:rPr>
      </w:pPr>
      <w:r>
        <w:rPr>
          <w:sz w:val="22"/>
          <w:szCs w:val="22"/>
        </w:rPr>
        <w:t>Dichos tabuladores determinan anualmente la remuneración de los servidores púb</w:t>
      </w:r>
      <w:r>
        <w:rPr>
          <w:sz w:val="22"/>
          <w:szCs w:val="22"/>
        </w:rPr>
        <w:t>licos conforme a las leyes, decretos legislativos, contratos colectivos de trabajo o condiciones generales de trabajo, y no podrán modificarse sólo por acuerdo interno de los titulares de los Ejecutores de gasto ni de sus Órganos de gobierno.</w:t>
      </w:r>
    </w:p>
    <w:p w14:paraId="56E12188" w14:textId="77777777" w:rsidR="00C6733C" w:rsidRDefault="00C6733C">
      <w:pPr>
        <w:pStyle w:val="Textoindependiente"/>
        <w:rPr>
          <w:sz w:val="22"/>
          <w:szCs w:val="22"/>
        </w:rPr>
      </w:pPr>
    </w:p>
    <w:p w14:paraId="15D03D58" w14:textId="77777777" w:rsidR="00C6733C" w:rsidRDefault="006D0638">
      <w:pPr>
        <w:pStyle w:val="Textoindependiente"/>
        <w:tabs>
          <w:tab w:val="left" w:pos="6634"/>
        </w:tabs>
        <w:ind w:right="-29"/>
        <w:jc w:val="both"/>
        <w:rPr>
          <w:sz w:val="22"/>
          <w:szCs w:val="22"/>
        </w:rPr>
      </w:pPr>
      <w:r>
        <w:rPr>
          <w:b/>
          <w:sz w:val="22"/>
          <w:szCs w:val="22"/>
        </w:rPr>
        <w:t>Artículo 82.</w:t>
      </w:r>
      <w:r>
        <w:rPr>
          <w:b/>
          <w:sz w:val="22"/>
          <w:szCs w:val="22"/>
        </w:rPr>
        <w:t xml:space="preserve"> </w:t>
      </w:r>
      <w:r>
        <w:rPr>
          <w:sz w:val="22"/>
          <w:szCs w:val="22"/>
        </w:rPr>
        <w:t>Las listas de raya con cargo a servicios personales o derivados de proyectos de inversión, que por su naturaleza requieran la contratación de personal eventual, se tramitarán en la Secretaría previa validación de Administración.</w:t>
      </w:r>
    </w:p>
    <w:p w14:paraId="70CE11C3" w14:textId="77777777" w:rsidR="00C6733C" w:rsidRDefault="00C6733C">
      <w:pPr>
        <w:pStyle w:val="Textoindependiente"/>
        <w:tabs>
          <w:tab w:val="left" w:pos="978"/>
          <w:tab w:val="left" w:pos="6634"/>
        </w:tabs>
        <w:ind w:right="-29"/>
        <w:rPr>
          <w:sz w:val="22"/>
          <w:szCs w:val="22"/>
        </w:rPr>
      </w:pPr>
    </w:p>
    <w:p w14:paraId="2C8C59E8" w14:textId="77777777" w:rsidR="00C6733C" w:rsidRDefault="006D0638">
      <w:pPr>
        <w:pStyle w:val="Textoindependiente"/>
        <w:tabs>
          <w:tab w:val="left" w:pos="6634"/>
        </w:tabs>
        <w:ind w:right="-29"/>
        <w:jc w:val="both"/>
        <w:rPr>
          <w:sz w:val="22"/>
          <w:szCs w:val="22"/>
        </w:rPr>
      </w:pPr>
      <w:r>
        <w:rPr>
          <w:b/>
          <w:sz w:val="22"/>
          <w:szCs w:val="22"/>
        </w:rPr>
        <w:t xml:space="preserve">Artículo 83. </w:t>
      </w:r>
      <w:r>
        <w:rPr>
          <w:sz w:val="22"/>
          <w:szCs w:val="22"/>
        </w:rPr>
        <w:t>Administración en coordinación con las Dependencias y Entidades, realizarán las adecuaciones presupuestarias necesarias con la finalidad de que los servicios personales se ejerzan de acuerdo a sus estructuras orgánicas y programáticas</w:t>
      </w:r>
      <w:r>
        <w:rPr>
          <w:spacing w:val="-20"/>
          <w:sz w:val="22"/>
          <w:szCs w:val="22"/>
        </w:rPr>
        <w:t xml:space="preserve"> </w:t>
      </w:r>
      <w:r>
        <w:rPr>
          <w:sz w:val="22"/>
          <w:szCs w:val="22"/>
        </w:rPr>
        <w:t>aprobada</w:t>
      </w:r>
      <w:r>
        <w:rPr>
          <w:sz w:val="22"/>
          <w:szCs w:val="22"/>
        </w:rPr>
        <w:t>s.</w:t>
      </w:r>
    </w:p>
    <w:p w14:paraId="1F61DAB2" w14:textId="77777777" w:rsidR="00C6733C" w:rsidRDefault="00C6733C">
      <w:pPr>
        <w:pStyle w:val="Textoindependiente"/>
        <w:tabs>
          <w:tab w:val="left" w:pos="6634"/>
        </w:tabs>
        <w:ind w:right="-29"/>
        <w:rPr>
          <w:sz w:val="22"/>
          <w:szCs w:val="22"/>
        </w:rPr>
      </w:pPr>
    </w:p>
    <w:p w14:paraId="080FA819" w14:textId="77777777" w:rsidR="00C6733C" w:rsidRDefault="006D0638">
      <w:pPr>
        <w:pStyle w:val="Textoindependiente"/>
        <w:tabs>
          <w:tab w:val="left" w:pos="6634"/>
        </w:tabs>
        <w:ind w:right="-29"/>
        <w:jc w:val="both"/>
        <w:rPr>
          <w:sz w:val="22"/>
          <w:szCs w:val="22"/>
        </w:rPr>
      </w:pPr>
      <w:r>
        <w:rPr>
          <w:b/>
          <w:sz w:val="22"/>
          <w:szCs w:val="22"/>
        </w:rPr>
        <w:t xml:space="preserve">Artículo 84. </w:t>
      </w:r>
      <w:r>
        <w:rPr>
          <w:sz w:val="22"/>
          <w:szCs w:val="22"/>
        </w:rPr>
        <w:t>El total de plazas reportadas por el Instituto Estatal de Educación Pública de Oaxaca se desglosa de la siguiente forma:</w:t>
      </w:r>
    </w:p>
    <w:p w14:paraId="5BB07ADB" w14:textId="77777777" w:rsidR="00C6733C" w:rsidRDefault="00C6733C">
      <w:pPr>
        <w:pStyle w:val="Textoindependiente"/>
        <w:rPr>
          <w:sz w:val="22"/>
          <w:szCs w:val="22"/>
        </w:rPr>
      </w:pPr>
    </w:p>
    <w:tbl>
      <w:tblPr>
        <w:tblW w:w="6203" w:type="dxa"/>
        <w:jc w:val="center"/>
        <w:tblLayout w:type="fixed"/>
        <w:tblLook w:val="01E0" w:firstRow="1" w:lastRow="1" w:firstColumn="1" w:lastColumn="1" w:noHBand="0" w:noVBand="0"/>
      </w:tblPr>
      <w:tblGrid>
        <w:gridCol w:w="3329"/>
        <w:gridCol w:w="2835"/>
        <w:gridCol w:w="39"/>
      </w:tblGrid>
      <w:tr w:rsidR="00C6733C" w14:paraId="456D9934" w14:textId="77777777">
        <w:trPr>
          <w:trHeight w:val="314"/>
          <w:jc w:val="center"/>
        </w:trPr>
        <w:tc>
          <w:tcPr>
            <w:tcW w:w="3329" w:type="dxa"/>
          </w:tcPr>
          <w:p w14:paraId="1C66111B" w14:textId="77777777" w:rsidR="00C6733C" w:rsidRDefault="006D0638">
            <w:pPr>
              <w:pStyle w:val="TableParagraph"/>
              <w:ind w:left="200"/>
              <w:jc w:val="left"/>
              <w:rPr>
                <w:rFonts w:ascii="Arial" w:hAnsi="Arial" w:cs="Arial"/>
                <w:b/>
              </w:rPr>
            </w:pPr>
            <w:r>
              <w:rPr>
                <w:rFonts w:ascii="Arial" w:hAnsi="Arial" w:cs="Arial"/>
                <w:b/>
              </w:rPr>
              <w:t>Plazas Estatales</w:t>
            </w:r>
          </w:p>
        </w:tc>
        <w:tc>
          <w:tcPr>
            <w:tcW w:w="2874" w:type="dxa"/>
            <w:gridSpan w:val="2"/>
          </w:tcPr>
          <w:p w14:paraId="12AB01B8" w14:textId="77777777" w:rsidR="00C6733C" w:rsidRDefault="006D0638">
            <w:pPr>
              <w:pStyle w:val="TableParagraph"/>
              <w:ind w:right="200"/>
              <w:rPr>
                <w:rFonts w:ascii="Arial" w:hAnsi="Arial" w:cs="Arial"/>
                <w:b/>
              </w:rPr>
            </w:pPr>
            <w:r>
              <w:rPr>
                <w:rFonts w:ascii="Arial" w:hAnsi="Arial" w:cs="Arial"/>
                <w:b/>
                <w:w w:val="99"/>
              </w:rPr>
              <w:t>0</w:t>
            </w:r>
          </w:p>
        </w:tc>
      </w:tr>
      <w:tr w:rsidR="00C6733C" w14:paraId="104130D5" w14:textId="77777777">
        <w:trPr>
          <w:trHeight w:val="395"/>
          <w:jc w:val="center"/>
        </w:trPr>
        <w:tc>
          <w:tcPr>
            <w:tcW w:w="3329" w:type="dxa"/>
          </w:tcPr>
          <w:p w14:paraId="189B43EC" w14:textId="77777777" w:rsidR="00C6733C" w:rsidRDefault="006D0638">
            <w:pPr>
              <w:pStyle w:val="TableParagraph"/>
              <w:ind w:left="200"/>
              <w:jc w:val="left"/>
              <w:rPr>
                <w:rFonts w:ascii="Arial" w:hAnsi="Arial" w:cs="Arial"/>
                <w:b/>
              </w:rPr>
            </w:pPr>
            <w:r>
              <w:rPr>
                <w:rFonts w:ascii="Arial" w:hAnsi="Arial" w:cs="Arial"/>
                <w:b/>
              </w:rPr>
              <w:t>Plazas Federales</w:t>
            </w:r>
          </w:p>
        </w:tc>
        <w:tc>
          <w:tcPr>
            <w:tcW w:w="2874" w:type="dxa"/>
            <w:gridSpan w:val="2"/>
          </w:tcPr>
          <w:p w14:paraId="17897B05" w14:textId="77777777" w:rsidR="00C6733C" w:rsidRDefault="006D0638">
            <w:pPr>
              <w:pStyle w:val="TableParagraph"/>
              <w:ind w:right="199"/>
              <w:rPr>
                <w:rFonts w:ascii="Arial" w:hAnsi="Arial" w:cs="Arial"/>
                <w:b/>
              </w:rPr>
            </w:pPr>
            <w:r>
              <w:rPr>
                <w:rFonts w:ascii="Arial" w:hAnsi="Arial" w:cs="Arial"/>
                <w:b/>
              </w:rPr>
              <w:t>114,325</w:t>
            </w:r>
          </w:p>
        </w:tc>
      </w:tr>
      <w:tr w:rsidR="00C6733C" w14:paraId="51E34667" w14:textId="77777777">
        <w:trPr>
          <w:trHeight w:val="357"/>
          <w:jc w:val="center"/>
        </w:trPr>
        <w:tc>
          <w:tcPr>
            <w:tcW w:w="3329" w:type="dxa"/>
          </w:tcPr>
          <w:p w14:paraId="2FFB0FD4" w14:textId="77777777" w:rsidR="00C6733C" w:rsidRDefault="006D0638">
            <w:pPr>
              <w:pStyle w:val="TableParagraph"/>
              <w:ind w:left="200"/>
              <w:jc w:val="left"/>
              <w:rPr>
                <w:rFonts w:ascii="Arial" w:hAnsi="Arial" w:cs="Arial"/>
              </w:rPr>
            </w:pPr>
            <w:r>
              <w:rPr>
                <w:rFonts w:ascii="Arial" w:hAnsi="Arial" w:cs="Arial"/>
              </w:rPr>
              <w:t>Plazas Magisteriales</w:t>
            </w:r>
          </w:p>
        </w:tc>
        <w:tc>
          <w:tcPr>
            <w:tcW w:w="2874" w:type="dxa"/>
            <w:gridSpan w:val="2"/>
          </w:tcPr>
          <w:p w14:paraId="4D9B178C" w14:textId="77777777" w:rsidR="00C6733C" w:rsidRDefault="006D0638">
            <w:pPr>
              <w:pStyle w:val="TableParagraph"/>
              <w:ind w:left="898"/>
              <w:jc w:val="left"/>
              <w:rPr>
                <w:rFonts w:ascii="Arial" w:hAnsi="Arial" w:cs="Arial"/>
              </w:rPr>
            </w:pPr>
            <w:r>
              <w:rPr>
                <w:rFonts w:ascii="Arial" w:hAnsi="Arial" w:cs="Arial"/>
              </w:rPr>
              <w:t>100,886</w:t>
            </w:r>
          </w:p>
        </w:tc>
      </w:tr>
      <w:tr w:rsidR="00C6733C" w14:paraId="08BCEF8A" w14:textId="77777777">
        <w:trPr>
          <w:trHeight w:val="516"/>
          <w:jc w:val="center"/>
        </w:trPr>
        <w:tc>
          <w:tcPr>
            <w:tcW w:w="3329" w:type="dxa"/>
          </w:tcPr>
          <w:p w14:paraId="1710B084" w14:textId="77777777" w:rsidR="00C6733C" w:rsidRDefault="006D0638">
            <w:pPr>
              <w:pStyle w:val="TableParagraph"/>
              <w:ind w:left="200" w:right="142"/>
              <w:jc w:val="left"/>
              <w:rPr>
                <w:rFonts w:ascii="Arial" w:hAnsi="Arial" w:cs="Arial"/>
              </w:rPr>
            </w:pPr>
            <w:r>
              <w:rPr>
                <w:rFonts w:ascii="Arial" w:hAnsi="Arial" w:cs="Arial"/>
              </w:rPr>
              <w:t xml:space="preserve">Personal de Apoyo a la </w:t>
            </w:r>
            <w:r>
              <w:rPr>
                <w:rFonts w:ascii="Arial" w:hAnsi="Arial" w:cs="Arial"/>
              </w:rPr>
              <w:t>Asistencia de la Educación (PAAE)</w:t>
            </w:r>
          </w:p>
        </w:tc>
        <w:tc>
          <w:tcPr>
            <w:tcW w:w="2874" w:type="dxa"/>
            <w:gridSpan w:val="2"/>
          </w:tcPr>
          <w:p w14:paraId="76507C49" w14:textId="77777777" w:rsidR="00C6733C" w:rsidRDefault="006D0638">
            <w:pPr>
              <w:pStyle w:val="TableParagraph"/>
              <w:ind w:left="1035"/>
              <w:jc w:val="left"/>
              <w:rPr>
                <w:rFonts w:ascii="Arial" w:hAnsi="Arial" w:cs="Arial"/>
              </w:rPr>
            </w:pPr>
            <w:r>
              <w:rPr>
                <w:rFonts w:ascii="Arial" w:hAnsi="Arial" w:cs="Arial"/>
              </w:rPr>
              <w:t>13,239</w:t>
            </w:r>
          </w:p>
        </w:tc>
      </w:tr>
      <w:tr w:rsidR="00C6733C" w14:paraId="4998F96B" w14:textId="77777777">
        <w:trPr>
          <w:gridAfter w:val="1"/>
          <w:wAfter w:w="39" w:type="dxa"/>
          <w:trHeight w:val="443"/>
          <w:jc w:val="center"/>
        </w:trPr>
        <w:tc>
          <w:tcPr>
            <w:tcW w:w="3329" w:type="dxa"/>
          </w:tcPr>
          <w:p w14:paraId="533E2DB7" w14:textId="77777777" w:rsidR="00C6733C" w:rsidRDefault="006D0638">
            <w:pPr>
              <w:pStyle w:val="TableParagraph"/>
              <w:ind w:left="200"/>
              <w:jc w:val="left"/>
              <w:rPr>
                <w:rFonts w:ascii="Arial" w:hAnsi="Arial" w:cs="Arial"/>
              </w:rPr>
            </w:pPr>
            <w:r>
              <w:rPr>
                <w:rFonts w:ascii="Arial" w:hAnsi="Arial" w:cs="Arial"/>
              </w:rPr>
              <w:t>Mandos Medios y Superiores</w:t>
            </w:r>
          </w:p>
        </w:tc>
        <w:tc>
          <w:tcPr>
            <w:tcW w:w="2835" w:type="dxa"/>
          </w:tcPr>
          <w:p w14:paraId="136CA23F" w14:textId="77777777" w:rsidR="00C6733C" w:rsidRDefault="006D0638">
            <w:pPr>
              <w:pStyle w:val="TableParagraph"/>
              <w:ind w:left="1307"/>
              <w:jc w:val="left"/>
              <w:rPr>
                <w:rFonts w:ascii="Arial" w:hAnsi="Arial" w:cs="Arial"/>
              </w:rPr>
            </w:pPr>
            <w:r>
              <w:rPr>
                <w:rFonts w:ascii="Arial" w:hAnsi="Arial" w:cs="Arial"/>
              </w:rPr>
              <w:t>200</w:t>
            </w:r>
          </w:p>
        </w:tc>
      </w:tr>
      <w:tr w:rsidR="00C6733C" w14:paraId="75DD2E08" w14:textId="77777777">
        <w:trPr>
          <w:gridAfter w:val="1"/>
          <w:wAfter w:w="39" w:type="dxa"/>
          <w:trHeight w:val="320"/>
          <w:jc w:val="center"/>
        </w:trPr>
        <w:tc>
          <w:tcPr>
            <w:tcW w:w="3329" w:type="dxa"/>
          </w:tcPr>
          <w:p w14:paraId="0CA54FFF" w14:textId="77777777" w:rsidR="00C6733C" w:rsidRDefault="006D0638">
            <w:pPr>
              <w:pStyle w:val="TableParagraph"/>
              <w:ind w:left="200"/>
              <w:jc w:val="left"/>
              <w:rPr>
                <w:rFonts w:ascii="Arial" w:hAnsi="Arial" w:cs="Arial"/>
                <w:b/>
              </w:rPr>
            </w:pPr>
            <w:r>
              <w:rPr>
                <w:rFonts w:ascii="Arial" w:hAnsi="Arial" w:cs="Arial"/>
                <w:b/>
              </w:rPr>
              <w:t>TOTAL</w:t>
            </w:r>
          </w:p>
        </w:tc>
        <w:tc>
          <w:tcPr>
            <w:tcW w:w="2835" w:type="dxa"/>
          </w:tcPr>
          <w:p w14:paraId="3CFAA01C" w14:textId="77777777" w:rsidR="00C6733C" w:rsidRDefault="006D0638">
            <w:pPr>
              <w:pStyle w:val="TableParagraph"/>
              <w:ind w:right="197"/>
              <w:rPr>
                <w:rFonts w:ascii="Arial" w:hAnsi="Arial" w:cs="Arial"/>
                <w:b/>
              </w:rPr>
            </w:pPr>
            <w:r>
              <w:rPr>
                <w:rFonts w:ascii="Arial" w:hAnsi="Arial" w:cs="Arial"/>
                <w:b/>
              </w:rPr>
              <w:t>114,325</w:t>
            </w:r>
          </w:p>
        </w:tc>
      </w:tr>
    </w:tbl>
    <w:p w14:paraId="413BDD45" w14:textId="77777777" w:rsidR="00C6733C" w:rsidRDefault="00C6733C">
      <w:pPr>
        <w:pStyle w:val="Textoindependiente"/>
        <w:rPr>
          <w:sz w:val="22"/>
          <w:szCs w:val="22"/>
        </w:rPr>
      </w:pPr>
    </w:p>
    <w:p w14:paraId="30A47D5A"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85. </w:t>
      </w:r>
      <w:r>
        <w:rPr>
          <w:rFonts w:ascii="Arial" w:eastAsiaTheme="minorHAnsi" w:hAnsi="Arial" w:cs="Arial"/>
          <w:color w:val="000000"/>
          <w:lang w:eastAsia="en-US" w:bidi="ar-SA"/>
        </w:rPr>
        <w:t xml:space="preserve">Se podrá contratar personal eventual, con cargo a los derechos recaudados de supervisión de obra pública previsto en el Artículo 17 fracción VI y 38 de la Ley Estatal de Derechos. </w:t>
      </w:r>
    </w:p>
    <w:p w14:paraId="3169C501" w14:textId="77777777" w:rsidR="00C6733C" w:rsidRDefault="00C6733C">
      <w:pPr>
        <w:widowControl/>
        <w:adjustRightInd w:val="0"/>
        <w:rPr>
          <w:rFonts w:ascii="Arial" w:eastAsiaTheme="minorHAnsi" w:hAnsi="Arial" w:cs="Arial"/>
          <w:color w:val="000000"/>
          <w:lang w:eastAsia="en-US" w:bidi="ar-SA"/>
        </w:rPr>
      </w:pPr>
    </w:p>
    <w:p w14:paraId="41B79300"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color w:val="000000"/>
          <w:lang w:eastAsia="en-US" w:bidi="ar-SA"/>
        </w:rPr>
        <w:t>Esta contratación se autorizará para el ejercicio fiscal en el que la Depe</w:t>
      </w:r>
      <w:r>
        <w:rPr>
          <w:rFonts w:ascii="Arial" w:eastAsiaTheme="minorHAnsi" w:hAnsi="Arial" w:cs="Arial"/>
          <w:color w:val="000000"/>
          <w:lang w:eastAsia="en-US" w:bidi="ar-SA"/>
        </w:rPr>
        <w:t>ndencia o Entidad cuente con recursos financieros para su pago; de no existir disponibilidad financiera, la contratación deberá darse por concluida. Podrá contratarse nuevamente personal en esta modalidad, cuando vuelva a disponerse de recursos financieros</w:t>
      </w:r>
      <w:r>
        <w:rPr>
          <w:rFonts w:ascii="Arial" w:eastAsiaTheme="minorHAnsi" w:hAnsi="Arial" w:cs="Arial"/>
          <w:color w:val="000000"/>
          <w:lang w:eastAsia="en-US" w:bidi="ar-SA"/>
        </w:rPr>
        <w:t xml:space="preserve"> para su pago. </w:t>
      </w:r>
    </w:p>
    <w:p w14:paraId="3A8F4676" w14:textId="77777777" w:rsidR="00C6733C" w:rsidRDefault="00C6733C">
      <w:pPr>
        <w:widowControl/>
        <w:adjustRightInd w:val="0"/>
        <w:rPr>
          <w:rFonts w:ascii="Arial" w:eastAsiaTheme="minorHAnsi" w:hAnsi="Arial" w:cs="Arial"/>
          <w:color w:val="000000"/>
          <w:lang w:eastAsia="en-US" w:bidi="ar-SA"/>
        </w:rPr>
      </w:pPr>
    </w:p>
    <w:p w14:paraId="258EE014"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color w:val="000000"/>
          <w:lang w:eastAsia="en-US" w:bidi="ar-SA"/>
        </w:rPr>
        <w:t>Será responsabilidad del titular de la Dependencia o Entidad y del titular de la Unidad de Administración o su equivalente, vigilar que dicho personal no forme parte de la estructura organizacional y ocupacional autorizada por Administración, ni sea benefi</w:t>
      </w:r>
      <w:r>
        <w:rPr>
          <w:rFonts w:ascii="Arial" w:eastAsiaTheme="minorHAnsi" w:hAnsi="Arial" w:cs="Arial"/>
          <w:color w:val="000000"/>
          <w:lang w:eastAsia="en-US" w:bidi="ar-SA"/>
        </w:rPr>
        <w:t xml:space="preserve">ciario de estímulos o prestaciones laborales que otorgue el Gobierno del Estado. </w:t>
      </w:r>
    </w:p>
    <w:p w14:paraId="7537367B" w14:textId="77777777" w:rsidR="00C6733C" w:rsidRDefault="00C6733C">
      <w:pPr>
        <w:widowControl/>
        <w:adjustRightInd w:val="0"/>
        <w:rPr>
          <w:rFonts w:ascii="Arial" w:eastAsiaTheme="minorHAnsi" w:hAnsi="Arial" w:cs="Arial"/>
          <w:b/>
          <w:bCs/>
          <w:color w:val="000000"/>
          <w:lang w:eastAsia="en-US" w:bidi="ar-SA"/>
        </w:rPr>
      </w:pPr>
    </w:p>
    <w:p w14:paraId="6231F701"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86. </w:t>
      </w:r>
      <w:r>
        <w:rPr>
          <w:rFonts w:ascii="Arial" w:eastAsiaTheme="minorHAnsi" w:hAnsi="Arial" w:cs="Arial"/>
          <w:color w:val="000000"/>
          <w:lang w:eastAsia="en-US" w:bidi="ar-SA"/>
        </w:rPr>
        <w:t>Las Dependencias y Entidades no podrán autorizar ningún tipo de gratificación, compensación, bono o emolumento extraordinario sin la autorización de Administrac</w:t>
      </w:r>
      <w:r>
        <w:rPr>
          <w:rFonts w:ascii="Arial" w:eastAsiaTheme="minorHAnsi" w:hAnsi="Arial" w:cs="Arial"/>
          <w:color w:val="000000"/>
          <w:lang w:eastAsia="en-US" w:bidi="ar-SA"/>
        </w:rPr>
        <w:t xml:space="preserve">ión y previa determinación de disponibilidad presupuestaria emitida por la Secretaría. </w:t>
      </w:r>
    </w:p>
    <w:p w14:paraId="31DDD7FA" w14:textId="77777777" w:rsidR="00C6733C" w:rsidRDefault="00C6733C">
      <w:pPr>
        <w:widowControl/>
        <w:adjustRightInd w:val="0"/>
        <w:rPr>
          <w:rFonts w:ascii="Arial" w:eastAsiaTheme="minorHAnsi" w:hAnsi="Arial" w:cs="Arial"/>
          <w:color w:val="000000"/>
          <w:lang w:eastAsia="en-US" w:bidi="ar-SA"/>
        </w:rPr>
      </w:pPr>
    </w:p>
    <w:p w14:paraId="26B359E7"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color w:val="000000"/>
          <w:lang w:eastAsia="en-US" w:bidi="ar-SA"/>
        </w:rPr>
        <w:t>Tratándose de los demás Ejecutores de gasto, las gratificaciones, compensaciones, bonos o emolumentos extraordinarios previstos en las disposiciones legales que las re</w:t>
      </w:r>
      <w:r>
        <w:rPr>
          <w:rFonts w:ascii="Arial" w:eastAsiaTheme="minorHAnsi" w:hAnsi="Arial" w:cs="Arial"/>
          <w:color w:val="000000"/>
          <w:lang w:eastAsia="en-US" w:bidi="ar-SA"/>
        </w:rPr>
        <w:t xml:space="preserve">gulan, se autorizarán conforme a su disponibilidad presupuestaria en las partidas que les corresponda. </w:t>
      </w:r>
    </w:p>
    <w:p w14:paraId="498CC2B7" w14:textId="77777777" w:rsidR="00C6733C" w:rsidRDefault="00C6733C">
      <w:pPr>
        <w:pStyle w:val="Textoindependiente"/>
        <w:ind w:right="-29"/>
        <w:jc w:val="both"/>
        <w:rPr>
          <w:rFonts w:eastAsiaTheme="minorHAnsi"/>
          <w:b/>
          <w:bCs/>
          <w:color w:val="000000"/>
          <w:sz w:val="22"/>
          <w:szCs w:val="22"/>
          <w:lang w:eastAsia="en-US" w:bidi="ar-SA"/>
        </w:rPr>
      </w:pPr>
    </w:p>
    <w:p w14:paraId="3816D17B" w14:textId="77777777" w:rsidR="00C6733C" w:rsidRDefault="006D0638">
      <w:pPr>
        <w:pStyle w:val="Textoindependiente"/>
        <w:ind w:right="-29"/>
        <w:jc w:val="both"/>
        <w:rPr>
          <w:b/>
          <w:sz w:val="22"/>
          <w:szCs w:val="22"/>
        </w:rPr>
      </w:pPr>
      <w:r>
        <w:rPr>
          <w:rFonts w:eastAsiaTheme="minorHAnsi"/>
          <w:b/>
          <w:bCs/>
          <w:color w:val="000000"/>
          <w:sz w:val="22"/>
          <w:szCs w:val="22"/>
          <w:lang w:eastAsia="en-US" w:bidi="ar-SA"/>
        </w:rPr>
        <w:t xml:space="preserve">Artículo 87. </w:t>
      </w:r>
      <w:r>
        <w:rPr>
          <w:rFonts w:eastAsiaTheme="minorHAnsi"/>
          <w:color w:val="000000"/>
          <w:sz w:val="22"/>
          <w:szCs w:val="22"/>
          <w:lang w:eastAsia="en-US" w:bidi="ar-SA"/>
        </w:rPr>
        <w:t xml:space="preserve">Los recursos previstos en servicios personales que por alguna causa no se ejerzan, se considerarán ahorro presupuestario y serán </w:t>
      </w:r>
      <w:r>
        <w:rPr>
          <w:rFonts w:eastAsiaTheme="minorHAnsi"/>
          <w:color w:val="000000"/>
          <w:sz w:val="22"/>
          <w:szCs w:val="22"/>
          <w:lang w:eastAsia="en-US" w:bidi="ar-SA"/>
        </w:rPr>
        <w:t>concentrados por la Secretaría, sin que medie solicitud de los Ejecutores de gasto.</w:t>
      </w:r>
    </w:p>
    <w:p w14:paraId="5E6F1DD8" w14:textId="77777777" w:rsidR="00C6733C" w:rsidRDefault="00C6733C">
      <w:pPr>
        <w:pStyle w:val="Textoindependiente"/>
        <w:rPr>
          <w:sz w:val="22"/>
          <w:szCs w:val="22"/>
        </w:rPr>
      </w:pPr>
    </w:p>
    <w:p w14:paraId="67D8D037" w14:textId="77777777" w:rsidR="00C6733C" w:rsidRDefault="00C6733C">
      <w:pPr>
        <w:pStyle w:val="Textoindependiente"/>
        <w:rPr>
          <w:sz w:val="22"/>
          <w:szCs w:val="22"/>
        </w:rPr>
      </w:pPr>
    </w:p>
    <w:p w14:paraId="03B8CBA4" w14:textId="77777777" w:rsidR="00C6733C" w:rsidRDefault="006D0638">
      <w:pPr>
        <w:pStyle w:val="Ttulo1"/>
        <w:ind w:left="0" w:right="-29"/>
        <w:rPr>
          <w:sz w:val="22"/>
          <w:szCs w:val="22"/>
        </w:rPr>
      </w:pPr>
      <w:r>
        <w:rPr>
          <w:sz w:val="22"/>
          <w:szCs w:val="22"/>
        </w:rPr>
        <w:t>Capítulo II</w:t>
      </w:r>
    </w:p>
    <w:p w14:paraId="6368F724" w14:textId="77777777" w:rsidR="00C6733C" w:rsidRDefault="006D0638">
      <w:pPr>
        <w:ind w:right="-29"/>
        <w:jc w:val="center"/>
        <w:rPr>
          <w:rFonts w:ascii="Arial" w:hAnsi="Arial" w:cs="Arial"/>
          <w:b/>
        </w:rPr>
      </w:pPr>
      <w:r>
        <w:rPr>
          <w:rFonts w:ascii="Arial" w:hAnsi="Arial" w:cs="Arial"/>
          <w:b/>
        </w:rPr>
        <w:t>De Materiales y Suministros</w:t>
      </w:r>
    </w:p>
    <w:p w14:paraId="4CDE127E" w14:textId="77777777" w:rsidR="00C6733C" w:rsidRDefault="00C6733C">
      <w:pPr>
        <w:pStyle w:val="Textoindependiente"/>
        <w:rPr>
          <w:b/>
          <w:sz w:val="22"/>
          <w:szCs w:val="22"/>
        </w:rPr>
      </w:pPr>
    </w:p>
    <w:p w14:paraId="7E78539F" w14:textId="77777777" w:rsidR="00C6733C" w:rsidRDefault="006D0638">
      <w:pPr>
        <w:pStyle w:val="Textoindependiente"/>
        <w:ind w:right="-29"/>
        <w:jc w:val="both"/>
        <w:rPr>
          <w:sz w:val="22"/>
          <w:szCs w:val="22"/>
        </w:rPr>
      </w:pPr>
      <w:r>
        <w:rPr>
          <w:b/>
          <w:sz w:val="22"/>
          <w:szCs w:val="22"/>
        </w:rPr>
        <w:t>Artículo 88</w:t>
      </w:r>
      <w:r>
        <w:rPr>
          <w:sz w:val="22"/>
          <w:szCs w:val="22"/>
        </w:rPr>
        <w:t>. En el ejercicio presupuestario correspondiente a materiales y suministros se deberá cumplir lo siguiente:</w:t>
      </w:r>
    </w:p>
    <w:p w14:paraId="692CF185" w14:textId="77777777" w:rsidR="00C6733C" w:rsidRDefault="00C6733C">
      <w:pPr>
        <w:pStyle w:val="Textoindependiente"/>
        <w:ind w:right="-29"/>
        <w:rPr>
          <w:sz w:val="22"/>
          <w:szCs w:val="22"/>
        </w:rPr>
      </w:pPr>
    </w:p>
    <w:p w14:paraId="7C3A77C5" w14:textId="77777777" w:rsidR="00C6733C" w:rsidRDefault="006D0638">
      <w:pPr>
        <w:pStyle w:val="Prrafodelista"/>
        <w:numPr>
          <w:ilvl w:val="1"/>
          <w:numId w:val="5"/>
        </w:numPr>
        <w:tabs>
          <w:tab w:val="left" w:pos="1262"/>
        </w:tabs>
        <w:spacing w:before="0"/>
        <w:ind w:left="567" w:right="-29" w:hanging="283"/>
        <w:jc w:val="both"/>
      </w:pPr>
      <w:r>
        <w:t>El vestua</w:t>
      </w:r>
      <w:r>
        <w:t>rio, los uniformes y prendas de protección deberán ser otorgados únicamente al personal que autorice Administración, considerando la naturaleza de las funciones que realiza y de conformidad con los convenios</w:t>
      </w:r>
      <w:r>
        <w:rPr>
          <w:spacing w:val="-5"/>
        </w:rPr>
        <w:t xml:space="preserve"> </w:t>
      </w:r>
      <w:r>
        <w:t>establecidos y el presupuesto aprobado;</w:t>
      </w:r>
    </w:p>
    <w:p w14:paraId="6A11B574" w14:textId="77777777" w:rsidR="00C6733C" w:rsidRDefault="00C6733C">
      <w:pPr>
        <w:pStyle w:val="Prrafodelista"/>
        <w:tabs>
          <w:tab w:val="left" w:pos="1262"/>
        </w:tabs>
        <w:spacing w:before="0"/>
        <w:ind w:left="567" w:right="-29" w:firstLine="0"/>
        <w:jc w:val="right"/>
      </w:pPr>
    </w:p>
    <w:p w14:paraId="446B0AC4" w14:textId="77777777" w:rsidR="00C6733C" w:rsidRDefault="006D0638">
      <w:pPr>
        <w:pStyle w:val="Prrafodelista"/>
        <w:numPr>
          <w:ilvl w:val="1"/>
          <w:numId w:val="5"/>
        </w:numPr>
        <w:tabs>
          <w:tab w:val="left" w:pos="1262"/>
        </w:tabs>
        <w:spacing w:before="0"/>
        <w:ind w:left="567" w:right="-29" w:hanging="283"/>
        <w:jc w:val="both"/>
      </w:pPr>
      <w:r>
        <w:t xml:space="preserve">Los </w:t>
      </w:r>
      <w:r>
        <w:t>combustibles y lubricantes deberán ser únicamente para vehículos oficiales y en comisiones oficiales, por lo que deberán abstenerse de destinarlos para uso</w:t>
      </w:r>
      <w:r>
        <w:rPr>
          <w:spacing w:val="-28"/>
        </w:rPr>
        <w:t xml:space="preserve"> </w:t>
      </w:r>
      <w:r>
        <w:t>personal;</w:t>
      </w:r>
    </w:p>
    <w:p w14:paraId="5988E30F" w14:textId="77777777" w:rsidR="00C6733C" w:rsidRDefault="00C6733C">
      <w:pPr>
        <w:pStyle w:val="Prrafodelista"/>
        <w:tabs>
          <w:tab w:val="left" w:pos="1262"/>
        </w:tabs>
        <w:spacing w:before="0"/>
        <w:ind w:left="567" w:right="-29" w:firstLine="0"/>
        <w:jc w:val="right"/>
      </w:pPr>
    </w:p>
    <w:p w14:paraId="737B98D4" w14:textId="77777777" w:rsidR="00C6733C" w:rsidRDefault="006D0638">
      <w:pPr>
        <w:pStyle w:val="Prrafodelista"/>
        <w:numPr>
          <w:ilvl w:val="1"/>
          <w:numId w:val="5"/>
        </w:numPr>
        <w:tabs>
          <w:tab w:val="left" w:pos="1262"/>
        </w:tabs>
        <w:spacing w:before="0"/>
        <w:ind w:left="567" w:right="-29" w:hanging="283"/>
        <w:jc w:val="both"/>
      </w:pPr>
      <w:r>
        <w:t>Ningún vehículo oficial deberá ser utilizado para uso personal, ni circular fines de sema</w:t>
      </w:r>
      <w:r>
        <w:t>na y días festivos, salvo en circunstancias debidamente justificadas,</w:t>
      </w:r>
      <w:r>
        <w:rPr>
          <w:spacing w:val="-14"/>
        </w:rPr>
        <w:t xml:space="preserve"> </w:t>
      </w:r>
      <w:r>
        <w:t>y</w:t>
      </w:r>
    </w:p>
    <w:p w14:paraId="67A2E9CF" w14:textId="77777777" w:rsidR="00C6733C" w:rsidRDefault="00C6733C">
      <w:pPr>
        <w:pStyle w:val="Prrafodelista"/>
        <w:tabs>
          <w:tab w:val="left" w:pos="1262"/>
        </w:tabs>
        <w:spacing w:before="0"/>
        <w:ind w:left="567" w:right="-29" w:firstLine="0"/>
        <w:jc w:val="right"/>
      </w:pPr>
    </w:p>
    <w:p w14:paraId="6FF0A082" w14:textId="77777777" w:rsidR="00C6733C" w:rsidRDefault="006D0638">
      <w:pPr>
        <w:pStyle w:val="Prrafodelista"/>
        <w:numPr>
          <w:ilvl w:val="1"/>
          <w:numId w:val="5"/>
        </w:numPr>
        <w:tabs>
          <w:tab w:val="left" w:pos="1262"/>
        </w:tabs>
        <w:spacing w:before="0"/>
        <w:ind w:left="567" w:right="-29" w:hanging="283"/>
        <w:jc w:val="both"/>
      </w:pPr>
      <w:r>
        <w:t>El ejercicio del presupuesto para la adquisición de consumibles de equipo de cómputo, se realizará con base en el número de máquinas en operación, estableciendo medidas para reducir e</w:t>
      </w:r>
      <w:r>
        <w:t>l costo de impresión, priorizando el uso de equipos de fotocopiado, habilitados como</w:t>
      </w:r>
      <w:r>
        <w:rPr>
          <w:spacing w:val="-1"/>
        </w:rPr>
        <w:t xml:space="preserve"> </w:t>
      </w:r>
      <w:r>
        <w:t>multifuncionales.</w:t>
      </w:r>
    </w:p>
    <w:p w14:paraId="7D4A9428" w14:textId="77777777" w:rsidR="00C6733C" w:rsidRDefault="00C6733C">
      <w:pPr>
        <w:pStyle w:val="Textoindependiente"/>
        <w:rPr>
          <w:sz w:val="22"/>
          <w:szCs w:val="22"/>
        </w:rPr>
      </w:pPr>
    </w:p>
    <w:p w14:paraId="3122C954" w14:textId="77777777" w:rsidR="00C6733C" w:rsidRDefault="00C6733C">
      <w:pPr>
        <w:pStyle w:val="Textoindependiente"/>
        <w:rPr>
          <w:sz w:val="22"/>
          <w:szCs w:val="22"/>
        </w:rPr>
      </w:pPr>
    </w:p>
    <w:p w14:paraId="1E926CAA" w14:textId="77777777" w:rsidR="00C6733C" w:rsidRDefault="006D0638">
      <w:pPr>
        <w:pStyle w:val="Ttulo1"/>
        <w:ind w:left="0" w:right="-29"/>
        <w:rPr>
          <w:sz w:val="22"/>
          <w:szCs w:val="22"/>
        </w:rPr>
      </w:pPr>
      <w:r>
        <w:rPr>
          <w:sz w:val="22"/>
          <w:szCs w:val="22"/>
        </w:rPr>
        <w:t>Capítulo III</w:t>
      </w:r>
    </w:p>
    <w:p w14:paraId="725F84BB" w14:textId="77777777" w:rsidR="00C6733C" w:rsidRDefault="006D0638">
      <w:pPr>
        <w:ind w:right="-29"/>
        <w:jc w:val="center"/>
        <w:rPr>
          <w:rFonts w:ascii="Arial" w:hAnsi="Arial" w:cs="Arial"/>
          <w:b/>
        </w:rPr>
      </w:pPr>
      <w:r>
        <w:rPr>
          <w:rFonts w:ascii="Arial" w:hAnsi="Arial" w:cs="Arial"/>
          <w:b/>
        </w:rPr>
        <w:t>De los Servicios Generales</w:t>
      </w:r>
    </w:p>
    <w:p w14:paraId="5573E501" w14:textId="77777777" w:rsidR="00C6733C" w:rsidRDefault="00C6733C">
      <w:pPr>
        <w:pStyle w:val="Textoindependiente"/>
        <w:rPr>
          <w:b/>
          <w:sz w:val="22"/>
          <w:szCs w:val="22"/>
        </w:rPr>
      </w:pPr>
    </w:p>
    <w:p w14:paraId="5A2546EE" w14:textId="77777777" w:rsidR="00C6733C" w:rsidRDefault="006D0638">
      <w:pPr>
        <w:pStyle w:val="Textoindependiente"/>
        <w:ind w:right="-29"/>
        <w:jc w:val="both"/>
        <w:rPr>
          <w:sz w:val="22"/>
          <w:szCs w:val="22"/>
        </w:rPr>
      </w:pPr>
      <w:r>
        <w:rPr>
          <w:b/>
          <w:sz w:val="22"/>
          <w:szCs w:val="22"/>
        </w:rPr>
        <w:t xml:space="preserve">Artículo 89. </w:t>
      </w:r>
      <w:r>
        <w:rPr>
          <w:sz w:val="22"/>
          <w:szCs w:val="22"/>
        </w:rPr>
        <w:t xml:space="preserve">En el ejercicio presupuestal correspondiente a servicios generales se deberá cumplir lo </w:t>
      </w:r>
      <w:r>
        <w:rPr>
          <w:sz w:val="22"/>
          <w:szCs w:val="22"/>
        </w:rPr>
        <w:t>siguiente:</w:t>
      </w:r>
    </w:p>
    <w:p w14:paraId="631F040E" w14:textId="77777777" w:rsidR="00C6733C" w:rsidRDefault="00C6733C">
      <w:pPr>
        <w:pStyle w:val="Textoindependiente"/>
        <w:ind w:right="-29"/>
        <w:rPr>
          <w:sz w:val="22"/>
          <w:szCs w:val="22"/>
        </w:rPr>
      </w:pPr>
    </w:p>
    <w:p w14:paraId="37EB86FF" w14:textId="77777777" w:rsidR="00C6733C" w:rsidRDefault="006D0638">
      <w:pPr>
        <w:pStyle w:val="Prrafodelista"/>
        <w:numPr>
          <w:ilvl w:val="0"/>
          <w:numId w:val="4"/>
        </w:numPr>
        <w:tabs>
          <w:tab w:val="left" w:pos="1262"/>
        </w:tabs>
        <w:spacing w:before="0"/>
        <w:ind w:left="567" w:right="-29"/>
      </w:pPr>
      <w:r>
        <w:t>Administración:</w:t>
      </w:r>
    </w:p>
    <w:p w14:paraId="61A6AC6B" w14:textId="77777777" w:rsidR="00C6733C" w:rsidRDefault="00C6733C">
      <w:pPr>
        <w:pStyle w:val="Textoindependiente"/>
        <w:ind w:right="-29"/>
        <w:rPr>
          <w:sz w:val="22"/>
          <w:szCs w:val="22"/>
        </w:rPr>
      </w:pPr>
    </w:p>
    <w:p w14:paraId="52315F29" w14:textId="77777777" w:rsidR="00C6733C" w:rsidRDefault="006D0638">
      <w:pPr>
        <w:pStyle w:val="Prrafodelista"/>
        <w:numPr>
          <w:ilvl w:val="0"/>
          <w:numId w:val="3"/>
        </w:numPr>
        <w:tabs>
          <w:tab w:val="left" w:pos="1262"/>
        </w:tabs>
        <w:spacing w:before="0"/>
        <w:ind w:left="851" w:right="-29" w:hanging="284"/>
      </w:pPr>
      <w:r>
        <w:t>Podrá autorizar el servicio de telefonía celular, únicamente a los servidores públicos  de nivel Secretario, Consejero Jurídico, Director General, Subsecretario, Director de área y Titular de la Unidad de Administración que por</w:t>
      </w:r>
      <w:r>
        <w:t xml:space="preserve"> la naturaleza de sus funciones requieran del servicio, y</w:t>
      </w:r>
    </w:p>
    <w:p w14:paraId="4B1C7D03" w14:textId="77777777" w:rsidR="00C6733C" w:rsidRDefault="006D0638">
      <w:pPr>
        <w:pStyle w:val="Prrafodelista"/>
        <w:numPr>
          <w:ilvl w:val="0"/>
          <w:numId w:val="3"/>
        </w:numPr>
        <w:tabs>
          <w:tab w:val="left" w:pos="1262"/>
        </w:tabs>
        <w:spacing w:before="0"/>
        <w:ind w:left="851" w:right="-29" w:hanging="284"/>
      </w:pPr>
      <w:r>
        <w:t>No autorizará la contratación adicional de los arrendamientos de edificios aprobados en el Presupuesto de Egresos y deberá realizar un análisis costo-beneficio de los arrendamientos vigentes, mismos</w:t>
      </w:r>
      <w:r>
        <w:t xml:space="preserve"> que en caso de requerirse no tendrán incremento a los montos pagados en el ejercicio fiscal</w:t>
      </w:r>
      <w:r>
        <w:rPr>
          <w:spacing w:val="-9"/>
        </w:rPr>
        <w:t xml:space="preserve"> </w:t>
      </w:r>
      <w:r>
        <w:t>2019.</w:t>
      </w:r>
    </w:p>
    <w:p w14:paraId="1EF4C31E" w14:textId="77777777" w:rsidR="00C6733C" w:rsidRDefault="00C6733C">
      <w:pPr>
        <w:pStyle w:val="Prrafodelista"/>
        <w:tabs>
          <w:tab w:val="left" w:pos="1262"/>
        </w:tabs>
        <w:spacing w:before="0"/>
        <w:ind w:left="851" w:right="-29" w:firstLine="0"/>
        <w:jc w:val="left"/>
      </w:pPr>
    </w:p>
    <w:p w14:paraId="2EEE265F" w14:textId="77777777" w:rsidR="00C6733C" w:rsidRDefault="006D0638">
      <w:pPr>
        <w:pStyle w:val="Prrafodelista"/>
        <w:numPr>
          <w:ilvl w:val="0"/>
          <w:numId w:val="4"/>
        </w:numPr>
        <w:tabs>
          <w:tab w:val="left" w:pos="1262"/>
        </w:tabs>
        <w:spacing w:before="0"/>
        <w:ind w:left="567" w:right="-29"/>
      </w:pPr>
      <w:r>
        <w:t>Ejecutores de</w:t>
      </w:r>
      <w:r>
        <w:rPr>
          <w:spacing w:val="-3"/>
        </w:rPr>
        <w:t xml:space="preserve"> </w:t>
      </w:r>
      <w:r>
        <w:t>gasto:</w:t>
      </w:r>
    </w:p>
    <w:p w14:paraId="0142E780" w14:textId="77777777" w:rsidR="00C6733C" w:rsidRDefault="00C6733C">
      <w:pPr>
        <w:pStyle w:val="Textoindependiente"/>
        <w:ind w:right="-29"/>
        <w:rPr>
          <w:sz w:val="22"/>
          <w:szCs w:val="22"/>
        </w:rPr>
      </w:pPr>
    </w:p>
    <w:p w14:paraId="7EB7DCEF" w14:textId="77777777" w:rsidR="00C6733C" w:rsidRDefault="006D0638">
      <w:pPr>
        <w:pStyle w:val="Prrafodelista"/>
        <w:numPr>
          <w:ilvl w:val="0"/>
          <w:numId w:val="2"/>
        </w:numPr>
        <w:tabs>
          <w:tab w:val="left" w:pos="1262"/>
        </w:tabs>
        <w:spacing w:before="0"/>
        <w:ind w:left="851" w:right="-29" w:hanging="284"/>
      </w:pPr>
      <w:r>
        <w:t xml:space="preserve">Establecerán medidas de racionalidad específicas para el ahorro de energía eléctrica, agua potable, internet y telefonía convencional </w:t>
      </w:r>
      <w:r>
        <w:t>y</w:t>
      </w:r>
      <w:r>
        <w:rPr>
          <w:spacing w:val="-12"/>
        </w:rPr>
        <w:t xml:space="preserve"> </w:t>
      </w:r>
      <w:r>
        <w:t>celular;</w:t>
      </w:r>
    </w:p>
    <w:p w14:paraId="6EA3A8F2" w14:textId="77777777" w:rsidR="00C6733C" w:rsidRDefault="00C6733C">
      <w:pPr>
        <w:pStyle w:val="Prrafodelista"/>
        <w:tabs>
          <w:tab w:val="left" w:pos="1262"/>
        </w:tabs>
        <w:spacing w:before="0"/>
        <w:ind w:left="851" w:right="-29" w:firstLine="0"/>
        <w:jc w:val="left"/>
      </w:pPr>
    </w:p>
    <w:p w14:paraId="1795357E" w14:textId="77777777" w:rsidR="00C6733C" w:rsidRDefault="006D0638">
      <w:pPr>
        <w:pStyle w:val="Prrafodelista"/>
        <w:numPr>
          <w:ilvl w:val="0"/>
          <w:numId w:val="2"/>
        </w:numPr>
        <w:tabs>
          <w:tab w:val="left" w:pos="1262"/>
        </w:tabs>
        <w:spacing w:before="0"/>
        <w:ind w:left="851" w:right="-29" w:hanging="284"/>
      </w:pPr>
      <w:r>
        <w:t>Mantendrán actualizadas y a disposición de los Órganos Fiscalizadores, las bitácoras de consumo de combustible, de mantenimiento del equipo de transporte, maquinaria, de comunicación, del resguardo de vehículos oficiales en fines de semana y dí</w:t>
      </w:r>
      <w:r>
        <w:t>as festivos,</w:t>
      </w:r>
      <w:r>
        <w:rPr>
          <w:spacing w:val="-1"/>
        </w:rPr>
        <w:t xml:space="preserve"> </w:t>
      </w:r>
      <w:r>
        <w:t>etc.;</w:t>
      </w:r>
    </w:p>
    <w:p w14:paraId="5231D3B3" w14:textId="77777777" w:rsidR="00C6733C" w:rsidRDefault="00C6733C">
      <w:pPr>
        <w:pStyle w:val="Textoindependiente"/>
        <w:ind w:right="-29"/>
        <w:rPr>
          <w:sz w:val="22"/>
          <w:szCs w:val="22"/>
        </w:rPr>
      </w:pPr>
    </w:p>
    <w:p w14:paraId="5C936B51" w14:textId="77777777" w:rsidR="00C6733C" w:rsidRDefault="006D0638">
      <w:pPr>
        <w:pStyle w:val="Prrafodelista"/>
        <w:numPr>
          <w:ilvl w:val="0"/>
          <w:numId w:val="2"/>
        </w:numPr>
        <w:tabs>
          <w:tab w:val="left" w:pos="1262"/>
        </w:tabs>
        <w:spacing w:before="0"/>
        <w:ind w:left="851" w:right="-29" w:hanging="284"/>
      </w:pPr>
      <w:r>
        <w:t>Reducir el ejercicio del gasto, en los conceptos de viáticos, pasajes y gastos en comisión,</w:t>
      </w:r>
      <w:r>
        <w:rPr>
          <w:spacing w:val="-1"/>
        </w:rPr>
        <w:t xml:space="preserve"> </w:t>
      </w:r>
      <w:r>
        <w:t>y</w:t>
      </w:r>
    </w:p>
    <w:p w14:paraId="1E88F4D8" w14:textId="77777777" w:rsidR="00C6733C" w:rsidRDefault="00C6733C">
      <w:pPr>
        <w:pStyle w:val="Prrafodelista"/>
        <w:tabs>
          <w:tab w:val="left" w:pos="1262"/>
        </w:tabs>
        <w:spacing w:before="0"/>
        <w:ind w:left="851" w:right="-29" w:hanging="284"/>
        <w:jc w:val="left"/>
      </w:pPr>
    </w:p>
    <w:p w14:paraId="0725C3F6" w14:textId="77777777" w:rsidR="00C6733C" w:rsidRDefault="006D0638">
      <w:pPr>
        <w:pStyle w:val="Prrafodelista"/>
        <w:numPr>
          <w:ilvl w:val="0"/>
          <w:numId w:val="2"/>
        </w:numPr>
        <w:tabs>
          <w:tab w:val="left" w:pos="1262"/>
        </w:tabs>
        <w:spacing w:before="0"/>
        <w:ind w:left="851" w:right="-29" w:hanging="284"/>
      </w:pPr>
      <w:r>
        <w:t xml:space="preserve">Reducir el ejercicio del gasto en los conceptos de congresos, reuniones, convenciones, exposiciones, espectáculos culturales, gastos </w:t>
      </w:r>
      <w:r>
        <w:t>ceremoniales, gastos de orden social, fomento cultural, fomento deportivo y fomento de actividades cívicas, vigilando que éstos sean de carácter</w:t>
      </w:r>
      <w:r>
        <w:rPr>
          <w:spacing w:val="-2"/>
        </w:rPr>
        <w:t xml:space="preserve"> </w:t>
      </w:r>
      <w:r>
        <w:t>institucional.</w:t>
      </w:r>
    </w:p>
    <w:p w14:paraId="4EDB5E67" w14:textId="77777777" w:rsidR="00C6733C" w:rsidRDefault="00C6733C">
      <w:pPr>
        <w:pStyle w:val="Textoindependiente"/>
        <w:ind w:left="567" w:right="-29"/>
        <w:rPr>
          <w:sz w:val="22"/>
          <w:szCs w:val="22"/>
        </w:rPr>
      </w:pPr>
    </w:p>
    <w:p w14:paraId="50C16B6F" w14:textId="77777777" w:rsidR="00C6733C" w:rsidRDefault="006D0638">
      <w:pPr>
        <w:pStyle w:val="Prrafodelista"/>
        <w:numPr>
          <w:ilvl w:val="0"/>
          <w:numId w:val="4"/>
        </w:numPr>
        <w:tabs>
          <w:tab w:val="left" w:pos="1262"/>
        </w:tabs>
        <w:spacing w:before="0"/>
        <w:ind w:left="567" w:right="-29" w:hanging="425"/>
      </w:pPr>
      <w:r>
        <w:t>Dependencias y</w:t>
      </w:r>
      <w:r>
        <w:rPr>
          <w:spacing w:val="-3"/>
        </w:rPr>
        <w:t xml:space="preserve"> </w:t>
      </w:r>
      <w:r>
        <w:t>Entidades:</w:t>
      </w:r>
    </w:p>
    <w:p w14:paraId="27436F3F" w14:textId="77777777" w:rsidR="00C6733C" w:rsidRDefault="00C6733C">
      <w:pPr>
        <w:pStyle w:val="Textoindependiente"/>
        <w:ind w:left="567" w:right="-29"/>
        <w:rPr>
          <w:sz w:val="22"/>
          <w:szCs w:val="22"/>
        </w:rPr>
      </w:pPr>
    </w:p>
    <w:p w14:paraId="610F8945" w14:textId="77777777" w:rsidR="00C6733C" w:rsidRDefault="006D0638">
      <w:pPr>
        <w:pStyle w:val="Prrafodelista"/>
        <w:numPr>
          <w:ilvl w:val="0"/>
          <w:numId w:val="1"/>
        </w:numPr>
        <w:tabs>
          <w:tab w:val="left" w:pos="1262"/>
        </w:tabs>
        <w:spacing w:before="0"/>
        <w:ind w:left="851" w:right="-29" w:hanging="283"/>
      </w:pPr>
      <w:r>
        <w:t>Verificarán que el ejercicio del gasto por concepto de mantenimiento</w:t>
      </w:r>
      <w:r>
        <w:t xml:space="preserve"> y reparación, sea exclusivamente para aquellos bienes propiedad del Gobierno del Estado o estén bajo contrato de comodato autorizado por Administración, tomando en consideración el costo beneficio de dichos mantenimientos, debiendo reducir este concepto m</w:t>
      </w:r>
      <w:r>
        <w:t>ediante acciones de</w:t>
      </w:r>
      <w:r>
        <w:rPr>
          <w:spacing w:val="-6"/>
        </w:rPr>
        <w:t xml:space="preserve"> </w:t>
      </w:r>
      <w:r>
        <w:t>austeridad;</w:t>
      </w:r>
    </w:p>
    <w:p w14:paraId="2C11FD8D" w14:textId="77777777" w:rsidR="00C6733C" w:rsidRDefault="00C6733C">
      <w:pPr>
        <w:pStyle w:val="Prrafodelista"/>
        <w:tabs>
          <w:tab w:val="left" w:pos="1262"/>
        </w:tabs>
        <w:spacing w:before="0"/>
        <w:ind w:left="851" w:right="-29" w:firstLine="0"/>
        <w:jc w:val="left"/>
      </w:pPr>
    </w:p>
    <w:p w14:paraId="4938C9C3" w14:textId="77777777" w:rsidR="00C6733C" w:rsidRDefault="006D0638">
      <w:pPr>
        <w:pStyle w:val="Prrafodelista"/>
        <w:numPr>
          <w:ilvl w:val="0"/>
          <w:numId w:val="1"/>
        </w:numPr>
        <w:tabs>
          <w:tab w:val="left" w:pos="1262"/>
        </w:tabs>
        <w:spacing w:before="0"/>
        <w:ind w:left="851" w:right="-29" w:hanging="283"/>
      </w:pPr>
      <w:r>
        <w:t>No se contratarán servicios por consultorías y asesorías que sustituyan las funciones sustantivas del Ejecutor de gasto. Se exceptúan los servicios relacionados a auditorías e integración de libros</w:t>
      </w:r>
      <w:r>
        <w:rPr>
          <w:spacing w:val="-2"/>
        </w:rPr>
        <w:t xml:space="preserve"> </w:t>
      </w:r>
      <w:r>
        <w:t>blancos;</w:t>
      </w:r>
    </w:p>
    <w:p w14:paraId="22A118E1" w14:textId="77777777" w:rsidR="00C6733C" w:rsidRDefault="00C6733C">
      <w:pPr>
        <w:pStyle w:val="Prrafodelista"/>
        <w:tabs>
          <w:tab w:val="left" w:pos="1262"/>
        </w:tabs>
        <w:spacing w:before="0"/>
        <w:ind w:left="851" w:right="-29" w:firstLine="0"/>
        <w:jc w:val="left"/>
      </w:pPr>
    </w:p>
    <w:p w14:paraId="19443DD1" w14:textId="77777777" w:rsidR="00C6733C" w:rsidRDefault="006D0638">
      <w:pPr>
        <w:pStyle w:val="Prrafodelista"/>
        <w:numPr>
          <w:ilvl w:val="0"/>
          <w:numId w:val="1"/>
        </w:numPr>
        <w:tabs>
          <w:tab w:val="left" w:pos="1262"/>
        </w:tabs>
        <w:spacing w:before="0"/>
        <w:ind w:left="851" w:right="-29" w:hanging="283"/>
      </w:pPr>
      <w:r>
        <w:t>Para realizar r</w:t>
      </w:r>
      <w:r>
        <w:t>euniones de trabajo evitarán la contratación de espacios externos cuya utilización tenga un costo, procurando hacer uso de sus instalaciones, y en su caso, pedir en préstamo el espacio de otras Dependencias y</w:t>
      </w:r>
      <w:r>
        <w:rPr>
          <w:spacing w:val="-12"/>
        </w:rPr>
        <w:t xml:space="preserve"> </w:t>
      </w:r>
      <w:r>
        <w:t>Entidades;</w:t>
      </w:r>
    </w:p>
    <w:p w14:paraId="6A0438BD" w14:textId="77777777" w:rsidR="00C6733C" w:rsidRDefault="00C6733C">
      <w:pPr>
        <w:pStyle w:val="Prrafodelista"/>
        <w:tabs>
          <w:tab w:val="left" w:pos="1262"/>
        </w:tabs>
        <w:spacing w:before="0"/>
        <w:ind w:left="851" w:right="-29" w:firstLine="0"/>
        <w:jc w:val="left"/>
      </w:pPr>
    </w:p>
    <w:p w14:paraId="3F01A53E" w14:textId="77777777" w:rsidR="00C6733C" w:rsidRDefault="006D0638">
      <w:pPr>
        <w:pStyle w:val="Prrafodelista"/>
        <w:numPr>
          <w:ilvl w:val="0"/>
          <w:numId w:val="1"/>
        </w:numPr>
        <w:tabs>
          <w:tab w:val="left" w:pos="1262"/>
        </w:tabs>
        <w:spacing w:before="0"/>
        <w:ind w:left="851" w:right="-29" w:hanging="283"/>
      </w:pPr>
      <w:r>
        <w:t xml:space="preserve">Establecerán y difundirán </w:t>
      </w:r>
      <w:r>
        <w:t>rutas y horarios para el traslado y entrega de mensajería, con el objeto de disminuir costos,</w:t>
      </w:r>
      <w:r>
        <w:rPr>
          <w:spacing w:val="-6"/>
        </w:rPr>
        <w:t xml:space="preserve"> </w:t>
      </w:r>
      <w:r>
        <w:t>y</w:t>
      </w:r>
    </w:p>
    <w:p w14:paraId="3D2D1BA8" w14:textId="77777777" w:rsidR="00C6733C" w:rsidRDefault="00C6733C">
      <w:pPr>
        <w:pStyle w:val="Prrafodelista"/>
        <w:tabs>
          <w:tab w:val="left" w:pos="1262"/>
        </w:tabs>
        <w:spacing w:before="0"/>
        <w:ind w:left="851" w:right="-29" w:firstLine="0"/>
        <w:jc w:val="left"/>
      </w:pPr>
    </w:p>
    <w:p w14:paraId="068AD799" w14:textId="77777777" w:rsidR="00C6733C" w:rsidRDefault="006D0638">
      <w:pPr>
        <w:pStyle w:val="Prrafodelista"/>
        <w:numPr>
          <w:ilvl w:val="0"/>
          <w:numId w:val="1"/>
        </w:numPr>
        <w:tabs>
          <w:tab w:val="left" w:pos="1262"/>
        </w:tabs>
        <w:spacing w:before="0"/>
        <w:ind w:left="851" w:right="-29" w:hanging="283"/>
      </w:pPr>
      <w:r>
        <w:t>Darán estricto cumplimiento a las disposiciones vigentes para el ejercicio de la partida de</w:t>
      </w:r>
      <w:r>
        <w:rPr>
          <w:spacing w:val="-1"/>
        </w:rPr>
        <w:t xml:space="preserve"> </w:t>
      </w:r>
      <w:r>
        <w:t>viáticos.</w:t>
      </w:r>
    </w:p>
    <w:p w14:paraId="177DBAB6" w14:textId="77777777" w:rsidR="00C6733C" w:rsidRDefault="00C6733C">
      <w:pPr>
        <w:pStyle w:val="Ttulo1"/>
        <w:ind w:left="0"/>
        <w:jc w:val="left"/>
        <w:rPr>
          <w:sz w:val="22"/>
          <w:szCs w:val="22"/>
        </w:rPr>
      </w:pPr>
    </w:p>
    <w:p w14:paraId="4D709F73" w14:textId="77777777" w:rsidR="00C6733C" w:rsidRDefault="006D0638">
      <w:pPr>
        <w:pStyle w:val="Ttulo1"/>
        <w:ind w:left="0"/>
        <w:rPr>
          <w:sz w:val="22"/>
          <w:szCs w:val="22"/>
        </w:rPr>
      </w:pPr>
      <w:r>
        <w:rPr>
          <w:sz w:val="22"/>
          <w:szCs w:val="22"/>
        </w:rPr>
        <w:t>Capítulo IV</w:t>
      </w:r>
    </w:p>
    <w:p w14:paraId="74A1D59E" w14:textId="77777777" w:rsidR="00C6733C" w:rsidRDefault="006D0638">
      <w:pPr>
        <w:jc w:val="center"/>
        <w:rPr>
          <w:rFonts w:ascii="Arial" w:hAnsi="Arial" w:cs="Arial"/>
          <w:b/>
        </w:rPr>
      </w:pPr>
      <w:r>
        <w:rPr>
          <w:rFonts w:ascii="Arial" w:hAnsi="Arial" w:cs="Arial"/>
          <w:b/>
        </w:rPr>
        <w:t xml:space="preserve">Rangos para Adquisición de Bienes y </w:t>
      </w:r>
      <w:r>
        <w:rPr>
          <w:rFonts w:ascii="Arial" w:hAnsi="Arial" w:cs="Arial"/>
          <w:b/>
        </w:rPr>
        <w:t>Servicios</w:t>
      </w:r>
    </w:p>
    <w:p w14:paraId="7F8CFC3D" w14:textId="77777777" w:rsidR="00C6733C" w:rsidRDefault="00C6733C">
      <w:pPr>
        <w:pStyle w:val="Textoindependiente"/>
        <w:rPr>
          <w:b/>
          <w:sz w:val="22"/>
          <w:szCs w:val="22"/>
        </w:rPr>
      </w:pPr>
    </w:p>
    <w:p w14:paraId="5EB5BB73" w14:textId="77777777" w:rsidR="00C6733C" w:rsidRDefault="006D0638">
      <w:pPr>
        <w:pStyle w:val="Textoindependiente"/>
        <w:ind w:right="-29"/>
        <w:jc w:val="both"/>
        <w:rPr>
          <w:sz w:val="22"/>
          <w:szCs w:val="22"/>
        </w:rPr>
      </w:pPr>
      <w:r>
        <w:rPr>
          <w:b/>
          <w:sz w:val="22"/>
          <w:szCs w:val="22"/>
        </w:rPr>
        <w:t xml:space="preserve">Artículo 90. </w:t>
      </w:r>
      <w:r>
        <w:rPr>
          <w:sz w:val="22"/>
          <w:szCs w:val="22"/>
        </w:rPr>
        <w:t>Los Ejecutores de gasto, para la adquisición de bienes y servicios deberán observar las modalidades de contratación, atendiendo a los montos de los rangos mínimos y máximos siguientes:</w:t>
      </w:r>
    </w:p>
    <w:p w14:paraId="7CE51E63" w14:textId="77777777" w:rsidR="00C6733C" w:rsidRDefault="00C6733C">
      <w:pPr>
        <w:pStyle w:val="Textoindependiente"/>
        <w:rPr>
          <w:sz w:val="22"/>
          <w:szCs w:val="22"/>
        </w:rPr>
      </w:pPr>
    </w:p>
    <w:tbl>
      <w:tblPr>
        <w:tblW w:w="9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661"/>
        <w:gridCol w:w="1557"/>
      </w:tblGrid>
      <w:tr w:rsidR="00C6733C" w14:paraId="570D4841" w14:textId="77777777">
        <w:trPr>
          <w:trHeight w:val="267"/>
          <w:jc w:val="center"/>
        </w:trPr>
        <w:tc>
          <w:tcPr>
            <w:tcW w:w="5949" w:type="dxa"/>
            <w:vMerge w:val="restart"/>
          </w:tcPr>
          <w:p w14:paraId="7CCBC694" w14:textId="77777777" w:rsidR="00C6733C" w:rsidRDefault="006D0638">
            <w:pPr>
              <w:pStyle w:val="TableParagraph"/>
              <w:ind w:left="71"/>
              <w:jc w:val="left"/>
              <w:rPr>
                <w:rFonts w:ascii="Arial" w:hAnsi="Arial" w:cs="Arial"/>
                <w:b/>
                <w:sz w:val="20"/>
                <w:szCs w:val="20"/>
              </w:rPr>
            </w:pPr>
            <w:r>
              <w:rPr>
                <w:rFonts w:ascii="Arial" w:hAnsi="Arial" w:cs="Arial"/>
                <w:b/>
                <w:sz w:val="20"/>
                <w:szCs w:val="20"/>
              </w:rPr>
              <w:t>A través de sus Unidades de administración</w:t>
            </w:r>
          </w:p>
        </w:tc>
        <w:tc>
          <w:tcPr>
            <w:tcW w:w="3218" w:type="dxa"/>
            <w:gridSpan w:val="2"/>
          </w:tcPr>
          <w:p w14:paraId="308E1D78" w14:textId="77777777" w:rsidR="00C6733C" w:rsidRDefault="006D0638">
            <w:pPr>
              <w:pStyle w:val="TableParagraph"/>
              <w:ind w:left="649"/>
              <w:jc w:val="left"/>
              <w:rPr>
                <w:rFonts w:ascii="Arial" w:hAnsi="Arial" w:cs="Arial"/>
                <w:b/>
                <w:sz w:val="20"/>
                <w:szCs w:val="20"/>
              </w:rPr>
            </w:pPr>
            <w:r>
              <w:rPr>
                <w:rFonts w:ascii="Arial" w:hAnsi="Arial" w:cs="Arial"/>
                <w:b/>
                <w:sz w:val="20"/>
                <w:szCs w:val="20"/>
              </w:rPr>
              <w:t>Ran</w:t>
            </w:r>
            <w:r>
              <w:rPr>
                <w:rFonts w:ascii="Arial" w:hAnsi="Arial" w:cs="Arial"/>
                <w:b/>
                <w:sz w:val="20"/>
                <w:szCs w:val="20"/>
              </w:rPr>
              <w:t>gos (Pesos)</w:t>
            </w:r>
          </w:p>
        </w:tc>
      </w:tr>
      <w:tr w:rsidR="00C6733C" w14:paraId="56A40B18" w14:textId="77777777">
        <w:trPr>
          <w:trHeight w:val="258"/>
          <w:jc w:val="center"/>
        </w:trPr>
        <w:tc>
          <w:tcPr>
            <w:tcW w:w="5949" w:type="dxa"/>
            <w:vMerge/>
            <w:tcBorders>
              <w:top w:val="nil"/>
            </w:tcBorders>
          </w:tcPr>
          <w:p w14:paraId="3399C047" w14:textId="77777777" w:rsidR="00C6733C" w:rsidRDefault="00C6733C">
            <w:pPr>
              <w:rPr>
                <w:rFonts w:ascii="Arial" w:hAnsi="Arial" w:cs="Arial"/>
                <w:sz w:val="20"/>
                <w:szCs w:val="20"/>
              </w:rPr>
            </w:pPr>
          </w:p>
        </w:tc>
        <w:tc>
          <w:tcPr>
            <w:tcW w:w="1661" w:type="dxa"/>
          </w:tcPr>
          <w:p w14:paraId="2C723564" w14:textId="77777777" w:rsidR="00C6733C" w:rsidRDefault="006D0638">
            <w:pPr>
              <w:pStyle w:val="TableParagraph"/>
              <w:ind w:left="361"/>
              <w:jc w:val="left"/>
              <w:rPr>
                <w:rFonts w:ascii="Arial" w:hAnsi="Arial" w:cs="Arial"/>
                <w:b/>
                <w:sz w:val="20"/>
                <w:szCs w:val="20"/>
              </w:rPr>
            </w:pPr>
            <w:r>
              <w:rPr>
                <w:rFonts w:ascii="Arial" w:hAnsi="Arial" w:cs="Arial"/>
                <w:b/>
                <w:sz w:val="20"/>
                <w:szCs w:val="20"/>
              </w:rPr>
              <w:t>Mínimo</w:t>
            </w:r>
          </w:p>
        </w:tc>
        <w:tc>
          <w:tcPr>
            <w:tcW w:w="1557" w:type="dxa"/>
          </w:tcPr>
          <w:p w14:paraId="34770FC0" w14:textId="77777777" w:rsidR="00C6733C" w:rsidRDefault="006D0638">
            <w:pPr>
              <w:pStyle w:val="TableParagraph"/>
              <w:ind w:left="330"/>
              <w:jc w:val="left"/>
              <w:rPr>
                <w:rFonts w:ascii="Arial" w:hAnsi="Arial" w:cs="Arial"/>
                <w:b/>
                <w:sz w:val="20"/>
                <w:szCs w:val="20"/>
              </w:rPr>
            </w:pPr>
            <w:r>
              <w:rPr>
                <w:rFonts w:ascii="Arial" w:hAnsi="Arial" w:cs="Arial"/>
                <w:b/>
                <w:sz w:val="20"/>
                <w:szCs w:val="20"/>
              </w:rPr>
              <w:t>Máximo</w:t>
            </w:r>
          </w:p>
        </w:tc>
      </w:tr>
      <w:tr w:rsidR="00C6733C" w14:paraId="0F50FBF3" w14:textId="77777777">
        <w:trPr>
          <w:trHeight w:val="386"/>
          <w:jc w:val="center"/>
        </w:trPr>
        <w:tc>
          <w:tcPr>
            <w:tcW w:w="5949" w:type="dxa"/>
            <w:vAlign w:val="center"/>
          </w:tcPr>
          <w:p w14:paraId="6E4A8975" w14:textId="77777777" w:rsidR="00C6733C" w:rsidRDefault="006D0638">
            <w:pPr>
              <w:pStyle w:val="TableParagraph"/>
              <w:ind w:left="71" w:right="58"/>
              <w:jc w:val="left"/>
              <w:rPr>
                <w:rFonts w:ascii="Arial" w:hAnsi="Arial" w:cs="Arial"/>
                <w:b/>
                <w:sz w:val="20"/>
                <w:szCs w:val="20"/>
              </w:rPr>
            </w:pPr>
            <w:r>
              <w:rPr>
                <w:rFonts w:ascii="Arial" w:hAnsi="Arial" w:cs="Arial"/>
              </w:rPr>
              <w:t>a) Compra directa menor</w:t>
            </w:r>
          </w:p>
        </w:tc>
        <w:tc>
          <w:tcPr>
            <w:tcW w:w="1661" w:type="dxa"/>
            <w:tcBorders>
              <w:top w:val="nil"/>
            </w:tcBorders>
            <w:vAlign w:val="center"/>
          </w:tcPr>
          <w:p w14:paraId="3C88435E" w14:textId="77777777" w:rsidR="00C6733C" w:rsidRDefault="006D0638">
            <w:pPr>
              <w:pStyle w:val="TableParagraph"/>
              <w:rPr>
                <w:rFonts w:ascii="Arial" w:hAnsi="Arial" w:cs="Arial"/>
                <w:sz w:val="20"/>
                <w:szCs w:val="20"/>
              </w:rPr>
            </w:pPr>
            <w:r>
              <w:rPr>
                <w:rFonts w:ascii="Arial" w:hAnsi="Arial" w:cs="Arial"/>
              </w:rPr>
              <w:t>0.01</w:t>
            </w:r>
          </w:p>
        </w:tc>
        <w:tc>
          <w:tcPr>
            <w:tcW w:w="1557" w:type="dxa"/>
            <w:tcBorders>
              <w:top w:val="nil"/>
            </w:tcBorders>
            <w:vAlign w:val="center"/>
          </w:tcPr>
          <w:p w14:paraId="528D3C59" w14:textId="77777777" w:rsidR="00C6733C" w:rsidRDefault="006D0638">
            <w:pPr>
              <w:pStyle w:val="TableParagraph"/>
              <w:rPr>
                <w:rFonts w:ascii="Arial" w:hAnsi="Arial" w:cs="Arial"/>
                <w:sz w:val="20"/>
                <w:szCs w:val="20"/>
              </w:rPr>
            </w:pPr>
            <w:r>
              <w:rPr>
                <w:rFonts w:ascii="Arial" w:hAnsi="Arial" w:cs="Arial"/>
              </w:rPr>
              <w:t>30,000.00</w:t>
            </w:r>
          </w:p>
        </w:tc>
      </w:tr>
      <w:tr w:rsidR="00C6733C" w14:paraId="5E855C83" w14:textId="77777777">
        <w:trPr>
          <w:trHeight w:val="827"/>
          <w:jc w:val="center"/>
        </w:trPr>
        <w:tc>
          <w:tcPr>
            <w:tcW w:w="5949" w:type="dxa"/>
            <w:vAlign w:val="center"/>
          </w:tcPr>
          <w:p w14:paraId="30DE560C" w14:textId="77777777" w:rsidR="00C6733C" w:rsidRDefault="006D0638">
            <w:pPr>
              <w:pStyle w:val="TableParagraph"/>
              <w:ind w:left="71" w:right="58"/>
              <w:jc w:val="left"/>
              <w:rPr>
                <w:rFonts w:ascii="Arial" w:hAnsi="Arial" w:cs="Arial"/>
                <w:b/>
                <w:sz w:val="20"/>
                <w:szCs w:val="20"/>
              </w:rPr>
            </w:pPr>
            <w:r>
              <w:rPr>
                <w:rFonts w:ascii="Arial" w:hAnsi="Arial" w:cs="Arial"/>
                <w:b/>
                <w:sz w:val="20"/>
                <w:szCs w:val="20"/>
              </w:rPr>
              <w:t>Con la autorización de los Sub-Comités de Adquisiciones, Arrendamientos y Servicios de las Entidades y Dependencias Estatales.</w:t>
            </w:r>
          </w:p>
        </w:tc>
        <w:tc>
          <w:tcPr>
            <w:tcW w:w="1661" w:type="dxa"/>
            <w:tcBorders>
              <w:top w:val="nil"/>
            </w:tcBorders>
            <w:vAlign w:val="center"/>
          </w:tcPr>
          <w:p w14:paraId="5C97C9BF" w14:textId="77777777" w:rsidR="00C6733C" w:rsidRDefault="00C6733C">
            <w:pPr>
              <w:pStyle w:val="TableParagraph"/>
              <w:jc w:val="left"/>
              <w:rPr>
                <w:rFonts w:ascii="Arial" w:hAnsi="Arial" w:cs="Arial"/>
                <w:sz w:val="20"/>
                <w:szCs w:val="20"/>
              </w:rPr>
            </w:pPr>
          </w:p>
        </w:tc>
        <w:tc>
          <w:tcPr>
            <w:tcW w:w="1557" w:type="dxa"/>
            <w:tcBorders>
              <w:top w:val="nil"/>
            </w:tcBorders>
            <w:vAlign w:val="center"/>
          </w:tcPr>
          <w:p w14:paraId="462397DA" w14:textId="77777777" w:rsidR="00C6733C" w:rsidRDefault="00C6733C">
            <w:pPr>
              <w:pStyle w:val="TableParagraph"/>
              <w:jc w:val="left"/>
              <w:rPr>
                <w:rFonts w:ascii="Arial" w:hAnsi="Arial" w:cs="Arial"/>
                <w:sz w:val="20"/>
                <w:szCs w:val="20"/>
              </w:rPr>
            </w:pPr>
          </w:p>
        </w:tc>
      </w:tr>
      <w:tr w:rsidR="00C6733C" w14:paraId="1AF3CAB5" w14:textId="77777777">
        <w:trPr>
          <w:trHeight w:val="346"/>
          <w:jc w:val="center"/>
        </w:trPr>
        <w:tc>
          <w:tcPr>
            <w:tcW w:w="5949" w:type="dxa"/>
          </w:tcPr>
          <w:p w14:paraId="3D3AF105" w14:textId="77777777" w:rsidR="00C6733C" w:rsidRDefault="006D0638">
            <w:pPr>
              <w:pStyle w:val="TableParagraph"/>
              <w:ind w:left="71" w:right="56"/>
              <w:jc w:val="both"/>
              <w:rPr>
                <w:rFonts w:ascii="Arial" w:hAnsi="Arial" w:cs="Arial"/>
                <w:sz w:val="20"/>
                <w:szCs w:val="20"/>
              </w:rPr>
            </w:pPr>
            <w:r>
              <w:rPr>
                <w:rFonts w:ascii="Arial" w:hAnsi="Arial" w:cs="Arial"/>
                <w:sz w:val="20"/>
                <w:szCs w:val="20"/>
              </w:rPr>
              <w:t xml:space="preserve">a) Adjudicación directa, obteniendo como mínimo tres </w:t>
            </w:r>
            <w:r>
              <w:rPr>
                <w:rFonts w:ascii="Arial" w:hAnsi="Arial" w:cs="Arial"/>
                <w:sz w:val="20"/>
                <w:szCs w:val="20"/>
              </w:rPr>
              <w:t>cotizaciones de proveedores que se encuentren inscritos y vigentes en el Padrón de Proveedores de la Administración Pública Estatal; con las cotizaciones obtenidas se deberá elaborar un cuadro comparativo que permita hacer un análisis de acuerdo con los cr</w:t>
            </w:r>
            <w:r>
              <w:rPr>
                <w:rFonts w:ascii="Arial" w:hAnsi="Arial" w:cs="Arial"/>
                <w:sz w:val="20"/>
                <w:szCs w:val="20"/>
              </w:rPr>
              <w:t>iterios establecidos en el Artículo 11 de la Ley de Adquisiciones. El cuadro comparativo deberá contar con sello y firma del titular de la Unidad de administración para su validez.</w:t>
            </w:r>
          </w:p>
        </w:tc>
        <w:tc>
          <w:tcPr>
            <w:tcW w:w="1661" w:type="dxa"/>
            <w:vAlign w:val="center"/>
          </w:tcPr>
          <w:p w14:paraId="193D2815" w14:textId="77777777" w:rsidR="00C6733C" w:rsidRDefault="006D0638">
            <w:pPr>
              <w:pStyle w:val="TableParagraph"/>
              <w:ind w:right="56"/>
              <w:rPr>
                <w:rFonts w:ascii="Arial" w:hAnsi="Arial" w:cs="Arial"/>
                <w:sz w:val="20"/>
                <w:szCs w:val="20"/>
              </w:rPr>
            </w:pPr>
            <w:r>
              <w:rPr>
                <w:rFonts w:ascii="Arial" w:hAnsi="Arial" w:cs="Arial"/>
              </w:rPr>
              <w:t>30,000.01</w:t>
            </w:r>
          </w:p>
        </w:tc>
        <w:tc>
          <w:tcPr>
            <w:tcW w:w="1557" w:type="dxa"/>
            <w:vAlign w:val="center"/>
          </w:tcPr>
          <w:p w14:paraId="5A376A3F" w14:textId="77777777" w:rsidR="00C6733C" w:rsidRDefault="006D0638">
            <w:pPr>
              <w:pStyle w:val="TableParagraph"/>
              <w:ind w:right="56"/>
              <w:rPr>
                <w:rFonts w:ascii="Arial" w:hAnsi="Arial" w:cs="Arial"/>
                <w:sz w:val="20"/>
                <w:szCs w:val="20"/>
              </w:rPr>
            </w:pPr>
            <w:r>
              <w:rPr>
                <w:rFonts w:ascii="Arial" w:hAnsi="Arial" w:cs="Arial"/>
                <w:sz w:val="20"/>
                <w:szCs w:val="20"/>
              </w:rPr>
              <w:t>60,000.00</w:t>
            </w:r>
          </w:p>
        </w:tc>
      </w:tr>
      <w:tr w:rsidR="00C6733C" w14:paraId="6A069196" w14:textId="77777777">
        <w:trPr>
          <w:trHeight w:val="252"/>
          <w:jc w:val="center"/>
        </w:trPr>
        <w:tc>
          <w:tcPr>
            <w:tcW w:w="5949" w:type="dxa"/>
          </w:tcPr>
          <w:p w14:paraId="15B430BD" w14:textId="77777777" w:rsidR="00C6733C" w:rsidRDefault="006D0638">
            <w:pPr>
              <w:pStyle w:val="TableParagraph"/>
              <w:ind w:left="71"/>
              <w:jc w:val="left"/>
              <w:rPr>
                <w:rFonts w:ascii="Arial" w:hAnsi="Arial" w:cs="Arial"/>
                <w:sz w:val="20"/>
                <w:szCs w:val="20"/>
              </w:rPr>
            </w:pPr>
            <w:r>
              <w:rPr>
                <w:rFonts w:ascii="Arial" w:hAnsi="Arial" w:cs="Arial"/>
                <w:sz w:val="20"/>
                <w:szCs w:val="20"/>
              </w:rPr>
              <w:t>b) Invitación restringida</w:t>
            </w:r>
          </w:p>
        </w:tc>
        <w:tc>
          <w:tcPr>
            <w:tcW w:w="1661" w:type="dxa"/>
            <w:vAlign w:val="center"/>
          </w:tcPr>
          <w:p w14:paraId="3CBE71DE" w14:textId="77777777" w:rsidR="00C6733C" w:rsidRDefault="006D0638">
            <w:pPr>
              <w:pStyle w:val="TableParagraph"/>
              <w:ind w:right="56"/>
              <w:rPr>
                <w:rFonts w:ascii="Arial" w:hAnsi="Arial" w:cs="Arial"/>
                <w:sz w:val="20"/>
                <w:szCs w:val="20"/>
              </w:rPr>
            </w:pPr>
            <w:r>
              <w:rPr>
                <w:rFonts w:ascii="Arial" w:hAnsi="Arial" w:cs="Arial"/>
                <w:sz w:val="20"/>
                <w:szCs w:val="20"/>
              </w:rPr>
              <w:t>60,000.01</w:t>
            </w:r>
          </w:p>
        </w:tc>
        <w:tc>
          <w:tcPr>
            <w:tcW w:w="1557" w:type="dxa"/>
            <w:vAlign w:val="center"/>
          </w:tcPr>
          <w:p w14:paraId="712315C1" w14:textId="77777777" w:rsidR="00C6733C" w:rsidRDefault="006D0638">
            <w:pPr>
              <w:pStyle w:val="TableParagraph"/>
              <w:ind w:right="56"/>
              <w:rPr>
                <w:rFonts w:ascii="Arial" w:hAnsi="Arial" w:cs="Arial"/>
                <w:sz w:val="20"/>
                <w:szCs w:val="20"/>
              </w:rPr>
            </w:pPr>
            <w:r>
              <w:rPr>
                <w:rFonts w:ascii="Arial" w:hAnsi="Arial" w:cs="Arial"/>
                <w:sz w:val="20"/>
                <w:szCs w:val="20"/>
              </w:rPr>
              <w:t>320,000.00</w:t>
            </w:r>
          </w:p>
        </w:tc>
      </w:tr>
      <w:tr w:rsidR="00C6733C" w14:paraId="087621BE" w14:textId="77777777">
        <w:trPr>
          <w:trHeight w:val="553"/>
          <w:jc w:val="center"/>
        </w:trPr>
        <w:tc>
          <w:tcPr>
            <w:tcW w:w="5949" w:type="dxa"/>
          </w:tcPr>
          <w:p w14:paraId="190C06BB" w14:textId="77777777" w:rsidR="00C6733C" w:rsidRDefault="006D0638">
            <w:pPr>
              <w:pStyle w:val="TableParagraph"/>
              <w:ind w:left="71" w:right="59"/>
              <w:jc w:val="both"/>
              <w:rPr>
                <w:rFonts w:ascii="Arial" w:hAnsi="Arial" w:cs="Arial"/>
                <w:b/>
                <w:sz w:val="20"/>
                <w:szCs w:val="20"/>
              </w:rPr>
            </w:pPr>
            <w:r>
              <w:rPr>
                <w:rFonts w:ascii="Arial" w:hAnsi="Arial" w:cs="Arial"/>
                <w:b/>
                <w:sz w:val="20"/>
                <w:szCs w:val="20"/>
              </w:rPr>
              <w:t xml:space="preserve">Con </w:t>
            </w:r>
            <w:r>
              <w:rPr>
                <w:rFonts w:ascii="Arial" w:hAnsi="Arial" w:cs="Arial"/>
                <w:b/>
                <w:sz w:val="20"/>
                <w:szCs w:val="20"/>
              </w:rPr>
              <w:t>autorización del Comité de Adquisiciones, Enajenaciones, Arrendamientos y Servicios del Estado de Oaxaca.</w:t>
            </w:r>
          </w:p>
        </w:tc>
        <w:tc>
          <w:tcPr>
            <w:tcW w:w="3218" w:type="dxa"/>
            <w:gridSpan w:val="2"/>
            <w:vAlign w:val="center"/>
          </w:tcPr>
          <w:p w14:paraId="7D6AE23C" w14:textId="77777777" w:rsidR="00C6733C" w:rsidRDefault="00C6733C">
            <w:pPr>
              <w:pStyle w:val="TableParagraph"/>
              <w:rPr>
                <w:rFonts w:ascii="Arial" w:hAnsi="Arial" w:cs="Arial"/>
                <w:sz w:val="20"/>
                <w:szCs w:val="20"/>
              </w:rPr>
            </w:pPr>
          </w:p>
        </w:tc>
      </w:tr>
      <w:tr w:rsidR="00C6733C" w14:paraId="6D5F94DE" w14:textId="77777777">
        <w:trPr>
          <w:trHeight w:val="263"/>
          <w:jc w:val="center"/>
        </w:trPr>
        <w:tc>
          <w:tcPr>
            <w:tcW w:w="5949" w:type="dxa"/>
          </w:tcPr>
          <w:p w14:paraId="36F938EF" w14:textId="77777777" w:rsidR="00C6733C" w:rsidRDefault="006D0638">
            <w:pPr>
              <w:pStyle w:val="TableParagraph"/>
              <w:ind w:left="86"/>
              <w:jc w:val="left"/>
              <w:rPr>
                <w:rFonts w:ascii="Arial" w:hAnsi="Arial" w:cs="Arial"/>
                <w:sz w:val="20"/>
                <w:szCs w:val="20"/>
              </w:rPr>
            </w:pPr>
            <w:r>
              <w:rPr>
                <w:rFonts w:ascii="Arial" w:hAnsi="Arial" w:cs="Arial"/>
                <w:sz w:val="20"/>
                <w:szCs w:val="20"/>
              </w:rPr>
              <w:t>a) Invitación Abierta Estatal</w:t>
            </w:r>
          </w:p>
        </w:tc>
        <w:tc>
          <w:tcPr>
            <w:tcW w:w="1661" w:type="dxa"/>
            <w:vAlign w:val="center"/>
          </w:tcPr>
          <w:p w14:paraId="120A0A89" w14:textId="77777777" w:rsidR="00C6733C" w:rsidRDefault="006D0638">
            <w:pPr>
              <w:pStyle w:val="TableParagraph"/>
              <w:ind w:right="56"/>
              <w:rPr>
                <w:rFonts w:ascii="Arial" w:hAnsi="Arial" w:cs="Arial"/>
                <w:sz w:val="20"/>
                <w:szCs w:val="20"/>
              </w:rPr>
            </w:pPr>
            <w:r>
              <w:rPr>
                <w:rFonts w:ascii="Arial" w:hAnsi="Arial" w:cs="Arial"/>
                <w:sz w:val="20"/>
                <w:szCs w:val="20"/>
              </w:rPr>
              <w:t>320,000.01</w:t>
            </w:r>
          </w:p>
        </w:tc>
        <w:tc>
          <w:tcPr>
            <w:tcW w:w="1557" w:type="dxa"/>
            <w:vAlign w:val="center"/>
          </w:tcPr>
          <w:p w14:paraId="2642D7DA" w14:textId="77777777" w:rsidR="00C6733C" w:rsidRDefault="006D0638">
            <w:pPr>
              <w:pStyle w:val="TableParagraph"/>
              <w:ind w:right="56"/>
              <w:rPr>
                <w:rFonts w:ascii="Arial" w:hAnsi="Arial" w:cs="Arial"/>
                <w:sz w:val="20"/>
                <w:szCs w:val="20"/>
              </w:rPr>
            </w:pPr>
            <w:r>
              <w:rPr>
                <w:rFonts w:ascii="Arial" w:hAnsi="Arial" w:cs="Arial"/>
                <w:sz w:val="20"/>
                <w:szCs w:val="20"/>
              </w:rPr>
              <w:t>2,900,000.00</w:t>
            </w:r>
          </w:p>
        </w:tc>
      </w:tr>
      <w:tr w:rsidR="00C6733C" w14:paraId="5512A4F4" w14:textId="77777777">
        <w:trPr>
          <w:trHeight w:val="268"/>
          <w:jc w:val="center"/>
        </w:trPr>
        <w:tc>
          <w:tcPr>
            <w:tcW w:w="5949" w:type="dxa"/>
          </w:tcPr>
          <w:p w14:paraId="06DEFE37" w14:textId="77777777" w:rsidR="00C6733C" w:rsidRDefault="006D0638">
            <w:pPr>
              <w:pStyle w:val="TableParagraph"/>
              <w:ind w:left="86"/>
              <w:jc w:val="left"/>
              <w:rPr>
                <w:rFonts w:ascii="Arial" w:hAnsi="Arial" w:cs="Arial"/>
                <w:sz w:val="20"/>
                <w:szCs w:val="20"/>
              </w:rPr>
            </w:pPr>
            <w:r>
              <w:rPr>
                <w:rFonts w:ascii="Arial" w:hAnsi="Arial" w:cs="Arial"/>
                <w:sz w:val="20"/>
                <w:szCs w:val="20"/>
              </w:rPr>
              <w:t>b) Licitación Pública Estatal</w:t>
            </w:r>
          </w:p>
        </w:tc>
        <w:tc>
          <w:tcPr>
            <w:tcW w:w="1661" w:type="dxa"/>
            <w:vAlign w:val="center"/>
          </w:tcPr>
          <w:p w14:paraId="33CB374F" w14:textId="77777777" w:rsidR="00C6733C" w:rsidRDefault="006D0638">
            <w:pPr>
              <w:pStyle w:val="TableParagraph"/>
              <w:ind w:right="56"/>
              <w:rPr>
                <w:rFonts w:ascii="Arial" w:hAnsi="Arial" w:cs="Arial"/>
                <w:sz w:val="20"/>
                <w:szCs w:val="20"/>
              </w:rPr>
            </w:pPr>
            <w:r>
              <w:rPr>
                <w:rFonts w:ascii="Arial" w:hAnsi="Arial" w:cs="Arial"/>
                <w:sz w:val="20"/>
                <w:szCs w:val="20"/>
              </w:rPr>
              <w:t>2,900,000.01</w:t>
            </w:r>
          </w:p>
        </w:tc>
        <w:tc>
          <w:tcPr>
            <w:tcW w:w="1557" w:type="dxa"/>
            <w:vAlign w:val="center"/>
          </w:tcPr>
          <w:p w14:paraId="16159570" w14:textId="77777777" w:rsidR="00C6733C" w:rsidRDefault="006D0638">
            <w:pPr>
              <w:pStyle w:val="TableParagraph"/>
              <w:ind w:right="-21"/>
              <w:jc w:val="center"/>
              <w:rPr>
                <w:rFonts w:ascii="Arial" w:hAnsi="Arial" w:cs="Arial"/>
                <w:sz w:val="20"/>
                <w:szCs w:val="20"/>
              </w:rPr>
            </w:pPr>
            <w:r>
              <w:rPr>
                <w:rFonts w:ascii="Arial" w:hAnsi="Arial" w:cs="Arial"/>
                <w:sz w:val="20"/>
                <w:szCs w:val="20"/>
              </w:rPr>
              <w:t xml:space="preserve">   40,000,000.0</w:t>
            </w:r>
            <w:r>
              <w:rPr>
                <w:rFonts w:ascii="Arial" w:hAnsi="Arial" w:cs="Arial"/>
                <w:w w:val="99"/>
                <w:sz w:val="20"/>
                <w:szCs w:val="20"/>
              </w:rPr>
              <w:t>0</w:t>
            </w:r>
          </w:p>
        </w:tc>
      </w:tr>
      <w:tr w:rsidR="00C6733C" w14:paraId="6D5A025C" w14:textId="77777777">
        <w:trPr>
          <w:trHeight w:val="271"/>
          <w:jc w:val="center"/>
        </w:trPr>
        <w:tc>
          <w:tcPr>
            <w:tcW w:w="5949" w:type="dxa"/>
          </w:tcPr>
          <w:p w14:paraId="474F187B" w14:textId="77777777" w:rsidR="00C6733C" w:rsidRDefault="006D0638">
            <w:pPr>
              <w:pStyle w:val="TableParagraph"/>
              <w:ind w:left="71"/>
              <w:jc w:val="left"/>
              <w:rPr>
                <w:rFonts w:ascii="Arial" w:hAnsi="Arial" w:cs="Arial"/>
                <w:sz w:val="20"/>
                <w:szCs w:val="20"/>
              </w:rPr>
            </w:pPr>
            <w:r>
              <w:rPr>
                <w:rFonts w:ascii="Arial" w:hAnsi="Arial" w:cs="Arial"/>
                <w:sz w:val="20"/>
                <w:szCs w:val="20"/>
              </w:rPr>
              <w:t xml:space="preserve">c) Licitación Pública </w:t>
            </w:r>
            <w:r>
              <w:rPr>
                <w:rFonts w:ascii="Arial" w:hAnsi="Arial" w:cs="Arial"/>
                <w:sz w:val="20"/>
                <w:szCs w:val="20"/>
              </w:rPr>
              <w:t>Nacional o Internacional</w:t>
            </w:r>
          </w:p>
        </w:tc>
        <w:tc>
          <w:tcPr>
            <w:tcW w:w="1661" w:type="dxa"/>
            <w:vAlign w:val="center"/>
          </w:tcPr>
          <w:p w14:paraId="406AF97B" w14:textId="77777777" w:rsidR="00C6733C" w:rsidRDefault="006D0638">
            <w:pPr>
              <w:pStyle w:val="TableParagraph"/>
              <w:ind w:right="56"/>
              <w:rPr>
                <w:rFonts w:ascii="Arial" w:hAnsi="Arial" w:cs="Arial"/>
                <w:sz w:val="20"/>
                <w:szCs w:val="20"/>
              </w:rPr>
            </w:pPr>
            <w:r>
              <w:rPr>
                <w:rFonts w:ascii="Arial" w:hAnsi="Arial" w:cs="Arial"/>
                <w:sz w:val="20"/>
                <w:szCs w:val="20"/>
              </w:rPr>
              <w:t>40,000,000.0</w:t>
            </w:r>
            <w:r>
              <w:rPr>
                <w:rFonts w:ascii="Arial" w:hAnsi="Arial" w:cs="Arial"/>
                <w:w w:val="99"/>
                <w:sz w:val="20"/>
                <w:szCs w:val="20"/>
              </w:rPr>
              <w:t>1</w:t>
            </w:r>
          </w:p>
        </w:tc>
        <w:tc>
          <w:tcPr>
            <w:tcW w:w="1557" w:type="dxa"/>
            <w:vAlign w:val="center"/>
          </w:tcPr>
          <w:p w14:paraId="62F1B282" w14:textId="77777777" w:rsidR="00C6733C" w:rsidRDefault="006D0638">
            <w:pPr>
              <w:pStyle w:val="TableParagraph"/>
              <w:ind w:right="57"/>
              <w:rPr>
                <w:rFonts w:ascii="Arial" w:hAnsi="Arial" w:cs="Arial"/>
                <w:sz w:val="20"/>
                <w:szCs w:val="20"/>
              </w:rPr>
            </w:pPr>
            <w:r>
              <w:rPr>
                <w:rFonts w:ascii="Arial" w:hAnsi="Arial" w:cs="Arial"/>
                <w:sz w:val="20"/>
                <w:szCs w:val="20"/>
              </w:rPr>
              <w:t>En adelante</w:t>
            </w:r>
          </w:p>
        </w:tc>
      </w:tr>
    </w:tbl>
    <w:p w14:paraId="31197B29" w14:textId="77777777" w:rsidR="00C6733C" w:rsidRDefault="00C6733C">
      <w:pPr>
        <w:pStyle w:val="Textoindependiente"/>
        <w:rPr>
          <w:sz w:val="22"/>
          <w:szCs w:val="22"/>
        </w:rPr>
      </w:pPr>
    </w:p>
    <w:p w14:paraId="39969190" w14:textId="77777777" w:rsidR="00C6733C" w:rsidRDefault="006D0638">
      <w:pPr>
        <w:pStyle w:val="Textoindependiente"/>
        <w:tabs>
          <w:tab w:val="left" w:pos="6634"/>
        </w:tabs>
        <w:ind w:right="-29"/>
        <w:jc w:val="both"/>
        <w:rPr>
          <w:sz w:val="22"/>
          <w:szCs w:val="22"/>
        </w:rPr>
      </w:pPr>
      <w:r>
        <w:rPr>
          <w:sz w:val="22"/>
          <w:szCs w:val="22"/>
        </w:rPr>
        <w:t>Los montos establecidos deberán considerarse sin incluir el importe del Impuesto al Valor Agregado.</w:t>
      </w:r>
    </w:p>
    <w:p w14:paraId="605B0798" w14:textId="77777777" w:rsidR="00C6733C" w:rsidRDefault="00C6733C">
      <w:pPr>
        <w:pStyle w:val="Textoindependiente"/>
        <w:tabs>
          <w:tab w:val="left" w:pos="6634"/>
        </w:tabs>
        <w:ind w:right="-29"/>
        <w:rPr>
          <w:sz w:val="22"/>
          <w:szCs w:val="22"/>
        </w:rPr>
      </w:pPr>
    </w:p>
    <w:p w14:paraId="1F3F3A99" w14:textId="77777777" w:rsidR="00C6733C" w:rsidRDefault="006D0638">
      <w:pPr>
        <w:pStyle w:val="Textoindependiente"/>
        <w:tabs>
          <w:tab w:val="left" w:pos="6634"/>
        </w:tabs>
        <w:ind w:right="-29"/>
        <w:jc w:val="both"/>
        <w:rPr>
          <w:b/>
          <w:sz w:val="22"/>
          <w:szCs w:val="22"/>
        </w:rPr>
      </w:pPr>
      <w:r>
        <w:rPr>
          <w:sz w:val="22"/>
          <w:szCs w:val="22"/>
        </w:rPr>
        <w:t xml:space="preserve">Los montos mínimos y máximos establecidos en el presente Artículo, no serán aplicables para las </w:t>
      </w:r>
      <w:r>
        <w:rPr>
          <w:sz w:val="22"/>
          <w:szCs w:val="22"/>
        </w:rPr>
        <w:t>adquisiciones, arrendamientos y servicios que se realicen de conformidad con lo dispuesto por el Artículo 46 de la Ley de Adquisiciones, Enajenaciones, Arrendamientos, Prestación de Servicios y Administración de Bienes Muebles e Inmuebles del Estado de Oax</w:t>
      </w:r>
      <w:r>
        <w:rPr>
          <w:sz w:val="22"/>
          <w:szCs w:val="22"/>
        </w:rPr>
        <w:t>aca</w:t>
      </w:r>
      <w:r>
        <w:rPr>
          <w:b/>
          <w:sz w:val="22"/>
          <w:szCs w:val="22"/>
        </w:rPr>
        <w:t>.</w:t>
      </w:r>
    </w:p>
    <w:p w14:paraId="57B7B408" w14:textId="77777777" w:rsidR="00C6733C" w:rsidRDefault="00C6733C">
      <w:pPr>
        <w:pStyle w:val="Ttulo1"/>
        <w:ind w:left="0" w:right="4063"/>
        <w:jc w:val="left"/>
        <w:rPr>
          <w:sz w:val="22"/>
          <w:szCs w:val="22"/>
        </w:rPr>
      </w:pPr>
    </w:p>
    <w:p w14:paraId="3D827671" w14:textId="77777777" w:rsidR="00C6733C" w:rsidRDefault="00C6733C">
      <w:pPr>
        <w:pStyle w:val="Ttulo1"/>
        <w:ind w:left="0" w:right="4063"/>
        <w:jc w:val="left"/>
        <w:rPr>
          <w:sz w:val="22"/>
          <w:szCs w:val="22"/>
        </w:rPr>
      </w:pPr>
    </w:p>
    <w:p w14:paraId="5106973B" w14:textId="77777777" w:rsidR="00C6733C" w:rsidRDefault="006D0638">
      <w:pPr>
        <w:pStyle w:val="Ttulo1"/>
        <w:tabs>
          <w:tab w:val="left" w:pos="6634"/>
        </w:tabs>
        <w:ind w:left="0" w:right="-29"/>
        <w:rPr>
          <w:sz w:val="22"/>
          <w:szCs w:val="22"/>
        </w:rPr>
      </w:pPr>
      <w:r>
        <w:rPr>
          <w:sz w:val="22"/>
          <w:szCs w:val="22"/>
        </w:rPr>
        <w:t>Título Noveno</w:t>
      </w:r>
    </w:p>
    <w:p w14:paraId="04E48588" w14:textId="77777777" w:rsidR="00C6733C" w:rsidRDefault="006D0638">
      <w:pPr>
        <w:tabs>
          <w:tab w:val="left" w:pos="6634"/>
        </w:tabs>
        <w:ind w:right="-29"/>
        <w:jc w:val="center"/>
        <w:rPr>
          <w:rFonts w:ascii="Arial" w:hAnsi="Arial" w:cs="Arial"/>
          <w:b/>
        </w:rPr>
      </w:pPr>
      <w:r>
        <w:rPr>
          <w:rFonts w:ascii="Arial" w:hAnsi="Arial" w:cs="Arial"/>
          <w:b/>
        </w:rPr>
        <w:t>De la Información, Transparencia y Evaluación</w:t>
      </w:r>
    </w:p>
    <w:p w14:paraId="4DE376BE" w14:textId="77777777" w:rsidR="00C6733C" w:rsidRDefault="00C6733C">
      <w:pPr>
        <w:pStyle w:val="Textoindependiente"/>
        <w:rPr>
          <w:b/>
          <w:sz w:val="22"/>
          <w:szCs w:val="22"/>
        </w:rPr>
      </w:pPr>
    </w:p>
    <w:p w14:paraId="2A4F23AD" w14:textId="77777777" w:rsidR="00C6733C" w:rsidRDefault="006D0638">
      <w:pPr>
        <w:pStyle w:val="Textoindependiente"/>
        <w:ind w:right="-29"/>
        <w:jc w:val="both"/>
        <w:rPr>
          <w:sz w:val="22"/>
          <w:szCs w:val="22"/>
        </w:rPr>
      </w:pPr>
      <w:r>
        <w:rPr>
          <w:b/>
          <w:sz w:val="22"/>
          <w:szCs w:val="22"/>
        </w:rPr>
        <w:t xml:space="preserve">Artículo 91. </w:t>
      </w:r>
      <w:r>
        <w:rPr>
          <w:sz w:val="22"/>
          <w:szCs w:val="22"/>
        </w:rPr>
        <w:t>El Ejecutivo Estatal, por conducto de la Secretaría, entregará al Congreso los Informes de Avance de Gestión Financiera y Cuenta Pública del Estado, los que deberán incluir lo</w:t>
      </w:r>
      <w:r>
        <w:rPr>
          <w:sz w:val="22"/>
          <w:szCs w:val="22"/>
        </w:rPr>
        <w:t xml:space="preserve"> previsto en la Ley General, Ley de Disciplina, la Ley y la Ley de Fiscalización Superior y Rendición de Cuentas para el Estado de Oaxaca.</w:t>
      </w:r>
    </w:p>
    <w:p w14:paraId="391876B8" w14:textId="77777777" w:rsidR="00C6733C" w:rsidRDefault="00C6733C">
      <w:pPr>
        <w:pStyle w:val="Textoindependiente"/>
        <w:ind w:right="-29"/>
        <w:rPr>
          <w:sz w:val="22"/>
          <w:szCs w:val="22"/>
        </w:rPr>
      </w:pPr>
    </w:p>
    <w:p w14:paraId="7A8F46A2" w14:textId="77777777" w:rsidR="00C6733C" w:rsidRDefault="006D0638">
      <w:pPr>
        <w:pStyle w:val="Textoindependiente"/>
        <w:ind w:right="-29"/>
        <w:jc w:val="both"/>
        <w:rPr>
          <w:sz w:val="22"/>
          <w:szCs w:val="22"/>
        </w:rPr>
      </w:pPr>
      <w:r>
        <w:rPr>
          <w:sz w:val="22"/>
          <w:szCs w:val="22"/>
        </w:rPr>
        <w:t>Los Ejecutores de gasto serán responsables de remitir en los plazos que fije la Secretaría, la información que corre</w:t>
      </w:r>
      <w:r>
        <w:rPr>
          <w:sz w:val="22"/>
          <w:szCs w:val="22"/>
        </w:rPr>
        <w:t>sponda para la debida integración de los Informes de Avance de Gestión Financiera y Cuenta Pública del Estado.</w:t>
      </w:r>
    </w:p>
    <w:p w14:paraId="6595B43A" w14:textId="77777777" w:rsidR="00C6733C" w:rsidRDefault="00C6733C">
      <w:pPr>
        <w:pStyle w:val="Textoindependiente"/>
        <w:ind w:right="-29"/>
        <w:rPr>
          <w:sz w:val="22"/>
          <w:szCs w:val="22"/>
        </w:rPr>
      </w:pPr>
    </w:p>
    <w:p w14:paraId="3B300D2E" w14:textId="77777777" w:rsidR="00C6733C" w:rsidRDefault="006D0638">
      <w:pPr>
        <w:pStyle w:val="Textoindependiente"/>
        <w:ind w:right="-29"/>
        <w:jc w:val="both"/>
        <w:rPr>
          <w:sz w:val="22"/>
          <w:szCs w:val="22"/>
        </w:rPr>
      </w:pPr>
      <w:r>
        <w:rPr>
          <w:sz w:val="22"/>
          <w:szCs w:val="22"/>
        </w:rPr>
        <w:t>Asimismo, deberán difundir los informes que alude el párrafo anterior en las páginas de internet respectivas en formatos abiertos.</w:t>
      </w:r>
    </w:p>
    <w:p w14:paraId="3D767E12" w14:textId="77777777" w:rsidR="00C6733C" w:rsidRDefault="00C6733C">
      <w:pPr>
        <w:pStyle w:val="Textoindependiente"/>
        <w:ind w:right="-29"/>
        <w:jc w:val="both"/>
        <w:rPr>
          <w:sz w:val="22"/>
          <w:szCs w:val="22"/>
        </w:rPr>
      </w:pPr>
    </w:p>
    <w:p w14:paraId="05CF42A6"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92. </w:t>
      </w:r>
      <w:r>
        <w:rPr>
          <w:rFonts w:ascii="Arial" w:eastAsiaTheme="minorHAnsi" w:hAnsi="Arial" w:cs="Arial"/>
          <w:color w:val="000000"/>
          <w:lang w:eastAsia="en-US" w:bidi="ar-SA"/>
        </w:rPr>
        <w:t>El Poder Judicial, los Órganos de Control Interno del Poder Legislativo, de los Órganos Autónomos y de la Contraloría, en el ámbito de sus respectivas competencias, verificarán periódicamente el ejercicio del Presupuesto de Egresos de los Ejec</w:t>
      </w:r>
      <w:r>
        <w:rPr>
          <w:rFonts w:ascii="Arial" w:eastAsiaTheme="minorHAnsi" w:hAnsi="Arial" w:cs="Arial"/>
          <w:color w:val="000000"/>
          <w:lang w:eastAsia="en-US" w:bidi="ar-SA"/>
        </w:rPr>
        <w:t xml:space="preserve">utores de gasto, así como los indicadores de resultados de los programas operativos anuales, a fin de que se adopten las medidas necesarias para cumplir con las metas programático-presupuestarias. </w:t>
      </w:r>
    </w:p>
    <w:p w14:paraId="7B3C8011" w14:textId="77777777" w:rsidR="00C6733C" w:rsidRDefault="00C6733C">
      <w:pPr>
        <w:widowControl/>
        <w:adjustRightInd w:val="0"/>
        <w:rPr>
          <w:rFonts w:ascii="Arial" w:eastAsiaTheme="minorHAnsi" w:hAnsi="Arial" w:cs="Arial"/>
          <w:color w:val="000000"/>
          <w:lang w:eastAsia="en-US" w:bidi="ar-SA"/>
        </w:rPr>
      </w:pPr>
    </w:p>
    <w:p w14:paraId="5B09FAFE" w14:textId="77777777" w:rsidR="00C6733C" w:rsidRDefault="00C6733C">
      <w:pPr>
        <w:widowControl/>
        <w:adjustRightInd w:val="0"/>
        <w:rPr>
          <w:rFonts w:ascii="Arial" w:eastAsiaTheme="minorHAnsi" w:hAnsi="Arial" w:cs="Arial"/>
          <w:color w:val="000000"/>
          <w:lang w:eastAsia="en-US" w:bidi="ar-SA"/>
        </w:rPr>
      </w:pPr>
    </w:p>
    <w:p w14:paraId="28EED4FE" w14:textId="77777777" w:rsidR="00C6733C" w:rsidRDefault="006D0638">
      <w:pPr>
        <w:widowControl/>
        <w:adjustRightInd w:val="0"/>
        <w:jc w:val="center"/>
        <w:rPr>
          <w:rFonts w:ascii="Arial" w:eastAsiaTheme="minorHAnsi" w:hAnsi="Arial" w:cs="Arial"/>
          <w:b/>
          <w:bCs/>
          <w:color w:val="000000"/>
          <w:lang w:eastAsia="en-US" w:bidi="ar-SA"/>
        </w:rPr>
      </w:pPr>
      <w:r>
        <w:rPr>
          <w:rFonts w:ascii="Arial" w:eastAsiaTheme="minorHAnsi" w:hAnsi="Arial" w:cs="Arial"/>
          <w:b/>
          <w:bCs/>
          <w:color w:val="000000"/>
          <w:lang w:eastAsia="en-US" w:bidi="ar-SA"/>
        </w:rPr>
        <w:t>TRANSITORIOS:</w:t>
      </w:r>
    </w:p>
    <w:p w14:paraId="6D6DCB45" w14:textId="77777777" w:rsidR="00C6733C" w:rsidRDefault="00C6733C">
      <w:pPr>
        <w:pStyle w:val="Ttulo1"/>
        <w:ind w:left="0" w:right="-29"/>
        <w:rPr>
          <w:sz w:val="22"/>
          <w:szCs w:val="22"/>
        </w:rPr>
      </w:pPr>
    </w:p>
    <w:p w14:paraId="281BFC58" w14:textId="77777777" w:rsidR="00C6733C" w:rsidRDefault="006D0638">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PRIMERO. </w:t>
      </w:r>
      <w:r>
        <w:rPr>
          <w:rFonts w:ascii="Arial" w:eastAsiaTheme="minorHAnsi" w:hAnsi="Arial" w:cs="Arial"/>
          <w:color w:val="000000"/>
          <w:lang w:eastAsia="en-US" w:bidi="ar-SA"/>
        </w:rPr>
        <w:t xml:space="preserve">El presente Decreto con sus Anexos, entrarán en vigor el uno de enero del año dos mil veinte, previa publicación en el Periódico Oficial del Estado. </w:t>
      </w:r>
    </w:p>
    <w:p w14:paraId="54AC938F" w14:textId="77777777" w:rsidR="00C6733C" w:rsidRDefault="00C6733C">
      <w:pPr>
        <w:pStyle w:val="Textoindependiente"/>
        <w:jc w:val="both"/>
        <w:rPr>
          <w:sz w:val="22"/>
          <w:szCs w:val="22"/>
        </w:rPr>
      </w:pPr>
    </w:p>
    <w:p w14:paraId="7BA5BBBF" w14:textId="77777777" w:rsidR="00C6733C" w:rsidRDefault="006D0638">
      <w:pPr>
        <w:pStyle w:val="Textoindependiente"/>
        <w:jc w:val="both"/>
        <w:rPr>
          <w:sz w:val="22"/>
          <w:szCs w:val="22"/>
        </w:rPr>
      </w:pPr>
      <w:r>
        <w:rPr>
          <w:b/>
          <w:bCs/>
          <w:sz w:val="22"/>
          <w:szCs w:val="22"/>
        </w:rPr>
        <w:t xml:space="preserve">SEGUNDO. </w:t>
      </w:r>
      <w:r>
        <w:rPr>
          <w:sz w:val="22"/>
          <w:szCs w:val="22"/>
        </w:rPr>
        <w:t>Las disposiciones contenidas en el presente Decreto, prevalecerán sobre aquellas de igual o meno</w:t>
      </w:r>
      <w:r>
        <w:rPr>
          <w:sz w:val="22"/>
          <w:szCs w:val="22"/>
        </w:rPr>
        <w:t xml:space="preserve">r rango que se les opongan, aun cuando no estén expresamente derogadas. </w:t>
      </w:r>
    </w:p>
    <w:p w14:paraId="202096AF" w14:textId="77777777" w:rsidR="00C6733C" w:rsidRDefault="00C6733C">
      <w:pPr>
        <w:pStyle w:val="Textoindependiente"/>
        <w:jc w:val="both"/>
        <w:rPr>
          <w:sz w:val="22"/>
          <w:szCs w:val="22"/>
        </w:rPr>
      </w:pPr>
    </w:p>
    <w:p w14:paraId="1D417AA3" w14:textId="77777777" w:rsidR="00C6733C" w:rsidRDefault="006D0638">
      <w:pPr>
        <w:pStyle w:val="Textoindependiente"/>
        <w:jc w:val="both"/>
        <w:rPr>
          <w:sz w:val="22"/>
          <w:szCs w:val="22"/>
        </w:rPr>
      </w:pPr>
      <w:r>
        <w:rPr>
          <w:b/>
          <w:sz w:val="22"/>
          <w:szCs w:val="22"/>
        </w:rPr>
        <w:t>TERCERO.-</w:t>
      </w:r>
      <w:r>
        <w:rPr>
          <w:sz w:val="22"/>
          <w:szCs w:val="22"/>
        </w:rPr>
        <w:t xml:space="preserve"> Los Ejecutores de gasto que por razón de las asignaciones presupuestales aprobadas, tengan modificaciones deberán realizar los ajustes a sus programas operativos anuales, p</w:t>
      </w:r>
      <w:r>
        <w:rPr>
          <w:sz w:val="22"/>
          <w:szCs w:val="22"/>
        </w:rPr>
        <w:t>revia notificación de la Secretaría de Finanzas.</w:t>
      </w:r>
    </w:p>
    <w:p w14:paraId="740A887E" w14:textId="77777777" w:rsidR="00C6733C" w:rsidRDefault="00C6733C">
      <w:pPr>
        <w:pStyle w:val="Textoindependiente"/>
        <w:jc w:val="both"/>
        <w:rPr>
          <w:sz w:val="22"/>
          <w:szCs w:val="22"/>
        </w:rPr>
      </w:pPr>
    </w:p>
    <w:p w14:paraId="53233C57" w14:textId="77777777" w:rsidR="00C6733C" w:rsidRDefault="006D0638">
      <w:pPr>
        <w:pStyle w:val="Textoindependiente"/>
        <w:jc w:val="both"/>
        <w:rPr>
          <w:sz w:val="22"/>
          <w:szCs w:val="22"/>
        </w:rPr>
      </w:pPr>
      <w:r>
        <w:rPr>
          <w:b/>
          <w:bCs/>
          <w:sz w:val="22"/>
          <w:szCs w:val="22"/>
        </w:rPr>
        <w:t>CUARTO.</w:t>
      </w:r>
      <w:r>
        <w:rPr>
          <w:sz w:val="22"/>
          <w:szCs w:val="22"/>
        </w:rPr>
        <w:t xml:space="preserve"> Con la finalidad de fortalecer la mejora del gasto, en el anexo 7 se enuncian las políticas de gasto que los Poderes Ejecutivo, Legislativo, Judicial y Órganos Autónomos implementarán durante el eje</w:t>
      </w:r>
      <w:r>
        <w:rPr>
          <w:sz w:val="22"/>
          <w:szCs w:val="22"/>
        </w:rPr>
        <w:t>rcicio del gasto.</w:t>
      </w:r>
    </w:p>
    <w:p w14:paraId="09CEA51C" w14:textId="77777777" w:rsidR="00C6733C" w:rsidRDefault="00C6733C">
      <w:pPr>
        <w:pStyle w:val="Textoindependiente"/>
        <w:jc w:val="both"/>
        <w:rPr>
          <w:rFonts w:asciiTheme="minorHAnsi" w:hAnsiTheme="minorHAnsi" w:cstheme="minorHAnsi"/>
          <w:sz w:val="22"/>
          <w:szCs w:val="22"/>
        </w:rPr>
      </w:pPr>
    </w:p>
    <w:sectPr w:rsidR="00C6733C">
      <w:headerReference w:type="default" r:id="rId24"/>
      <w:footerReference w:type="default" r:id="rId25"/>
      <w:pgSz w:w="12240" w:h="15840" w:code="1"/>
      <w:pgMar w:top="3085" w:right="1701" w:bottom="1418"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AB4E3" w14:textId="77777777" w:rsidR="006D0638" w:rsidRDefault="006D0638">
      <w:r>
        <w:separator/>
      </w:r>
    </w:p>
  </w:endnote>
  <w:endnote w:type="continuationSeparator" w:id="0">
    <w:p w14:paraId="4B548237" w14:textId="77777777" w:rsidR="006D0638" w:rsidRDefault="006D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514F" w14:textId="77777777" w:rsidR="00C6733C" w:rsidRDefault="006D0638">
    <w:pPr>
      <w:pStyle w:val="Textoindependiente"/>
      <w:spacing w:line="14" w:lineRule="auto"/>
      <w:rPr>
        <w:sz w:val="18"/>
      </w:rPr>
    </w:pPr>
    <w:r>
      <w:rPr>
        <w:noProof/>
        <w:lang w:bidi="ar-SA"/>
      </w:rPr>
      <mc:AlternateContent>
        <mc:Choice Requires="wps">
          <w:drawing>
            <wp:anchor distT="0" distB="0" distL="114300" distR="114300" simplePos="0" relativeHeight="251657216" behindDoc="1" locked="0" layoutInCell="1" allowOverlap="1" wp14:anchorId="42DFF234" wp14:editId="245B9660">
              <wp:simplePos x="0" y="0"/>
              <wp:positionH relativeFrom="page">
                <wp:posOffset>6454775</wp:posOffset>
              </wp:positionH>
              <wp:positionV relativeFrom="page">
                <wp:posOffset>9263380</wp:posOffset>
              </wp:positionV>
              <wp:extent cx="626745" cy="189865"/>
              <wp:effectExtent l="0" t="0" r="0" b="0"/>
              <wp:wrapNone/>
              <wp:docPr id="38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3DF6A" w14:textId="77777777" w:rsidR="00C6733C" w:rsidRDefault="006D0638">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Pr>
                              <w:rFonts w:ascii="Cambria" w:hAnsi="Cambria"/>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26" type="#_x0000_t202" style="position:absolute;margin-left:508.25pt;margin-top:729.4pt;width:49.35pt;height:1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eE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A4w46aBJD3TU6FaMKPBi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" filled="f" stroked="f">
              <v:textbox inset="0,0,0,0">
                <w:txbxContent>
                  <w:p>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Pr>
                        <w:rFonts w:ascii="Cambria" w:hAnsi="Cambria"/>
                        <w:noProof/>
                      </w:rPr>
                      <w:t>81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226A" w14:textId="77777777" w:rsidR="006D0638" w:rsidRDefault="006D0638">
      <w:r>
        <w:separator/>
      </w:r>
    </w:p>
  </w:footnote>
  <w:footnote w:type="continuationSeparator" w:id="0">
    <w:p w14:paraId="2FE5CDD6" w14:textId="77777777" w:rsidR="006D0638" w:rsidRDefault="006D0638">
      <w:r>
        <w:continuationSeparator/>
      </w:r>
    </w:p>
  </w:footnote>
  <w:footnote w:id="1">
    <w:p w14:paraId="68A4A069" w14:textId="77777777" w:rsidR="00C6733C" w:rsidRDefault="006D0638">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w:t>
      </w:r>
      <w:hyperlink r:id="rId1" w:history="1">
        <w:r>
          <w:rPr>
            <w:rStyle w:val="Hipervnculo"/>
            <w:rFonts w:cstheme="minorHAnsi"/>
            <w:sz w:val="16"/>
            <w:szCs w:val="16"/>
          </w:rPr>
          <w:t>https://www.imf.org/es/Publications/WEO/Issues/2019/10/01/world-economic-outlook-october-2019</w:t>
        </w:r>
      </w:hyperlink>
    </w:p>
  </w:footnote>
  <w:footnote w:id="2">
    <w:p w14:paraId="0EAADD8D" w14:textId="77777777" w:rsidR="00C6733C" w:rsidRDefault="006D0638">
      <w:pPr>
        <w:jc w:val="both"/>
        <w:rPr>
          <w:rFonts w:cstheme="minorHAnsi"/>
          <w:sz w:val="16"/>
          <w:szCs w:val="16"/>
        </w:rPr>
      </w:pPr>
      <w:r>
        <w:rPr>
          <w:rFonts w:cstheme="minorHAnsi"/>
          <w:sz w:val="16"/>
          <w:szCs w:val="16"/>
          <w:vertAlign w:val="superscript"/>
        </w:rPr>
        <w:footnoteRef/>
      </w:r>
      <w:r>
        <w:rPr>
          <w:rFonts w:cstheme="minorHAnsi"/>
          <w:sz w:val="16"/>
          <w:szCs w:val="16"/>
          <w:vertAlign w:val="superscript"/>
        </w:rPr>
        <w:t xml:space="preserve"> </w:t>
      </w:r>
      <w:r>
        <w:rPr>
          <w:rFonts w:cstheme="minorHAnsi"/>
          <w:sz w:val="16"/>
          <w:szCs w:val="16"/>
        </w:rPr>
        <w:t xml:space="preserve">Disponible en </w:t>
      </w:r>
      <w:hyperlink r:id="rId2" w:history="1">
        <w:r>
          <w:rPr>
            <w:rStyle w:val="Hipervnculo"/>
            <w:rFonts w:cstheme="minorHAnsi"/>
            <w:sz w:val="16"/>
            <w:szCs w:val="16"/>
          </w:rPr>
          <w:t>https://www.banxico.org.mx/publicaciones-y-prensa/encuestas-sobre-las-expectativas-de-los-especialis/encuestas-expectativas-del-se.html</w:t>
        </w:r>
      </w:hyperlink>
    </w:p>
  </w:footnote>
  <w:footnote w:id="3">
    <w:p w14:paraId="4C0211EF" w14:textId="77777777" w:rsidR="00C6733C" w:rsidRDefault="006D0638">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La E</w:t>
      </w:r>
      <w:r>
        <w:rPr>
          <w:rFonts w:cstheme="minorHAnsi"/>
          <w:sz w:val="16"/>
          <w:szCs w:val="16"/>
        </w:rPr>
        <w:t>NOE considera en este rubro a la población de 15 años en adelante.</w:t>
      </w:r>
    </w:p>
  </w:footnote>
  <w:footnote w:id="4">
    <w:p w14:paraId="0676E202" w14:textId="77777777" w:rsidR="00C6733C" w:rsidRDefault="006D0638">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Artículo 1 de la Ley Estatal de Presupuesto y Responsabilidad Hacendaria.</w:t>
      </w:r>
    </w:p>
  </w:footnote>
  <w:footnote w:id="5">
    <w:p w14:paraId="19C91496" w14:textId="77777777" w:rsidR="00C6733C" w:rsidRDefault="006D0638">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w:t>
      </w:r>
      <w:r>
        <w:rPr>
          <w:rFonts w:cstheme="minorHAnsi"/>
          <w:sz w:val="16"/>
          <w:szCs w:val="16"/>
          <w:lang w:bidi="es-ES"/>
        </w:rPr>
        <w:t>Artículo 2 fracción XX de la Ley Estatal de Presupuesto y responsabilidad Hacendaria.</w:t>
      </w:r>
    </w:p>
  </w:footnote>
  <w:footnote w:id="6">
    <w:p w14:paraId="52277843" w14:textId="77777777" w:rsidR="00C6733C" w:rsidRDefault="006D0638">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Para el 2019 no se realizó por parte de la SHCP la evaluación para revisar el avance de la implementación del PbR-SED.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E893B" w14:textId="77777777" w:rsidR="00C6733C" w:rsidRDefault="006D0638">
    <w:pPr>
      <w:pStyle w:val="Encabezado"/>
    </w:pPr>
    <w:r>
      <w:rPr>
        <w:noProof/>
      </w:rPr>
      <w:drawing>
        <wp:anchor distT="0" distB="0" distL="114300" distR="114300" simplePos="0" relativeHeight="251693056" behindDoc="1" locked="0" layoutInCell="1" allowOverlap="1" wp14:anchorId="1E455867" wp14:editId="655D2EF9">
          <wp:simplePos x="0" y="0"/>
          <wp:positionH relativeFrom="column">
            <wp:posOffset>-66675</wp:posOffset>
          </wp:positionH>
          <wp:positionV relativeFrom="paragraph">
            <wp:posOffset>-209550</wp:posOffset>
          </wp:positionV>
          <wp:extent cx="1517015" cy="1504950"/>
          <wp:effectExtent l="0" t="0" r="6985" b="0"/>
          <wp:wrapNone/>
          <wp:docPr id="24" name="Imagen 24"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FA556C"/>
    <w:multiLevelType w:val="hybridMultilevel"/>
    <w:tmpl w:val="F53EF6D4"/>
    <w:lvl w:ilvl="0" w:tplc="080A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91AB7"/>
    <w:multiLevelType w:val="hybridMultilevel"/>
    <w:tmpl w:val="9CE6B328"/>
    <w:lvl w:ilvl="0" w:tplc="33DE4C7C">
      <w:start w:val="1"/>
      <w:numFmt w:val="upperRoman"/>
      <w:lvlText w:val="%1."/>
      <w:lvlJc w:val="right"/>
      <w:pPr>
        <w:ind w:left="1376" w:hanging="524"/>
        <w:jc w:val="right"/>
      </w:pPr>
      <w:rPr>
        <w:rFonts w:hint="default"/>
        <w:w w:val="100"/>
        <w:sz w:val="19"/>
        <w:szCs w:val="19"/>
        <w:lang w:val="es-MX" w:eastAsia="es-MX" w:bidi="es-MX"/>
      </w:rPr>
    </w:lvl>
    <w:lvl w:ilvl="1" w:tplc="080A0013">
      <w:start w:val="1"/>
      <w:numFmt w:val="upperRoman"/>
      <w:lvlText w:val="%2."/>
      <w:lvlJc w:val="right"/>
      <w:pPr>
        <w:ind w:left="1273" w:hanging="627"/>
        <w:jc w:val="right"/>
      </w:pPr>
      <w:rPr>
        <w:rFonts w:hint="default"/>
        <w:w w:val="100"/>
        <w:sz w:val="19"/>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2" w15:restartNumberingAfterBreak="0">
    <w:nsid w:val="041A1970"/>
    <w:multiLevelType w:val="hybridMultilevel"/>
    <w:tmpl w:val="4192D632"/>
    <w:lvl w:ilvl="0" w:tplc="E79CEA10">
      <w:start w:val="1"/>
      <w:numFmt w:val="lowerLetter"/>
      <w:lvlText w:val="%1)"/>
      <w:lvlJc w:val="left"/>
      <w:pPr>
        <w:ind w:left="1059" w:hanging="351"/>
      </w:pPr>
      <w:rPr>
        <w:rFonts w:asciiTheme="minorHAnsi" w:eastAsia="Arial" w:hAnsiTheme="minorHAnsi" w:cstheme="minorHAnsi" w:hint="default"/>
        <w:spacing w:val="-1"/>
        <w:w w:val="100"/>
        <w:sz w:val="22"/>
        <w:szCs w:val="22"/>
        <w:lang w:val="es-MX" w:eastAsia="es-MX" w:bidi="es-MX"/>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3" w15:restartNumberingAfterBreak="0">
    <w:nsid w:val="142E60F4"/>
    <w:multiLevelType w:val="hybridMultilevel"/>
    <w:tmpl w:val="84B4878A"/>
    <w:lvl w:ilvl="0" w:tplc="080A0013">
      <w:start w:val="1"/>
      <w:numFmt w:val="upperRoman"/>
      <w:lvlText w:val="%1."/>
      <w:lvlJc w:val="right"/>
      <w:pPr>
        <w:ind w:left="916" w:hanging="348"/>
      </w:pPr>
      <w:rPr>
        <w:rFonts w:hint="default"/>
        <w:w w:val="100"/>
        <w:sz w:val="19"/>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4" w15:restartNumberingAfterBreak="0">
    <w:nsid w:val="1BC7591A"/>
    <w:multiLevelType w:val="hybridMultilevel"/>
    <w:tmpl w:val="5D9E02FE"/>
    <w:lvl w:ilvl="0" w:tplc="BF9E894A">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1FC0756E"/>
    <w:multiLevelType w:val="hybridMultilevel"/>
    <w:tmpl w:val="99F01F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7F39C3"/>
    <w:multiLevelType w:val="hybridMultilevel"/>
    <w:tmpl w:val="02305286"/>
    <w:lvl w:ilvl="0" w:tplc="1BE46F18">
      <w:start w:val="1"/>
      <w:numFmt w:val="upperRoman"/>
      <w:lvlText w:val="%1."/>
      <w:lvlJc w:val="left"/>
      <w:pPr>
        <w:ind w:left="1273" w:hanging="627"/>
        <w:jc w:val="right"/>
      </w:pPr>
      <w:rPr>
        <w:rFonts w:ascii="Arial" w:eastAsia="Arial" w:hAnsi="Arial" w:cs="Arial" w:hint="default"/>
        <w:w w:val="100"/>
        <w:sz w:val="19"/>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7" w15:restartNumberingAfterBreak="0">
    <w:nsid w:val="231462E6"/>
    <w:multiLevelType w:val="hybridMultilevel"/>
    <w:tmpl w:val="F1B06DBE"/>
    <w:lvl w:ilvl="0" w:tplc="080A0013">
      <w:start w:val="1"/>
      <w:numFmt w:val="upperRoman"/>
      <w:lvlText w:val="%1."/>
      <w:lvlJc w:val="right"/>
      <w:pPr>
        <w:ind w:left="1273" w:hanging="348"/>
      </w:pPr>
      <w:rPr>
        <w:rFonts w:hint="default"/>
        <w:w w:val="100"/>
        <w:sz w:val="19"/>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8" w15:restartNumberingAfterBreak="0">
    <w:nsid w:val="2F7E1F9C"/>
    <w:multiLevelType w:val="hybridMultilevel"/>
    <w:tmpl w:val="E48EA406"/>
    <w:lvl w:ilvl="0" w:tplc="BD34094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2367FAD"/>
    <w:multiLevelType w:val="hybridMultilevel"/>
    <w:tmpl w:val="9A10DC86"/>
    <w:lvl w:ilvl="0" w:tplc="8012AE7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3311E75"/>
    <w:multiLevelType w:val="hybridMultilevel"/>
    <w:tmpl w:val="5F560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750765"/>
    <w:multiLevelType w:val="hybridMultilevel"/>
    <w:tmpl w:val="4CD286DA"/>
    <w:lvl w:ilvl="0" w:tplc="7EB0A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11E66"/>
    <w:multiLevelType w:val="hybridMultilevel"/>
    <w:tmpl w:val="03E494DA"/>
    <w:lvl w:ilvl="0" w:tplc="1674E760">
      <w:start w:val="1"/>
      <w:numFmt w:val="lowerLetter"/>
      <w:lvlText w:val="%1)"/>
      <w:lvlJc w:val="left"/>
      <w:pPr>
        <w:ind w:left="1261" w:hanging="348"/>
      </w:pPr>
      <w:rPr>
        <w:rFonts w:ascii="Arial" w:eastAsia="Arial" w:hAnsi="Arial" w:cs="Arial" w:hint="default"/>
        <w:w w:val="99"/>
        <w:sz w:val="19"/>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13" w15:restartNumberingAfterBreak="0">
    <w:nsid w:val="417F6475"/>
    <w:multiLevelType w:val="hybridMultilevel"/>
    <w:tmpl w:val="F728599C"/>
    <w:lvl w:ilvl="0" w:tplc="7AC09DD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CB177C8"/>
    <w:multiLevelType w:val="hybridMultilevel"/>
    <w:tmpl w:val="2322389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5B7B4025"/>
    <w:multiLevelType w:val="hybridMultilevel"/>
    <w:tmpl w:val="5D54DB24"/>
    <w:lvl w:ilvl="0" w:tplc="080A0013">
      <w:start w:val="1"/>
      <w:numFmt w:val="upperRoman"/>
      <w:lvlText w:val="%1."/>
      <w:lvlJc w:val="right"/>
      <w:pPr>
        <w:ind w:left="1633" w:hanging="348"/>
        <w:jc w:val="right"/>
      </w:pPr>
      <w:rPr>
        <w:rFonts w:hint="default"/>
        <w:spacing w:val="0"/>
        <w:w w:val="100"/>
        <w:sz w:val="19"/>
        <w:szCs w:val="19"/>
        <w:lang w:val="es-MX" w:eastAsia="es-MX" w:bidi="es-MX"/>
      </w:rPr>
    </w:lvl>
    <w:lvl w:ilvl="1" w:tplc="080A0013">
      <w:start w:val="1"/>
      <w:numFmt w:val="upperRoman"/>
      <w:lvlText w:val="%2."/>
      <w:lvlJc w:val="right"/>
      <w:pPr>
        <w:ind w:left="348" w:hanging="348"/>
        <w:jc w:val="right"/>
      </w:pPr>
      <w:rPr>
        <w:rFonts w:hint="default"/>
        <w:w w:val="100"/>
        <w:sz w:val="19"/>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16" w15:restartNumberingAfterBreak="0">
    <w:nsid w:val="5D815E91"/>
    <w:multiLevelType w:val="hybridMultilevel"/>
    <w:tmpl w:val="E892F004"/>
    <w:lvl w:ilvl="0" w:tplc="5128C1E0">
      <w:start w:val="1"/>
      <w:numFmt w:val="upperRoman"/>
      <w:lvlText w:val="%1."/>
      <w:lvlJc w:val="left"/>
      <w:pPr>
        <w:ind w:left="1273" w:hanging="348"/>
      </w:pPr>
      <w:rPr>
        <w:rFonts w:ascii="Arial" w:eastAsia="Arial" w:hAnsi="Arial" w:cs="Arial" w:hint="default"/>
        <w:w w:val="100"/>
        <w:sz w:val="19"/>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17" w15:restartNumberingAfterBreak="0">
    <w:nsid w:val="5D9F5F93"/>
    <w:multiLevelType w:val="hybridMultilevel"/>
    <w:tmpl w:val="81181972"/>
    <w:lvl w:ilvl="0" w:tplc="4DC02C50">
      <w:start w:val="1"/>
      <w:numFmt w:val="decimal"/>
      <w:lvlText w:val="%1."/>
      <w:lvlJc w:val="left"/>
      <w:pPr>
        <w:ind w:left="720" w:hanging="360"/>
      </w:pPr>
      <w:rPr>
        <w:rFonts w:eastAsia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2B6157"/>
    <w:multiLevelType w:val="hybridMultilevel"/>
    <w:tmpl w:val="E612E142"/>
    <w:lvl w:ilvl="0" w:tplc="080A0013">
      <w:start w:val="1"/>
      <w:numFmt w:val="upperRoman"/>
      <w:lvlText w:val="%1."/>
      <w:lvlJc w:val="right"/>
      <w:pPr>
        <w:ind w:left="1633" w:hanging="348"/>
      </w:pPr>
      <w:rPr>
        <w:rFonts w:hint="default"/>
        <w:spacing w:val="0"/>
        <w:w w:val="100"/>
        <w:sz w:val="19"/>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19" w15:restartNumberingAfterBreak="0">
    <w:nsid w:val="69288BC1"/>
    <w:multiLevelType w:val="hybridMultilevel"/>
    <w:tmpl w:val="41864212"/>
    <w:lvl w:ilvl="0" w:tplc="FFFFFFFF">
      <w:start w:val="1"/>
      <w:numFmt w:val="upperRoman"/>
      <w:lvlText w:val="%1"/>
      <w:lvlJc w:val="left"/>
    </w:lvl>
    <w:lvl w:ilvl="1" w:tplc="9EEE9E02">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060CB7"/>
    <w:multiLevelType w:val="hybridMultilevel"/>
    <w:tmpl w:val="0780F41E"/>
    <w:lvl w:ilvl="0" w:tplc="080A0013">
      <w:start w:val="1"/>
      <w:numFmt w:val="upperRoman"/>
      <w:lvlText w:val="%1."/>
      <w:lvlJc w:val="right"/>
      <w:rPr>
        <w:rFonts w:hint="default"/>
        <w:w w:val="100"/>
        <w:sz w:val="19"/>
        <w:szCs w:val="19"/>
        <w:lang w:val="es-MX" w:eastAsia="es-MX" w:bidi="es-MX"/>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16"/>
  </w:num>
  <w:num w:numId="4">
    <w:abstractNumId w:val="12"/>
  </w:num>
  <w:num w:numId="5">
    <w:abstractNumId w:val="15"/>
  </w:num>
  <w:num w:numId="6">
    <w:abstractNumId w:val="18"/>
  </w:num>
  <w:num w:numId="7">
    <w:abstractNumId w:val="6"/>
  </w:num>
  <w:num w:numId="8">
    <w:abstractNumId w:val="1"/>
  </w:num>
  <w:num w:numId="9">
    <w:abstractNumId w:val="2"/>
  </w:num>
  <w:num w:numId="10">
    <w:abstractNumId w:val="11"/>
  </w:num>
  <w:num w:numId="11">
    <w:abstractNumId w:val="9"/>
  </w:num>
  <w:num w:numId="12">
    <w:abstractNumId w:val="20"/>
  </w:num>
  <w:num w:numId="13">
    <w:abstractNumId w:val="19"/>
  </w:num>
  <w:num w:numId="14">
    <w:abstractNumId w:val="8"/>
  </w:num>
  <w:num w:numId="15">
    <w:abstractNumId w:val="4"/>
  </w:num>
  <w:num w:numId="16">
    <w:abstractNumId w:val="0"/>
  </w:num>
  <w:num w:numId="17">
    <w:abstractNumId w:val="5"/>
  </w:num>
  <w:num w:numId="18">
    <w:abstractNumId w:val="13"/>
  </w:num>
  <w:num w:numId="19">
    <w:abstractNumId w:val="14"/>
  </w:num>
  <w:num w:numId="20">
    <w:abstractNumId w:val="10"/>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3C"/>
    <w:rsid w:val="00024B61"/>
    <w:rsid w:val="006D0638"/>
    <w:rsid w:val="00C67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2032A"/>
  <w15:docId w15:val="{25FF6171-6790-46A0-A7CF-989BBE11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spacing w:after="0" w:line="240" w:lineRule="auto"/>
    </w:pPr>
    <w:rPr>
      <w:rFonts w:ascii="Calibri" w:eastAsia="Calibri" w:hAnsi="Calibri" w:cs="Calibri"/>
      <w:lang w:eastAsia="es-MX" w:bidi="es-MX"/>
    </w:rPr>
  </w:style>
  <w:style w:type="paragraph" w:styleId="Ttulo1">
    <w:name w:val="heading 1"/>
    <w:basedOn w:val="Normal"/>
    <w:link w:val="Ttulo1Car"/>
    <w:uiPriority w:val="9"/>
    <w:qFormat/>
    <w:pPr>
      <w:ind w:left="3984"/>
      <w:jc w:val="center"/>
      <w:outlineLvl w:val="0"/>
    </w:pPr>
    <w:rPr>
      <w:rFonts w:ascii="Arial" w:eastAsia="Arial" w:hAnsi="Arial" w:cs="Arial"/>
      <w:b/>
      <w:bCs/>
      <w:sz w:val="24"/>
      <w:szCs w:val="24"/>
    </w:rPr>
  </w:style>
  <w:style w:type="paragraph" w:styleId="Ttulo2">
    <w:name w:val="heading 2"/>
    <w:basedOn w:val="Normal"/>
    <w:link w:val="Ttulo2Car"/>
    <w:uiPriority w:val="9"/>
    <w:qFormat/>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paragraph" w:styleId="Ttulo3">
    <w:name w:val="heading 3"/>
    <w:basedOn w:val="Normal"/>
    <w:next w:val="Normal"/>
    <w:link w:val="Ttulo3Car"/>
    <w:uiPriority w:val="9"/>
    <w:unhideWhenUsed/>
    <w:qFormat/>
    <w:pPr>
      <w:keepNext/>
      <w:keepLines/>
      <w:widowControl/>
      <w:autoSpaceDE/>
      <w:autoSpaceDN/>
      <w:spacing w:before="360" w:after="480"/>
      <w:ind w:left="862" w:hanging="720"/>
      <w:jc w:val="both"/>
      <w:outlineLvl w:val="2"/>
    </w:pPr>
    <w:rPr>
      <w:rFonts w:ascii="Arial" w:eastAsia="Times New Roman" w:hAnsi="Arial" w:cs="Times New Roman"/>
      <w:color w:val="595959" w:themeColor="text1" w:themeTint="A6"/>
      <w:szCs w:val="24"/>
      <w:lang w:val="es-ES" w:eastAsia="en-US" w:bidi="ar-SA"/>
    </w:rPr>
  </w:style>
  <w:style w:type="paragraph" w:styleId="Ttulo4">
    <w:name w:val="heading 4"/>
    <w:basedOn w:val="Normal"/>
    <w:next w:val="Normal"/>
    <w:link w:val="Ttulo4Car"/>
    <w:uiPriority w:val="9"/>
    <w:unhideWhenUsed/>
    <w:qFormat/>
    <w:pPr>
      <w:keepNext/>
      <w:keepLines/>
      <w:widowControl/>
      <w:autoSpaceDE/>
      <w:autoSpaceDN/>
      <w:spacing w:before="40" w:beforeAutospacing="1" w:afterAutospacing="1" w:line="360" w:lineRule="auto"/>
      <w:ind w:left="864" w:hanging="864"/>
      <w:jc w:val="both"/>
      <w:outlineLvl w:val="3"/>
    </w:pPr>
    <w:rPr>
      <w:rFonts w:ascii="Cambria" w:eastAsia="Times New Roman" w:hAnsi="Cambria" w:cs="Times New Roman"/>
      <w:i/>
      <w:iCs/>
      <w:color w:val="365F91"/>
      <w:lang w:val="es-ES" w:eastAsia="en-US" w:bidi="ar-SA"/>
    </w:rPr>
  </w:style>
  <w:style w:type="paragraph" w:styleId="Ttulo5">
    <w:name w:val="heading 5"/>
    <w:basedOn w:val="Normal"/>
    <w:next w:val="Normal"/>
    <w:link w:val="Ttulo5Car"/>
    <w:uiPriority w:val="9"/>
    <w:unhideWhenUsed/>
    <w:qFormat/>
    <w:pPr>
      <w:keepNext/>
      <w:keepLines/>
      <w:widowControl/>
      <w:autoSpaceDE/>
      <w:autoSpaceDN/>
      <w:spacing w:before="40" w:beforeAutospacing="1" w:afterAutospacing="1" w:line="360" w:lineRule="auto"/>
      <w:ind w:left="1008" w:hanging="1008"/>
      <w:jc w:val="both"/>
      <w:outlineLvl w:val="4"/>
    </w:pPr>
    <w:rPr>
      <w:rFonts w:ascii="Cambria" w:eastAsia="Times New Roman" w:hAnsi="Cambria" w:cs="Times New Roman"/>
      <w:color w:val="365F91"/>
      <w:lang w:val="es-ES" w:eastAsia="en-US" w:bidi="ar-SA"/>
    </w:rPr>
  </w:style>
  <w:style w:type="paragraph" w:styleId="Ttulo6">
    <w:name w:val="heading 6"/>
    <w:basedOn w:val="Normal"/>
    <w:next w:val="Normal"/>
    <w:link w:val="Ttulo6Car"/>
    <w:uiPriority w:val="9"/>
    <w:semiHidden/>
    <w:unhideWhenUsed/>
    <w:qFormat/>
    <w:pPr>
      <w:keepNext/>
      <w:keepLines/>
      <w:widowControl/>
      <w:autoSpaceDE/>
      <w:autoSpaceDN/>
      <w:spacing w:before="40" w:beforeAutospacing="1" w:afterAutospacing="1" w:line="360" w:lineRule="auto"/>
      <w:ind w:left="1152" w:hanging="1152"/>
      <w:jc w:val="both"/>
      <w:outlineLvl w:val="5"/>
    </w:pPr>
    <w:rPr>
      <w:rFonts w:ascii="Cambria" w:eastAsia="Times New Roman" w:hAnsi="Cambria" w:cs="Times New Roman"/>
      <w:color w:val="243F60"/>
      <w:lang w:val="es-ES" w:eastAsia="en-US" w:bidi="ar-SA"/>
    </w:rPr>
  </w:style>
  <w:style w:type="paragraph" w:styleId="Ttulo7">
    <w:name w:val="heading 7"/>
    <w:basedOn w:val="Normal"/>
    <w:next w:val="Normal"/>
    <w:link w:val="Ttulo7Car"/>
    <w:uiPriority w:val="9"/>
    <w:semiHidden/>
    <w:unhideWhenUsed/>
    <w:qFormat/>
    <w:pPr>
      <w:keepNext/>
      <w:keepLines/>
      <w:widowControl/>
      <w:autoSpaceDE/>
      <w:autoSpaceDN/>
      <w:spacing w:before="40" w:beforeAutospacing="1" w:afterAutospacing="1" w:line="360" w:lineRule="auto"/>
      <w:ind w:left="1296" w:hanging="1296"/>
      <w:jc w:val="both"/>
      <w:outlineLvl w:val="6"/>
    </w:pPr>
    <w:rPr>
      <w:rFonts w:ascii="Cambria" w:eastAsia="Times New Roman" w:hAnsi="Cambria" w:cs="Times New Roman"/>
      <w:i/>
      <w:iCs/>
      <w:color w:val="243F60"/>
      <w:lang w:val="es-ES" w:eastAsia="en-US" w:bidi="ar-SA"/>
    </w:rPr>
  </w:style>
  <w:style w:type="paragraph" w:styleId="Ttulo8">
    <w:name w:val="heading 8"/>
    <w:basedOn w:val="Normal"/>
    <w:next w:val="Normal"/>
    <w:link w:val="Ttulo8Car"/>
    <w:uiPriority w:val="9"/>
    <w:semiHidden/>
    <w:unhideWhenUsed/>
    <w:qFormat/>
    <w:pPr>
      <w:keepNext/>
      <w:keepLines/>
      <w:widowControl/>
      <w:autoSpaceDE/>
      <w:autoSpaceDN/>
      <w:spacing w:before="40" w:beforeAutospacing="1" w:afterAutospacing="1" w:line="360" w:lineRule="auto"/>
      <w:ind w:left="1440" w:hanging="1440"/>
      <w:jc w:val="both"/>
      <w:outlineLvl w:val="7"/>
    </w:pPr>
    <w:rPr>
      <w:rFonts w:ascii="Cambria" w:eastAsia="Times New Roman" w:hAnsi="Cambria" w:cs="Times New Roman"/>
      <w:color w:val="272727"/>
      <w:sz w:val="21"/>
      <w:szCs w:val="21"/>
      <w:lang w:val="es-ES" w:eastAsia="en-US" w:bidi="ar-SA"/>
    </w:rPr>
  </w:style>
  <w:style w:type="paragraph" w:styleId="Ttulo9">
    <w:name w:val="heading 9"/>
    <w:basedOn w:val="Normal"/>
    <w:next w:val="Normal"/>
    <w:link w:val="Ttulo9Car"/>
    <w:uiPriority w:val="9"/>
    <w:semiHidden/>
    <w:unhideWhenUsed/>
    <w:qFormat/>
    <w:pPr>
      <w:keepNext/>
      <w:keepLines/>
      <w:widowControl/>
      <w:autoSpaceDE/>
      <w:autoSpaceDN/>
      <w:spacing w:before="40" w:beforeAutospacing="1" w:afterAutospacing="1" w:line="360" w:lineRule="auto"/>
      <w:ind w:left="1584" w:hanging="1584"/>
      <w:jc w:val="both"/>
      <w:outlineLvl w:val="8"/>
    </w:pPr>
    <w:rPr>
      <w:rFonts w:ascii="Cambria" w:eastAsia="Times New Roman" w:hAnsi="Cambria" w:cs="Times New Roman"/>
      <w:i/>
      <w:iCs/>
      <w:color w:val="272727"/>
      <w:sz w:val="21"/>
      <w:szCs w:val="21"/>
      <w:lang w:val="es-E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b/>
      <w:bCs/>
      <w:sz w:val="24"/>
      <w:szCs w:val="24"/>
      <w:lang w:eastAsia="es-MX" w:bidi="es-MX"/>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Pr>
      <w:rFonts w:ascii="Cambria" w:eastAsia="Times New Roman" w:hAnsi="Cambria" w:cs="Times New Roman"/>
      <w:color w:val="243F60"/>
      <w:lang w:val="es-ES"/>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Pr>
      <w:rFonts w:ascii="Arial" w:eastAsia="Arial" w:hAnsi="Arial" w:cs="Arial"/>
      <w:sz w:val="24"/>
      <w:szCs w:val="24"/>
      <w:lang w:eastAsia="es-MX" w:bidi="es-MX"/>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Calibri" w:eastAsia="Calibri" w:hAnsi="Calibri" w:cs="Calibri"/>
      <w:lang w:eastAsia="es-MX" w:bidi="es-MX"/>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Calibri" w:eastAsia="Calibri" w:hAnsi="Calibri" w:cs="Calibri"/>
      <w:lang w:eastAsia="es-MX" w:bidi="es-MX"/>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lang w:eastAsia="es-MX" w:bidi="es-MX"/>
    </w:rPr>
  </w:style>
  <w:style w:type="paragraph" w:styleId="Sinespaciado">
    <w:name w:val="No Spacing"/>
    <w:link w:val="SinespaciadoCar"/>
    <w:uiPriority w:val="1"/>
    <w:qFormat/>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qFormat/>
    <w:rPr>
      <w:rFonts w:ascii="Calibri" w:eastAsia="Calibri" w:hAnsi="Calibri" w:cs="Times New Roman"/>
      <w:lang w:val="es-E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lang w:eastAsia="es-MX" w:bidi="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Calibri" w:hAnsi="Calibri" w:cs="Calibri"/>
      <w:b/>
      <w:bCs/>
      <w:sz w:val="20"/>
      <w:szCs w:val="20"/>
      <w:lang w:eastAsia="es-MX" w:bidi="es-MX"/>
    </w:rPr>
  </w:style>
  <w:style w:type="character" w:customStyle="1" w:styleId="Ttulo7Car">
    <w:name w:val="Título 7 Car"/>
    <w:basedOn w:val="Fuentedeprrafopredeter"/>
    <w:link w:val="Ttulo7"/>
    <w:uiPriority w:val="9"/>
    <w:semiHidden/>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Pr>
      <w:rFonts w:ascii="Cambria" w:eastAsia="Times New Roman" w:hAnsi="Cambria" w:cs="Times New Roman"/>
      <w:i/>
      <w:iCs/>
      <w:color w:val="272727"/>
      <w:sz w:val="21"/>
      <w:szCs w:val="21"/>
      <w:lang w:val="es-ES"/>
    </w:rPr>
  </w:style>
  <w:style w:type="paragraph" w:styleId="Textonotapie">
    <w:name w:val="footnote text"/>
    <w:basedOn w:val="Normal"/>
    <w:link w:val="TextonotapieCar"/>
    <w:uiPriority w:val="99"/>
    <w:semiHidden/>
    <w:unhideWhenUsed/>
    <w:pPr>
      <w:widowControl/>
      <w:autoSpaceDE/>
      <w:autoSpaceDN/>
    </w:pPr>
    <w:rPr>
      <w:rFonts w:asciiTheme="minorHAnsi" w:eastAsiaTheme="minorHAnsi" w:hAnsiTheme="minorHAnsi" w:cstheme="minorBidi"/>
      <w:sz w:val="20"/>
      <w:szCs w:val="20"/>
      <w:lang w:eastAsia="en-US" w:bidi="ar-SA"/>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paragraph" w:styleId="Subttulo">
    <w:name w:val="Subtitle"/>
    <w:basedOn w:val="Normal"/>
    <w:next w:val="Normal"/>
    <w:link w:val="SubttuloCar"/>
    <w:uiPriority w:val="11"/>
    <w:qFormat/>
    <w:pPr>
      <w:widowControl/>
      <w:autoSpaceDE/>
      <w:autoSpaceDN/>
      <w:spacing w:after="60" w:line="276" w:lineRule="auto"/>
      <w:jc w:val="center"/>
      <w:outlineLvl w:val="1"/>
    </w:pPr>
    <w:rPr>
      <w:rFonts w:ascii="Cambria" w:eastAsia="Times New Roman" w:hAnsi="Cambria" w:cs="Times New Roman"/>
      <w:sz w:val="24"/>
      <w:szCs w:val="24"/>
      <w:lang w:eastAsia="en-US" w:bidi="ar-SA"/>
    </w:rPr>
  </w:style>
  <w:style w:type="character" w:customStyle="1" w:styleId="SubttuloCar">
    <w:name w:val="Subtítulo Car"/>
    <w:basedOn w:val="Fuentedeprrafopredeter"/>
    <w:link w:val="Subttulo"/>
    <w:uiPriority w:val="11"/>
    <w:rPr>
      <w:rFonts w:ascii="Cambria" w:eastAsia="Times New Roman" w:hAnsi="Cambria" w:cs="Times New Roman"/>
      <w:sz w:val="24"/>
      <w:szCs w:val="24"/>
    </w:rPr>
  </w:style>
  <w:style w:type="paragraph" w:styleId="Descripcin">
    <w:name w:val="caption"/>
    <w:basedOn w:val="Normal"/>
    <w:next w:val="Normal"/>
    <w:unhideWhenUsed/>
    <w:qFormat/>
    <w:pPr>
      <w:widowControl/>
      <w:autoSpaceDE/>
      <w:autoSpaceDN/>
      <w:spacing w:before="100" w:beforeAutospacing="1" w:after="100" w:afterAutospacing="1"/>
      <w:jc w:val="both"/>
    </w:pPr>
    <w:rPr>
      <w:rFonts w:ascii="Arial" w:hAnsi="Arial" w:cs="Times New Roman"/>
      <w:b/>
      <w:bCs/>
      <w:color w:val="4F81BD"/>
      <w:sz w:val="18"/>
      <w:szCs w:val="18"/>
      <w:lang w:val="es-ES" w:eastAsia="en-US" w:bidi="ar-SA"/>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375">
      <w:bodyDiv w:val="1"/>
      <w:marLeft w:val="0"/>
      <w:marRight w:val="0"/>
      <w:marTop w:val="0"/>
      <w:marBottom w:val="0"/>
      <w:divBdr>
        <w:top w:val="none" w:sz="0" w:space="0" w:color="auto"/>
        <w:left w:val="none" w:sz="0" w:space="0" w:color="auto"/>
        <w:bottom w:val="none" w:sz="0" w:space="0" w:color="auto"/>
        <w:right w:val="none" w:sz="0" w:space="0" w:color="auto"/>
      </w:divBdr>
    </w:div>
    <w:div w:id="10037696">
      <w:bodyDiv w:val="1"/>
      <w:marLeft w:val="0"/>
      <w:marRight w:val="0"/>
      <w:marTop w:val="0"/>
      <w:marBottom w:val="0"/>
      <w:divBdr>
        <w:top w:val="none" w:sz="0" w:space="0" w:color="auto"/>
        <w:left w:val="none" w:sz="0" w:space="0" w:color="auto"/>
        <w:bottom w:val="none" w:sz="0" w:space="0" w:color="auto"/>
        <w:right w:val="none" w:sz="0" w:space="0" w:color="auto"/>
      </w:divBdr>
    </w:div>
    <w:div w:id="20740897">
      <w:bodyDiv w:val="1"/>
      <w:marLeft w:val="0"/>
      <w:marRight w:val="0"/>
      <w:marTop w:val="0"/>
      <w:marBottom w:val="0"/>
      <w:divBdr>
        <w:top w:val="none" w:sz="0" w:space="0" w:color="auto"/>
        <w:left w:val="none" w:sz="0" w:space="0" w:color="auto"/>
        <w:bottom w:val="none" w:sz="0" w:space="0" w:color="auto"/>
        <w:right w:val="none" w:sz="0" w:space="0" w:color="auto"/>
      </w:divBdr>
    </w:div>
    <w:div w:id="29187683">
      <w:bodyDiv w:val="1"/>
      <w:marLeft w:val="0"/>
      <w:marRight w:val="0"/>
      <w:marTop w:val="0"/>
      <w:marBottom w:val="0"/>
      <w:divBdr>
        <w:top w:val="none" w:sz="0" w:space="0" w:color="auto"/>
        <w:left w:val="none" w:sz="0" w:space="0" w:color="auto"/>
        <w:bottom w:val="none" w:sz="0" w:space="0" w:color="auto"/>
        <w:right w:val="none" w:sz="0" w:space="0" w:color="auto"/>
      </w:divBdr>
    </w:div>
    <w:div w:id="34895848">
      <w:bodyDiv w:val="1"/>
      <w:marLeft w:val="0"/>
      <w:marRight w:val="0"/>
      <w:marTop w:val="0"/>
      <w:marBottom w:val="0"/>
      <w:divBdr>
        <w:top w:val="none" w:sz="0" w:space="0" w:color="auto"/>
        <w:left w:val="none" w:sz="0" w:space="0" w:color="auto"/>
        <w:bottom w:val="none" w:sz="0" w:space="0" w:color="auto"/>
        <w:right w:val="none" w:sz="0" w:space="0" w:color="auto"/>
      </w:divBdr>
    </w:div>
    <w:div w:id="36780738">
      <w:bodyDiv w:val="1"/>
      <w:marLeft w:val="0"/>
      <w:marRight w:val="0"/>
      <w:marTop w:val="0"/>
      <w:marBottom w:val="0"/>
      <w:divBdr>
        <w:top w:val="none" w:sz="0" w:space="0" w:color="auto"/>
        <w:left w:val="none" w:sz="0" w:space="0" w:color="auto"/>
        <w:bottom w:val="none" w:sz="0" w:space="0" w:color="auto"/>
        <w:right w:val="none" w:sz="0" w:space="0" w:color="auto"/>
      </w:divBdr>
    </w:div>
    <w:div w:id="84497374">
      <w:bodyDiv w:val="1"/>
      <w:marLeft w:val="0"/>
      <w:marRight w:val="0"/>
      <w:marTop w:val="0"/>
      <w:marBottom w:val="0"/>
      <w:divBdr>
        <w:top w:val="none" w:sz="0" w:space="0" w:color="auto"/>
        <w:left w:val="none" w:sz="0" w:space="0" w:color="auto"/>
        <w:bottom w:val="none" w:sz="0" w:space="0" w:color="auto"/>
        <w:right w:val="none" w:sz="0" w:space="0" w:color="auto"/>
      </w:divBdr>
    </w:div>
    <w:div w:id="95559434">
      <w:bodyDiv w:val="1"/>
      <w:marLeft w:val="0"/>
      <w:marRight w:val="0"/>
      <w:marTop w:val="0"/>
      <w:marBottom w:val="0"/>
      <w:divBdr>
        <w:top w:val="none" w:sz="0" w:space="0" w:color="auto"/>
        <w:left w:val="none" w:sz="0" w:space="0" w:color="auto"/>
        <w:bottom w:val="none" w:sz="0" w:space="0" w:color="auto"/>
        <w:right w:val="none" w:sz="0" w:space="0" w:color="auto"/>
      </w:divBdr>
    </w:div>
    <w:div w:id="150482931">
      <w:bodyDiv w:val="1"/>
      <w:marLeft w:val="0"/>
      <w:marRight w:val="0"/>
      <w:marTop w:val="0"/>
      <w:marBottom w:val="0"/>
      <w:divBdr>
        <w:top w:val="none" w:sz="0" w:space="0" w:color="auto"/>
        <w:left w:val="none" w:sz="0" w:space="0" w:color="auto"/>
        <w:bottom w:val="none" w:sz="0" w:space="0" w:color="auto"/>
        <w:right w:val="none" w:sz="0" w:space="0" w:color="auto"/>
      </w:divBdr>
    </w:div>
    <w:div w:id="155532012">
      <w:bodyDiv w:val="1"/>
      <w:marLeft w:val="0"/>
      <w:marRight w:val="0"/>
      <w:marTop w:val="0"/>
      <w:marBottom w:val="0"/>
      <w:divBdr>
        <w:top w:val="none" w:sz="0" w:space="0" w:color="auto"/>
        <w:left w:val="none" w:sz="0" w:space="0" w:color="auto"/>
        <w:bottom w:val="none" w:sz="0" w:space="0" w:color="auto"/>
        <w:right w:val="none" w:sz="0" w:space="0" w:color="auto"/>
      </w:divBdr>
    </w:div>
    <w:div w:id="172427699">
      <w:bodyDiv w:val="1"/>
      <w:marLeft w:val="0"/>
      <w:marRight w:val="0"/>
      <w:marTop w:val="0"/>
      <w:marBottom w:val="0"/>
      <w:divBdr>
        <w:top w:val="none" w:sz="0" w:space="0" w:color="auto"/>
        <w:left w:val="none" w:sz="0" w:space="0" w:color="auto"/>
        <w:bottom w:val="none" w:sz="0" w:space="0" w:color="auto"/>
        <w:right w:val="none" w:sz="0" w:space="0" w:color="auto"/>
      </w:divBdr>
    </w:div>
    <w:div w:id="179666302">
      <w:bodyDiv w:val="1"/>
      <w:marLeft w:val="0"/>
      <w:marRight w:val="0"/>
      <w:marTop w:val="0"/>
      <w:marBottom w:val="0"/>
      <w:divBdr>
        <w:top w:val="none" w:sz="0" w:space="0" w:color="auto"/>
        <w:left w:val="none" w:sz="0" w:space="0" w:color="auto"/>
        <w:bottom w:val="none" w:sz="0" w:space="0" w:color="auto"/>
        <w:right w:val="none" w:sz="0" w:space="0" w:color="auto"/>
      </w:divBdr>
    </w:div>
    <w:div w:id="192886612">
      <w:bodyDiv w:val="1"/>
      <w:marLeft w:val="0"/>
      <w:marRight w:val="0"/>
      <w:marTop w:val="0"/>
      <w:marBottom w:val="0"/>
      <w:divBdr>
        <w:top w:val="none" w:sz="0" w:space="0" w:color="auto"/>
        <w:left w:val="none" w:sz="0" w:space="0" w:color="auto"/>
        <w:bottom w:val="none" w:sz="0" w:space="0" w:color="auto"/>
        <w:right w:val="none" w:sz="0" w:space="0" w:color="auto"/>
      </w:divBdr>
    </w:div>
    <w:div w:id="255136350">
      <w:bodyDiv w:val="1"/>
      <w:marLeft w:val="0"/>
      <w:marRight w:val="0"/>
      <w:marTop w:val="0"/>
      <w:marBottom w:val="0"/>
      <w:divBdr>
        <w:top w:val="none" w:sz="0" w:space="0" w:color="auto"/>
        <w:left w:val="none" w:sz="0" w:space="0" w:color="auto"/>
        <w:bottom w:val="none" w:sz="0" w:space="0" w:color="auto"/>
        <w:right w:val="none" w:sz="0" w:space="0" w:color="auto"/>
      </w:divBdr>
    </w:div>
    <w:div w:id="262298210">
      <w:bodyDiv w:val="1"/>
      <w:marLeft w:val="0"/>
      <w:marRight w:val="0"/>
      <w:marTop w:val="0"/>
      <w:marBottom w:val="0"/>
      <w:divBdr>
        <w:top w:val="none" w:sz="0" w:space="0" w:color="auto"/>
        <w:left w:val="none" w:sz="0" w:space="0" w:color="auto"/>
        <w:bottom w:val="none" w:sz="0" w:space="0" w:color="auto"/>
        <w:right w:val="none" w:sz="0" w:space="0" w:color="auto"/>
      </w:divBdr>
    </w:div>
    <w:div w:id="269439118">
      <w:bodyDiv w:val="1"/>
      <w:marLeft w:val="0"/>
      <w:marRight w:val="0"/>
      <w:marTop w:val="0"/>
      <w:marBottom w:val="0"/>
      <w:divBdr>
        <w:top w:val="none" w:sz="0" w:space="0" w:color="auto"/>
        <w:left w:val="none" w:sz="0" w:space="0" w:color="auto"/>
        <w:bottom w:val="none" w:sz="0" w:space="0" w:color="auto"/>
        <w:right w:val="none" w:sz="0" w:space="0" w:color="auto"/>
      </w:divBdr>
    </w:div>
    <w:div w:id="281421982">
      <w:bodyDiv w:val="1"/>
      <w:marLeft w:val="0"/>
      <w:marRight w:val="0"/>
      <w:marTop w:val="0"/>
      <w:marBottom w:val="0"/>
      <w:divBdr>
        <w:top w:val="none" w:sz="0" w:space="0" w:color="auto"/>
        <w:left w:val="none" w:sz="0" w:space="0" w:color="auto"/>
        <w:bottom w:val="none" w:sz="0" w:space="0" w:color="auto"/>
        <w:right w:val="none" w:sz="0" w:space="0" w:color="auto"/>
      </w:divBdr>
    </w:div>
    <w:div w:id="299657027">
      <w:bodyDiv w:val="1"/>
      <w:marLeft w:val="0"/>
      <w:marRight w:val="0"/>
      <w:marTop w:val="0"/>
      <w:marBottom w:val="0"/>
      <w:divBdr>
        <w:top w:val="none" w:sz="0" w:space="0" w:color="auto"/>
        <w:left w:val="none" w:sz="0" w:space="0" w:color="auto"/>
        <w:bottom w:val="none" w:sz="0" w:space="0" w:color="auto"/>
        <w:right w:val="none" w:sz="0" w:space="0" w:color="auto"/>
      </w:divBdr>
    </w:div>
    <w:div w:id="312107845">
      <w:bodyDiv w:val="1"/>
      <w:marLeft w:val="0"/>
      <w:marRight w:val="0"/>
      <w:marTop w:val="0"/>
      <w:marBottom w:val="0"/>
      <w:divBdr>
        <w:top w:val="none" w:sz="0" w:space="0" w:color="auto"/>
        <w:left w:val="none" w:sz="0" w:space="0" w:color="auto"/>
        <w:bottom w:val="none" w:sz="0" w:space="0" w:color="auto"/>
        <w:right w:val="none" w:sz="0" w:space="0" w:color="auto"/>
      </w:divBdr>
    </w:div>
    <w:div w:id="329406157">
      <w:bodyDiv w:val="1"/>
      <w:marLeft w:val="0"/>
      <w:marRight w:val="0"/>
      <w:marTop w:val="0"/>
      <w:marBottom w:val="0"/>
      <w:divBdr>
        <w:top w:val="none" w:sz="0" w:space="0" w:color="auto"/>
        <w:left w:val="none" w:sz="0" w:space="0" w:color="auto"/>
        <w:bottom w:val="none" w:sz="0" w:space="0" w:color="auto"/>
        <w:right w:val="none" w:sz="0" w:space="0" w:color="auto"/>
      </w:divBdr>
    </w:div>
    <w:div w:id="331494289">
      <w:bodyDiv w:val="1"/>
      <w:marLeft w:val="0"/>
      <w:marRight w:val="0"/>
      <w:marTop w:val="0"/>
      <w:marBottom w:val="0"/>
      <w:divBdr>
        <w:top w:val="none" w:sz="0" w:space="0" w:color="auto"/>
        <w:left w:val="none" w:sz="0" w:space="0" w:color="auto"/>
        <w:bottom w:val="none" w:sz="0" w:space="0" w:color="auto"/>
        <w:right w:val="none" w:sz="0" w:space="0" w:color="auto"/>
      </w:divBdr>
    </w:div>
    <w:div w:id="345209531">
      <w:bodyDiv w:val="1"/>
      <w:marLeft w:val="0"/>
      <w:marRight w:val="0"/>
      <w:marTop w:val="0"/>
      <w:marBottom w:val="0"/>
      <w:divBdr>
        <w:top w:val="none" w:sz="0" w:space="0" w:color="auto"/>
        <w:left w:val="none" w:sz="0" w:space="0" w:color="auto"/>
        <w:bottom w:val="none" w:sz="0" w:space="0" w:color="auto"/>
        <w:right w:val="none" w:sz="0" w:space="0" w:color="auto"/>
      </w:divBdr>
    </w:div>
    <w:div w:id="375935247">
      <w:bodyDiv w:val="1"/>
      <w:marLeft w:val="0"/>
      <w:marRight w:val="0"/>
      <w:marTop w:val="0"/>
      <w:marBottom w:val="0"/>
      <w:divBdr>
        <w:top w:val="none" w:sz="0" w:space="0" w:color="auto"/>
        <w:left w:val="none" w:sz="0" w:space="0" w:color="auto"/>
        <w:bottom w:val="none" w:sz="0" w:space="0" w:color="auto"/>
        <w:right w:val="none" w:sz="0" w:space="0" w:color="auto"/>
      </w:divBdr>
    </w:div>
    <w:div w:id="410078864">
      <w:bodyDiv w:val="1"/>
      <w:marLeft w:val="0"/>
      <w:marRight w:val="0"/>
      <w:marTop w:val="0"/>
      <w:marBottom w:val="0"/>
      <w:divBdr>
        <w:top w:val="none" w:sz="0" w:space="0" w:color="auto"/>
        <w:left w:val="none" w:sz="0" w:space="0" w:color="auto"/>
        <w:bottom w:val="none" w:sz="0" w:space="0" w:color="auto"/>
        <w:right w:val="none" w:sz="0" w:space="0" w:color="auto"/>
      </w:divBdr>
    </w:div>
    <w:div w:id="440295733">
      <w:bodyDiv w:val="1"/>
      <w:marLeft w:val="0"/>
      <w:marRight w:val="0"/>
      <w:marTop w:val="0"/>
      <w:marBottom w:val="0"/>
      <w:divBdr>
        <w:top w:val="none" w:sz="0" w:space="0" w:color="auto"/>
        <w:left w:val="none" w:sz="0" w:space="0" w:color="auto"/>
        <w:bottom w:val="none" w:sz="0" w:space="0" w:color="auto"/>
        <w:right w:val="none" w:sz="0" w:space="0" w:color="auto"/>
      </w:divBdr>
    </w:div>
    <w:div w:id="442456866">
      <w:bodyDiv w:val="1"/>
      <w:marLeft w:val="0"/>
      <w:marRight w:val="0"/>
      <w:marTop w:val="0"/>
      <w:marBottom w:val="0"/>
      <w:divBdr>
        <w:top w:val="none" w:sz="0" w:space="0" w:color="auto"/>
        <w:left w:val="none" w:sz="0" w:space="0" w:color="auto"/>
        <w:bottom w:val="none" w:sz="0" w:space="0" w:color="auto"/>
        <w:right w:val="none" w:sz="0" w:space="0" w:color="auto"/>
      </w:divBdr>
    </w:div>
    <w:div w:id="457139164">
      <w:bodyDiv w:val="1"/>
      <w:marLeft w:val="0"/>
      <w:marRight w:val="0"/>
      <w:marTop w:val="0"/>
      <w:marBottom w:val="0"/>
      <w:divBdr>
        <w:top w:val="none" w:sz="0" w:space="0" w:color="auto"/>
        <w:left w:val="none" w:sz="0" w:space="0" w:color="auto"/>
        <w:bottom w:val="none" w:sz="0" w:space="0" w:color="auto"/>
        <w:right w:val="none" w:sz="0" w:space="0" w:color="auto"/>
      </w:divBdr>
    </w:div>
    <w:div w:id="475222770">
      <w:bodyDiv w:val="1"/>
      <w:marLeft w:val="0"/>
      <w:marRight w:val="0"/>
      <w:marTop w:val="0"/>
      <w:marBottom w:val="0"/>
      <w:divBdr>
        <w:top w:val="none" w:sz="0" w:space="0" w:color="auto"/>
        <w:left w:val="none" w:sz="0" w:space="0" w:color="auto"/>
        <w:bottom w:val="none" w:sz="0" w:space="0" w:color="auto"/>
        <w:right w:val="none" w:sz="0" w:space="0" w:color="auto"/>
      </w:divBdr>
    </w:div>
    <w:div w:id="480199862">
      <w:bodyDiv w:val="1"/>
      <w:marLeft w:val="0"/>
      <w:marRight w:val="0"/>
      <w:marTop w:val="0"/>
      <w:marBottom w:val="0"/>
      <w:divBdr>
        <w:top w:val="none" w:sz="0" w:space="0" w:color="auto"/>
        <w:left w:val="none" w:sz="0" w:space="0" w:color="auto"/>
        <w:bottom w:val="none" w:sz="0" w:space="0" w:color="auto"/>
        <w:right w:val="none" w:sz="0" w:space="0" w:color="auto"/>
      </w:divBdr>
    </w:div>
    <w:div w:id="510609950">
      <w:bodyDiv w:val="1"/>
      <w:marLeft w:val="0"/>
      <w:marRight w:val="0"/>
      <w:marTop w:val="0"/>
      <w:marBottom w:val="0"/>
      <w:divBdr>
        <w:top w:val="none" w:sz="0" w:space="0" w:color="auto"/>
        <w:left w:val="none" w:sz="0" w:space="0" w:color="auto"/>
        <w:bottom w:val="none" w:sz="0" w:space="0" w:color="auto"/>
        <w:right w:val="none" w:sz="0" w:space="0" w:color="auto"/>
      </w:divBdr>
    </w:div>
    <w:div w:id="554199013">
      <w:bodyDiv w:val="1"/>
      <w:marLeft w:val="0"/>
      <w:marRight w:val="0"/>
      <w:marTop w:val="0"/>
      <w:marBottom w:val="0"/>
      <w:divBdr>
        <w:top w:val="none" w:sz="0" w:space="0" w:color="auto"/>
        <w:left w:val="none" w:sz="0" w:space="0" w:color="auto"/>
        <w:bottom w:val="none" w:sz="0" w:space="0" w:color="auto"/>
        <w:right w:val="none" w:sz="0" w:space="0" w:color="auto"/>
      </w:divBdr>
    </w:div>
    <w:div w:id="579678773">
      <w:bodyDiv w:val="1"/>
      <w:marLeft w:val="0"/>
      <w:marRight w:val="0"/>
      <w:marTop w:val="0"/>
      <w:marBottom w:val="0"/>
      <w:divBdr>
        <w:top w:val="none" w:sz="0" w:space="0" w:color="auto"/>
        <w:left w:val="none" w:sz="0" w:space="0" w:color="auto"/>
        <w:bottom w:val="none" w:sz="0" w:space="0" w:color="auto"/>
        <w:right w:val="none" w:sz="0" w:space="0" w:color="auto"/>
      </w:divBdr>
    </w:div>
    <w:div w:id="612788506">
      <w:bodyDiv w:val="1"/>
      <w:marLeft w:val="0"/>
      <w:marRight w:val="0"/>
      <w:marTop w:val="0"/>
      <w:marBottom w:val="0"/>
      <w:divBdr>
        <w:top w:val="none" w:sz="0" w:space="0" w:color="auto"/>
        <w:left w:val="none" w:sz="0" w:space="0" w:color="auto"/>
        <w:bottom w:val="none" w:sz="0" w:space="0" w:color="auto"/>
        <w:right w:val="none" w:sz="0" w:space="0" w:color="auto"/>
      </w:divBdr>
    </w:div>
    <w:div w:id="622468414">
      <w:bodyDiv w:val="1"/>
      <w:marLeft w:val="0"/>
      <w:marRight w:val="0"/>
      <w:marTop w:val="0"/>
      <w:marBottom w:val="0"/>
      <w:divBdr>
        <w:top w:val="none" w:sz="0" w:space="0" w:color="auto"/>
        <w:left w:val="none" w:sz="0" w:space="0" w:color="auto"/>
        <w:bottom w:val="none" w:sz="0" w:space="0" w:color="auto"/>
        <w:right w:val="none" w:sz="0" w:space="0" w:color="auto"/>
      </w:divBdr>
    </w:div>
    <w:div w:id="626735972">
      <w:bodyDiv w:val="1"/>
      <w:marLeft w:val="0"/>
      <w:marRight w:val="0"/>
      <w:marTop w:val="0"/>
      <w:marBottom w:val="0"/>
      <w:divBdr>
        <w:top w:val="none" w:sz="0" w:space="0" w:color="auto"/>
        <w:left w:val="none" w:sz="0" w:space="0" w:color="auto"/>
        <w:bottom w:val="none" w:sz="0" w:space="0" w:color="auto"/>
        <w:right w:val="none" w:sz="0" w:space="0" w:color="auto"/>
      </w:divBdr>
    </w:div>
    <w:div w:id="641736847">
      <w:bodyDiv w:val="1"/>
      <w:marLeft w:val="0"/>
      <w:marRight w:val="0"/>
      <w:marTop w:val="0"/>
      <w:marBottom w:val="0"/>
      <w:divBdr>
        <w:top w:val="none" w:sz="0" w:space="0" w:color="auto"/>
        <w:left w:val="none" w:sz="0" w:space="0" w:color="auto"/>
        <w:bottom w:val="none" w:sz="0" w:space="0" w:color="auto"/>
        <w:right w:val="none" w:sz="0" w:space="0" w:color="auto"/>
      </w:divBdr>
    </w:div>
    <w:div w:id="645860251">
      <w:bodyDiv w:val="1"/>
      <w:marLeft w:val="0"/>
      <w:marRight w:val="0"/>
      <w:marTop w:val="0"/>
      <w:marBottom w:val="0"/>
      <w:divBdr>
        <w:top w:val="none" w:sz="0" w:space="0" w:color="auto"/>
        <w:left w:val="none" w:sz="0" w:space="0" w:color="auto"/>
        <w:bottom w:val="none" w:sz="0" w:space="0" w:color="auto"/>
        <w:right w:val="none" w:sz="0" w:space="0" w:color="auto"/>
      </w:divBdr>
    </w:div>
    <w:div w:id="673580693">
      <w:bodyDiv w:val="1"/>
      <w:marLeft w:val="0"/>
      <w:marRight w:val="0"/>
      <w:marTop w:val="0"/>
      <w:marBottom w:val="0"/>
      <w:divBdr>
        <w:top w:val="none" w:sz="0" w:space="0" w:color="auto"/>
        <w:left w:val="none" w:sz="0" w:space="0" w:color="auto"/>
        <w:bottom w:val="none" w:sz="0" w:space="0" w:color="auto"/>
        <w:right w:val="none" w:sz="0" w:space="0" w:color="auto"/>
      </w:divBdr>
    </w:div>
    <w:div w:id="689523787">
      <w:bodyDiv w:val="1"/>
      <w:marLeft w:val="0"/>
      <w:marRight w:val="0"/>
      <w:marTop w:val="0"/>
      <w:marBottom w:val="0"/>
      <w:divBdr>
        <w:top w:val="none" w:sz="0" w:space="0" w:color="auto"/>
        <w:left w:val="none" w:sz="0" w:space="0" w:color="auto"/>
        <w:bottom w:val="none" w:sz="0" w:space="0" w:color="auto"/>
        <w:right w:val="none" w:sz="0" w:space="0" w:color="auto"/>
      </w:divBdr>
    </w:div>
    <w:div w:id="722288613">
      <w:bodyDiv w:val="1"/>
      <w:marLeft w:val="0"/>
      <w:marRight w:val="0"/>
      <w:marTop w:val="0"/>
      <w:marBottom w:val="0"/>
      <w:divBdr>
        <w:top w:val="none" w:sz="0" w:space="0" w:color="auto"/>
        <w:left w:val="none" w:sz="0" w:space="0" w:color="auto"/>
        <w:bottom w:val="none" w:sz="0" w:space="0" w:color="auto"/>
        <w:right w:val="none" w:sz="0" w:space="0" w:color="auto"/>
      </w:divBdr>
    </w:div>
    <w:div w:id="731537604">
      <w:bodyDiv w:val="1"/>
      <w:marLeft w:val="0"/>
      <w:marRight w:val="0"/>
      <w:marTop w:val="0"/>
      <w:marBottom w:val="0"/>
      <w:divBdr>
        <w:top w:val="none" w:sz="0" w:space="0" w:color="auto"/>
        <w:left w:val="none" w:sz="0" w:space="0" w:color="auto"/>
        <w:bottom w:val="none" w:sz="0" w:space="0" w:color="auto"/>
        <w:right w:val="none" w:sz="0" w:space="0" w:color="auto"/>
      </w:divBdr>
    </w:div>
    <w:div w:id="766387783">
      <w:bodyDiv w:val="1"/>
      <w:marLeft w:val="0"/>
      <w:marRight w:val="0"/>
      <w:marTop w:val="0"/>
      <w:marBottom w:val="0"/>
      <w:divBdr>
        <w:top w:val="none" w:sz="0" w:space="0" w:color="auto"/>
        <w:left w:val="none" w:sz="0" w:space="0" w:color="auto"/>
        <w:bottom w:val="none" w:sz="0" w:space="0" w:color="auto"/>
        <w:right w:val="none" w:sz="0" w:space="0" w:color="auto"/>
      </w:divBdr>
    </w:div>
    <w:div w:id="823934395">
      <w:bodyDiv w:val="1"/>
      <w:marLeft w:val="0"/>
      <w:marRight w:val="0"/>
      <w:marTop w:val="0"/>
      <w:marBottom w:val="0"/>
      <w:divBdr>
        <w:top w:val="none" w:sz="0" w:space="0" w:color="auto"/>
        <w:left w:val="none" w:sz="0" w:space="0" w:color="auto"/>
        <w:bottom w:val="none" w:sz="0" w:space="0" w:color="auto"/>
        <w:right w:val="none" w:sz="0" w:space="0" w:color="auto"/>
      </w:divBdr>
    </w:div>
    <w:div w:id="827088821">
      <w:bodyDiv w:val="1"/>
      <w:marLeft w:val="0"/>
      <w:marRight w:val="0"/>
      <w:marTop w:val="0"/>
      <w:marBottom w:val="0"/>
      <w:divBdr>
        <w:top w:val="none" w:sz="0" w:space="0" w:color="auto"/>
        <w:left w:val="none" w:sz="0" w:space="0" w:color="auto"/>
        <w:bottom w:val="none" w:sz="0" w:space="0" w:color="auto"/>
        <w:right w:val="none" w:sz="0" w:space="0" w:color="auto"/>
      </w:divBdr>
    </w:div>
    <w:div w:id="839465493">
      <w:bodyDiv w:val="1"/>
      <w:marLeft w:val="0"/>
      <w:marRight w:val="0"/>
      <w:marTop w:val="0"/>
      <w:marBottom w:val="0"/>
      <w:divBdr>
        <w:top w:val="none" w:sz="0" w:space="0" w:color="auto"/>
        <w:left w:val="none" w:sz="0" w:space="0" w:color="auto"/>
        <w:bottom w:val="none" w:sz="0" w:space="0" w:color="auto"/>
        <w:right w:val="none" w:sz="0" w:space="0" w:color="auto"/>
      </w:divBdr>
    </w:div>
    <w:div w:id="854733484">
      <w:bodyDiv w:val="1"/>
      <w:marLeft w:val="0"/>
      <w:marRight w:val="0"/>
      <w:marTop w:val="0"/>
      <w:marBottom w:val="0"/>
      <w:divBdr>
        <w:top w:val="none" w:sz="0" w:space="0" w:color="auto"/>
        <w:left w:val="none" w:sz="0" w:space="0" w:color="auto"/>
        <w:bottom w:val="none" w:sz="0" w:space="0" w:color="auto"/>
        <w:right w:val="none" w:sz="0" w:space="0" w:color="auto"/>
      </w:divBdr>
    </w:div>
    <w:div w:id="857424754">
      <w:bodyDiv w:val="1"/>
      <w:marLeft w:val="0"/>
      <w:marRight w:val="0"/>
      <w:marTop w:val="0"/>
      <w:marBottom w:val="0"/>
      <w:divBdr>
        <w:top w:val="none" w:sz="0" w:space="0" w:color="auto"/>
        <w:left w:val="none" w:sz="0" w:space="0" w:color="auto"/>
        <w:bottom w:val="none" w:sz="0" w:space="0" w:color="auto"/>
        <w:right w:val="none" w:sz="0" w:space="0" w:color="auto"/>
      </w:divBdr>
    </w:div>
    <w:div w:id="879441320">
      <w:bodyDiv w:val="1"/>
      <w:marLeft w:val="0"/>
      <w:marRight w:val="0"/>
      <w:marTop w:val="0"/>
      <w:marBottom w:val="0"/>
      <w:divBdr>
        <w:top w:val="none" w:sz="0" w:space="0" w:color="auto"/>
        <w:left w:val="none" w:sz="0" w:space="0" w:color="auto"/>
        <w:bottom w:val="none" w:sz="0" w:space="0" w:color="auto"/>
        <w:right w:val="none" w:sz="0" w:space="0" w:color="auto"/>
      </w:divBdr>
    </w:div>
    <w:div w:id="886798966">
      <w:bodyDiv w:val="1"/>
      <w:marLeft w:val="0"/>
      <w:marRight w:val="0"/>
      <w:marTop w:val="0"/>
      <w:marBottom w:val="0"/>
      <w:divBdr>
        <w:top w:val="none" w:sz="0" w:space="0" w:color="auto"/>
        <w:left w:val="none" w:sz="0" w:space="0" w:color="auto"/>
        <w:bottom w:val="none" w:sz="0" w:space="0" w:color="auto"/>
        <w:right w:val="none" w:sz="0" w:space="0" w:color="auto"/>
      </w:divBdr>
    </w:div>
    <w:div w:id="897327849">
      <w:bodyDiv w:val="1"/>
      <w:marLeft w:val="0"/>
      <w:marRight w:val="0"/>
      <w:marTop w:val="0"/>
      <w:marBottom w:val="0"/>
      <w:divBdr>
        <w:top w:val="none" w:sz="0" w:space="0" w:color="auto"/>
        <w:left w:val="none" w:sz="0" w:space="0" w:color="auto"/>
        <w:bottom w:val="none" w:sz="0" w:space="0" w:color="auto"/>
        <w:right w:val="none" w:sz="0" w:space="0" w:color="auto"/>
      </w:divBdr>
    </w:div>
    <w:div w:id="912005624">
      <w:bodyDiv w:val="1"/>
      <w:marLeft w:val="0"/>
      <w:marRight w:val="0"/>
      <w:marTop w:val="0"/>
      <w:marBottom w:val="0"/>
      <w:divBdr>
        <w:top w:val="none" w:sz="0" w:space="0" w:color="auto"/>
        <w:left w:val="none" w:sz="0" w:space="0" w:color="auto"/>
        <w:bottom w:val="none" w:sz="0" w:space="0" w:color="auto"/>
        <w:right w:val="none" w:sz="0" w:space="0" w:color="auto"/>
      </w:divBdr>
    </w:div>
    <w:div w:id="914709129">
      <w:bodyDiv w:val="1"/>
      <w:marLeft w:val="0"/>
      <w:marRight w:val="0"/>
      <w:marTop w:val="0"/>
      <w:marBottom w:val="0"/>
      <w:divBdr>
        <w:top w:val="none" w:sz="0" w:space="0" w:color="auto"/>
        <w:left w:val="none" w:sz="0" w:space="0" w:color="auto"/>
        <w:bottom w:val="none" w:sz="0" w:space="0" w:color="auto"/>
        <w:right w:val="none" w:sz="0" w:space="0" w:color="auto"/>
      </w:divBdr>
    </w:div>
    <w:div w:id="916522986">
      <w:bodyDiv w:val="1"/>
      <w:marLeft w:val="0"/>
      <w:marRight w:val="0"/>
      <w:marTop w:val="0"/>
      <w:marBottom w:val="0"/>
      <w:divBdr>
        <w:top w:val="none" w:sz="0" w:space="0" w:color="auto"/>
        <w:left w:val="none" w:sz="0" w:space="0" w:color="auto"/>
        <w:bottom w:val="none" w:sz="0" w:space="0" w:color="auto"/>
        <w:right w:val="none" w:sz="0" w:space="0" w:color="auto"/>
      </w:divBdr>
    </w:div>
    <w:div w:id="935017320">
      <w:bodyDiv w:val="1"/>
      <w:marLeft w:val="0"/>
      <w:marRight w:val="0"/>
      <w:marTop w:val="0"/>
      <w:marBottom w:val="0"/>
      <w:divBdr>
        <w:top w:val="none" w:sz="0" w:space="0" w:color="auto"/>
        <w:left w:val="none" w:sz="0" w:space="0" w:color="auto"/>
        <w:bottom w:val="none" w:sz="0" w:space="0" w:color="auto"/>
        <w:right w:val="none" w:sz="0" w:space="0" w:color="auto"/>
      </w:divBdr>
    </w:div>
    <w:div w:id="949437355">
      <w:bodyDiv w:val="1"/>
      <w:marLeft w:val="0"/>
      <w:marRight w:val="0"/>
      <w:marTop w:val="0"/>
      <w:marBottom w:val="0"/>
      <w:divBdr>
        <w:top w:val="none" w:sz="0" w:space="0" w:color="auto"/>
        <w:left w:val="none" w:sz="0" w:space="0" w:color="auto"/>
        <w:bottom w:val="none" w:sz="0" w:space="0" w:color="auto"/>
        <w:right w:val="none" w:sz="0" w:space="0" w:color="auto"/>
      </w:divBdr>
    </w:div>
    <w:div w:id="951087164">
      <w:bodyDiv w:val="1"/>
      <w:marLeft w:val="0"/>
      <w:marRight w:val="0"/>
      <w:marTop w:val="0"/>
      <w:marBottom w:val="0"/>
      <w:divBdr>
        <w:top w:val="none" w:sz="0" w:space="0" w:color="auto"/>
        <w:left w:val="none" w:sz="0" w:space="0" w:color="auto"/>
        <w:bottom w:val="none" w:sz="0" w:space="0" w:color="auto"/>
        <w:right w:val="none" w:sz="0" w:space="0" w:color="auto"/>
      </w:divBdr>
    </w:div>
    <w:div w:id="954940399">
      <w:bodyDiv w:val="1"/>
      <w:marLeft w:val="0"/>
      <w:marRight w:val="0"/>
      <w:marTop w:val="0"/>
      <w:marBottom w:val="0"/>
      <w:divBdr>
        <w:top w:val="none" w:sz="0" w:space="0" w:color="auto"/>
        <w:left w:val="none" w:sz="0" w:space="0" w:color="auto"/>
        <w:bottom w:val="none" w:sz="0" w:space="0" w:color="auto"/>
        <w:right w:val="none" w:sz="0" w:space="0" w:color="auto"/>
      </w:divBdr>
    </w:div>
    <w:div w:id="984621167">
      <w:bodyDiv w:val="1"/>
      <w:marLeft w:val="0"/>
      <w:marRight w:val="0"/>
      <w:marTop w:val="0"/>
      <w:marBottom w:val="0"/>
      <w:divBdr>
        <w:top w:val="none" w:sz="0" w:space="0" w:color="auto"/>
        <w:left w:val="none" w:sz="0" w:space="0" w:color="auto"/>
        <w:bottom w:val="none" w:sz="0" w:space="0" w:color="auto"/>
        <w:right w:val="none" w:sz="0" w:space="0" w:color="auto"/>
      </w:divBdr>
    </w:div>
    <w:div w:id="988873093">
      <w:bodyDiv w:val="1"/>
      <w:marLeft w:val="0"/>
      <w:marRight w:val="0"/>
      <w:marTop w:val="0"/>
      <w:marBottom w:val="0"/>
      <w:divBdr>
        <w:top w:val="none" w:sz="0" w:space="0" w:color="auto"/>
        <w:left w:val="none" w:sz="0" w:space="0" w:color="auto"/>
        <w:bottom w:val="none" w:sz="0" w:space="0" w:color="auto"/>
        <w:right w:val="none" w:sz="0" w:space="0" w:color="auto"/>
      </w:divBdr>
    </w:div>
    <w:div w:id="1037001825">
      <w:bodyDiv w:val="1"/>
      <w:marLeft w:val="0"/>
      <w:marRight w:val="0"/>
      <w:marTop w:val="0"/>
      <w:marBottom w:val="0"/>
      <w:divBdr>
        <w:top w:val="none" w:sz="0" w:space="0" w:color="auto"/>
        <w:left w:val="none" w:sz="0" w:space="0" w:color="auto"/>
        <w:bottom w:val="none" w:sz="0" w:space="0" w:color="auto"/>
        <w:right w:val="none" w:sz="0" w:space="0" w:color="auto"/>
      </w:divBdr>
    </w:div>
    <w:div w:id="1047950892">
      <w:bodyDiv w:val="1"/>
      <w:marLeft w:val="0"/>
      <w:marRight w:val="0"/>
      <w:marTop w:val="0"/>
      <w:marBottom w:val="0"/>
      <w:divBdr>
        <w:top w:val="none" w:sz="0" w:space="0" w:color="auto"/>
        <w:left w:val="none" w:sz="0" w:space="0" w:color="auto"/>
        <w:bottom w:val="none" w:sz="0" w:space="0" w:color="auto"/>
        <w:right w:val="none" w:sz="0" w:space="0" w:color="auto"/>
      </w:divBdr>
    </w:div>
    <w:div w:id="1048147855">
      <w:bodyDiv w:val="1"/>
      <w:marLeft w:val="0"/>
      <w:marRight w:val="0"/>
      <w:marTop w:val="0"/>
      <w:marBottom w:val="0"/>
      <w:divBdr>
        <w:top w:val="none" w:sz="0" w:space="0" w:color="auto"/>
        <w:left w:val="none" w:sz="0" w:space="0" w:color="auto"/>
        <w:bottom w:val="none" w:sz="0" w:space="0" w:color="auto"/>
        <w:right w:val="none" w:sz="0" w:space="0" w:color="auto"/>
      </w:divBdr>
    </w:div>
    <w:div w:id="1067218369">
      <w:bodyDiv w:val="1"/>
      <w:marLeft w:val="0"/>
      <w:marRight w:val="0"/>
      <w:marTop w:val="0"/>
      <w:marBottom w:val="0"/>
      <w:divBdr>
        <w:top w:val="none" w:sz="0" w:space="0" w:color="auto"/>
        <w:left w:val="none" w:sz="0" w:space="0" w:color="auto"/>
        <w:bottom w:val="none" w:sz="0" w:space="0" w:color="auto"/>
        <w:right w:val="none" w:sz="0" w:space="0" w:color="auto"/>
      </w:divBdr>
    </w:div>
    <w:div w:id="1074160323">
      <w:bodyDiv w:val="1"/>
      <w:marLeft w:val="0"/>
      <w:marRight w:val="0"/>
      <w:marTop w:val="0"/>
      <w:marBottom w:val="0"/>
      <w:divBdr>
        <w:top w:val="none" w:sz="0" w:space="0" w:color="auto"/>
        <w:left w:val="none" w:sz="0" w:space="0" w:color="auto"/>
        <w:bottom w:val="none" w:sz="0" w:space="0" w:color="auto"/>
        <w:right w:val="none" w:sz="0" w:space="0" w:color="auto"/>
      </w:divBdr>
    </w:div>
    <w:div w:id="1085422287">
      <w:bodyDiv w:val="1"/>
      <w:marLeft w:val="0"/>
      <w:marRight w:val="0"/>
      <w:marTop w:val="0"/>
      <w:marBottom w:val="0"/>
      <w:divBdr>
        <w:top w:val="none" w:sz="0" w:space="0" w:color="auto"/>
        <w:left w:val="none" w:sz="0" w:space="0" w:color="auto"/>
        <w:bottom w:val="none" w:sz="0" w:space="0" w:color="auto"/>
        <w:right w:val="none" w:sz="0" w:space="0" w:color="auto"/>
      </w:divBdr>
    </w:div>
    <w:div w:id="1085883448">
      <w:bodyDiv w:val="1"/>
      <w:marLeft w:val="0"/>
      <w:marRight w:val="0"/>
      <w:marTop w:val="0"/>
      <w:marBottom w:val="0"/>
      <w:divBdr>
        <w:top w:val="none" w:sz="0" w:space="0" w:color="auto"/>
        <w:left w:val="none" w:sz="0" w:space="0" w:color="auto"/>
        <w:bottom w:val="none" w:sz="0" w:space="0" w:color="auto"/>
        <w:right w:val="none" w:sz="0" w:space="0" w:color="auto"/>
      </w:divBdr>
    </w:div>
    <w:div w:id="1120077355">
      <w:bodyDiv w:val="1"/>
      <w:marLeft w:val="0"/>
      <w:marRight w:val="0"/>
      <w:marTop w:val="0"/>
      <w:marBottom w:val="0"/>
      <w:divBdr>
        <w:top w:val="none" w:sz="0" w:space="0" w:color="auto"/>
        <w:left w:val="none" w:sz="0" w:space="0" w:color="auto"/>
        <w:bottom w:val="none" w:sz="0" w:space="0" w:color="auto"/>
        <w:right w:val="none" w:sz="0" w:space="0" w:color="auto"/>
      </w:divBdr>
    </w:div>
    <w:div w:id="1120294898">
      <w:bodyDiv w:val="1"/>
      <w:marLeft w:val="0"/>
      <w:marRight w:val="0"/>
      <w:marTop w:val="0"/>
      <w:marBottom w:val="0"/>
      <w:divBdr>
        <w:top w:val="none" w:sz="0" w:space="0" w:color="auto"/>
        <w:left w:val="none" w:sz="0" w:space="0" w:color="auto"/>
        <w:bottom w:val="none" w:sz="0" w:space="0" w:color="auto"/>
        <w:right w:val="none" w:sz="0" w:space="0" w:color="auto"/>
      </w:divBdr>
    </w:div>
    <w:div w:id="1142115659">
      <w:bodyDiv w:val="1"/>
      <w:marLeft w:val="0"/>
      <w:marRight w:val="0"/>
      <w:marTop w:val="0"/>
      <w:marBottom w:val="0"/>
      <w:divBdr>
        <w:top w:val="none" w:sz="0" w:space="0" w:color="auto"/>
        <w:left w:val="none" w:sz="0" w:space="0" w:color="auto"/>
        <w:bottom w:val="none" w:sz="0" w:space="0" w:color="auto"/>
        <w:right w:val="none" w:sz="0" w:space="0" w:color="auto"/>
      </w:divBdr>
    </w:div>
    <w:div w:id="1189951679">
      <w:bodyDiv w:val="1"/>
      <w:marLeft w:val="0"/>
      <w:marRight w:val="0"/>
      <w:marTop w:val="0"/>
      <w:marBottom w:val="0"/>
      <w:divBdr>
        <w:top w:val="none" w:sz="0" w:space="0" w:color="auto"/>
        <w:left w:val="none" w:sz="0" w:space="0" w:color="auto"/>
        <w:bottom w:val="none" w:sz="0" w:space="0" w:color="auto"/>
        <w:right w:val="none" w:sz="0" w:space="0" w:color="auto"/>
      </w:divBdr>
    </w:div>
    <w:div w:id="1202286879">
      <w:bodyDiv w:val="1"/>
      <w:marLeft w:val="0"/>
      <w:marRight w:val="0"/>
      <w:marTop w:val="0"/>
      <w:marBottom w:val="0"/>
      <w:divBdr>
        <w:top w:val="none" w:sz="0" w:space="0" w:color="auto"/>
        <w:left w:val="none" w:sz="0" w:space="0" w:color="auto"/>
        <w:bottom w:val="none" w:sz="0" w:space="0" w:color="auto"/>
        <w:right w:val="none" w:sz="0" w:space="0" w:color="auto"/>
      </w:divBdr>
    </w:div>
    <w:div w:id="1228419334">
      <w:bodyDiv w:val="1"/>
      <w:marLeft w:val="0"/>
      <w:marRight w:val="0"/>
      <w:marTop w:val="0"/>
      <w:marBottom w:val="0"/>
      <w:divBdr>
        <w:top w:val="none" w:sz="0" w:space="0" w:color="auto"/>
        <w:left w:val="none" w:sz="0" w:space="0" w:color="auto"/>
        <w:bottom w:val="none" w:sz="0" w:space="0" w:color="auto"/>
        <w:right w:val="none" w:sz="0" w:space="0" w:color="auto"/>
      </w:divBdr>
    </w:div>
    <w:div w:id="1247811111">
      <w:bodyDiv w:val="1"/>
      <w:marLeft w:val="0"/>
      <w:marRight w:val="0"/>
      <w:marTop w:val="0"/>
      <w:marBottom w:val="0"/>
      <w:divBdr>
        <w:top w:val="none" w:sz="0" w:space="0" w:color="auto"/>
        <w:left w:val="none" w:sz="0" w:space="0" w:color="auto"/>
        <w:bottom w:val="none" w:sz="0" w:space="0" w:color="auto"/>
        <w:right w:val="none" w:sz="0" w:space="0" w:color="auto"/>
      </w:divBdr>
    </w:div>
    <w:div w:id="1249268935">
      <w:bodyDiv w:val="1"/>
      <w:marLeft w:val="0"/>
      <w:marRight w:val="0"/>
      <w:marTop w:val="0"/>
      <w:marBottom w:val="0"/>
      <w:divBdr>
        <w:top w:val="none" w:sz="0" w:space="0" w:color="auto"/>
        <w:left w:val="none" w:sz="0" w:space="0" w:color="auto"/>
        <w:bottom w:val="none" w:sz="0" w:space="0" w:color="auto"/>
        <w:right w:val="none" w:sz="0" w:space="0" w:color="auto"/>
      </w:divBdr>
    </w:div>
    <w:div w:id="1258517959">
      <w:bodyDiv w:val="1"/>
      <w:marLeft w:val="0"/>
      <w:marRight w:val="0"/>
      <w:marTop w:val="0"/>
      <w:marBottom w:val="0"/>
      <w:divBdr>
        <w:top w:val="none" w:sz="0" w:space="0" w:color="auto"/>
        <w:left w:val="none" w:sz="0" w:space="0" w:color="auto"/>
        <w:bottom w:val="none" w:sz="0" w:space="0" w:color="auto"/>
        <w:right w:val="none" w:sz="0" w:space="0" w:color="auto"/>
      </w:divBdr>
    </w:div>
    <w:div w:id="1275206474">
      <w:bodyDiv w:val="1"/>
      <w:marLeft w:val="0"/>
      <w:marRight w:val="0"/>
      <w:marTop w:val="0"/>
      <w:marBottom w:val="0"/>
      <w:divBdr>
        <w:top w:val="none" w:sz="0" w:space="0" w:color="auto"/>
        <w:left w:val="none" w:sz="0" w:space="0" w:color="auto"/>
        <w:bottom w:val="none" w:sz="0" w:space="0" w:color="auto"/>
        <w:right w:val="none" w:sz="0" w:space="0" w:color="auto"/>
      </w:divBdr>
    </w:div>
    <w:div w:id="1299608800">
      <w:bodyDiv w:val="1"/>
      <w:marLeft w:val="0"/>
      <w:marRight w:val="0"/>
      <w:marTop w:val="0"/>
      <w:marBottom w:val="0"/>
      <w:divBdr>
        <w:top w:val="none" w:sz="0" w:space="0" w:color="auto"/>
        <w:left w:val="none" w:sz="0" w:space="0" w:color="auto"/>
        <w:bottom w:val="none" w:sz="0" w:space="0" w:color="auto"/>
        <w:right w:val="none" w:sz="0" w:space="0" w:color="auto"/>
      </w:divBdr>
    </w:div>
    <w:div w:id="1307707488">
      <w:bodyDiv w:val="1"/>
      <w:marLeft w:val="0"/>
      <w:marRight w:val="0"/>
      <w:marTop w:val="0"/>
      <w:marBottom w:val="0"/>
      <w:divBdr>
        <w:top w:val="none" w:sz="0" w:space="0" w:color="auto"/>
        <w:left w:val="none" w:sz="0" w:space="0" w:color="auto"/>
        <w:bottom w:val="none" w:sz="0" w:space="0" w:color="auto"/>
        <w:right w:val="none" w:sz="0" w:space="0" w:color="auto"/>
      </w:divBdr>
    </w:div>
    <w:div w:id="1345552096">
      <w:bodyDiv w:val="1"/>
      <w:marLeft w:val="0"/>
      <w:marRight w:val="0"/>
      <w:marTop w:val="0"/>
      <w:marBottom w:val="0"/>
      <w:divBdr>
        <w:top w:val="none" w:sz="0" w:space="0" w:color="auto"/>
        <w:left w:val="none" w:sz="0" w:space="0" w:color="auto"/>
        <w:bottom w:val="none" w:sz="0" w:space="0" w:color="auto"/>
        <w:right w:val="none" w:sz="0" w:space="0" w:color="auto"/>
      </w:divBdr>
    </w:div>
    <w:div w:id="1360660811">
      <w:bodyDiv w:val="1"/>
      <w:marLeft w:val="0"/>
      <w:marRight w:val="0"/>
      <w:marTop w:val="0"/>
      <w:marBottom w:val="0"/>
      <w:divBdr>
        <w:top w:val="none" w:sz="0" w:space="0" w:color="auto"/>
        <w:left w:val="none" w:sz="0" w:space="0" w:color="auto"/>
        <w:bottom w:val="none" w:sz="0" w:space="0" w:color="auto"/>
        <w:right w:val="none" w:sz="0" w:space="0" w:color="auto"/>
      </w:divBdr>
    </w:div>
    <w:div w:id="1365709649">
      <w:bodyDiv w:val="1"/>
      <w:marLeft w:val="0"/>
      <w:marRight w:val="0"/>
      <w:marTop w:val="0"/>
      <w:marBottom w:val="0"/>
      <w:divBdr>
        <w:top w:val="none" w:sz="0" w:space="0" w:color="auto"/>
        <w:left w:val="none" w:sz="0" w:space="0" w:color="auto"/>
        <w:bottom w:val="none" w:sz="0" w:space="0" w:color="auto"/>
        <w:right w:val="none" w:sz="0" w:space="0" w:color="auto"/>
      </w:divBdr>
    </w:div>
    <w:div w:id="1367832014">
      <w:bodyDiv w:val="1"/>
      <w:marLeft w:val="0"/>
      <w:marRight w:val="0"/>
      <w:marTop w:val="0"/>
      <w:marBottom w:val="0"/>
      <w:divBdr>
        <w:top w:val="none" w:sz="0" w:space="0" w:color="auto"/>
        <w:left w:val="none" w:sz="0" w:space="0" w:color="auto"/>
        <w:bottom w:val="none" w:sz="0" w:space="0" w:color="auto"/>
        <w:right w:val="none" w:sz="0" w:space="0" w:color="auto"/>
      </w:divBdr>
    </w:div>
    <w:div w:id="1385178484">
      <w:bodyDiv w:val="1"/>
      <w:marLeft w:val="0"/>
      <w:marRight w:val="0"/>
      <w:marTop w:val="0"/>
      <w:marBottom w:val="0"/>
      <w:divBdr>
        <w:top w:val="none" w:sz="0" w:space="0" w:color="auto"/>
        <w:left w:val="none" w:sz="0" w:space="0" w:color="auto"/>
        <w:bottom w:val="none" w:sz="0" w:space="0" w:color="auto"/>
        <w:right w:val="none" w:sz="0" w:space="0" w:color="auto"/>
      </w:divBdr>
    </w:div>
    <w:div w:id="1399521867">
      <w:bodyDiv w:val="1"/>
      <w:marLeft w:val="0"/>
      <w:marRight w:val="0"/>
      <w:marTop w:val="0"/>
      <w:marBottom w:val="0"/>
      <w:divBdr>
        <w:top w:val="none" w:sz="0" w:space="0" w:color="auto"/>
        <w:left w:val="none" w:sz="0" w:space="0" w:color="auto"/>
        <w:bottom w:val="none" w:sz="0" w:space="0" w:color="auto"/>
        <w:right w:val="none" w:sz="0" w:space="0" w:color="auto"/>
      </w:divBdr>
    </w:div>
    <w:div w:id="1407801878">
      <w:bodyDiv w:val="1"/>
      <w:marLeft w:val="0"/>
      <w:marRight w:val="0"/>
      <w:marTop w:val="0"/>
      <w:marBottom w:val="0"/>
      <w:divBdr>
        <w:top w:val="none" w:sz="0" w:space="0" w:color="auto"/>
        <w:left w:val="none" w:sz="0" w:space="0" w:color="auto"/>
        <w:bottom w:val="none" w:sz="0" w:space="0" w:color="auto"/>
        <w:right w:val="none" w:sz="0" w:space="0" w:color="auto"/>
      </w:divBdr>
    </w:div>
    <w:div w:id="1472021187">
      <w:bodyDiv w:val="1"/>
      <w:marLeft w:val="0"/>
      <w:marRight w:val="0"/>
      <w:marTop w:val="0"/>
      <w:marBottom w:val="0"/>
      <w:divBdr>
        <w:top w:val="none" w:sz="0" w:space="0" w:color="auto"/>
        <w:left w:val="none" w:sz="0" w:space="0" w:color="auto"/>
        <w:bottom w:val="none" w:sz="0" w:space="0" w:color="auto"/>
        <w:right w:val="none" w:sz="0" w:space="0" w:color="auto"/>
      </w:divBdr>
    </w:div>
    <w:div w:id="1521240162">
      <w:bodyDiv w:val="1"/>
      <w:marLeft w:val="0"/>
      <w:marRight w:val="0"/>
      <w:marTop w:val="0"/>
      <w:marBottom w:val="0"/>
      <w:divBdr>
        <w:top w:val="none" w:sz="0" w:space="0" w:color="auto"/>
        <w:left w:val="none" w:sz="0" w:space="0" w:color="auto"/>
        <w:bottom w:val="none" w:sz="0" w:space="0" w:color="auto"/>
        <w:right w:val="none" w:sz="0" w:space="0" w:color="auto"/>
      </w:divBdr>
    </w:div>
    <w:div w:id="1535654524">
      <w:bodyDiv w:val="1"/>
      <w:marLeft w:val="0"/>
      <w:marRight w:val="0"/>
      <w:marTop w:val="0"/>
      <w:marBottom w:val="0"/>
      <w:divBdr>
        <w:top w:val="none" w:sz="0" w:space="0" w:color="auto"/>
        <w:left w:val="none" w:sz="0" w:space="0" w:color="auto"/>
        <w:bottom w:val="none" w:sz="0" w:space="0" w:color="auto"/>
        <w:right w:val="none" w:sz="0" w:space="0" w:color="auto"/>
      </w:divBdr>
    </w:div>
    <w:div w:id="1557744344">
      <w:bodyDiv w:val="1"/>
      <w:marLeft w:val="0"/>
      <w:marRight w:val="0"/>
      <w:marTop w:val="0"/>
      <w:marBottom w:val="0"/>
      <w:divBdr>
        <w:top w:val="none" w:sz="0" w:space="0" w:color="auto"/>
        <w:left w:val="none" w:sz="0" w:space="0" w:color="auto"/>
        <w:bottom w:val="none" w:sz="0" w:space="0" w:color="auto"/>
        <w:right w:val="none" w:sz="0" w:space="0" w:color="auto"/>
      </w:divBdr>
    </w:div>
    <w:div w:id="1581521661">
      <w:bodyDiv w:val="1"/>
      <w:marLeft w:val="0"/>
      <w:marRight w:val="0"/>
      <w:marTop w:val="0"/>
      <w:marBottom w:val="0"/>
      <w:divBdr>
        <w:top w:val="none" w:sz="0" w:space="0" w:color="auto"/>
        <w:left w:val="none" w:sz="0" w:space="0" w:color="auto"/>
        <w:bottom w:val="none" w:sz="0" w:space="0" w:color="auto"/>
        <w:right w:val="none" w:sz="0" w:space="0" w:color="auto"/>
      </w:divBdr>
    </w:div>
    <w:div w:id="1663049086">
      <w:bodyDiv w:val="1"/>
      <w:marLeft w:val="0"/>
      <w:marRight w:val="0"/>
      <w:marTop w:val="0"/>
      <w:marBottom w:val="0"/>
      <w:divBdr>
        <w:top w:val="none" w:sz="0" w:space="0" w:color="auto"/>
        <w:left w:val="none" w:sz="0" w:space="0" w:color="auto"/>
        <w:bottom w:val="none" w:sz="0" w:space="0" w:color="auto"/>
        <w:right w:val="none" w:sz="0" w:space="0" w:color="auto"/>
      </w:divBdr>
    </w:div>
    <w:div w:id="1686708724">
      <w:bodyDiv w:val="1"/>
      <w:marLeft w:val="0"/>
      <w:marRight w:val="0"/>
      <w:marTop w:val="0"/>
      <w:marBottom w:val="0"/>
      <w:divBdr>
        <w:top w:val="none" w:sz="0" w:space="0" w:color="auto"/>
        <w:left w:val="none" w:sz="0" w:space="0" w:color="auto"/>
        <w:bottom w:val="none" w:sz="0" w:space="0" w:color="auto"/>
        <w:right w:val="none" w:sz="0" w:space="0" w:color="auto"/>
      </w:divBdr>
    </w:div>
    <w:div w:id="1687055583">
      <w:bodyDiv w:val="1"/>
      <w:marLeft w:val="0"/>
      <w:marRight w:val="0"/>
      <w:marTop w:val="0"/>
      <w:marBottom w:val="0"/>
      <w:divBdr>
        <w:top w:val="none" w:sz="0" w:space="0" w:color="auto"/>
        <w:left w:val="none" w:sz="0" w:space="0" w:color="auto"/>
        <w:bottom w:val="none" w:sz="0" w:space="0" w:color="auto"/>
        <w:right w:val="none" w:sz="0" w:space="0" w:color="auto"/>
      </w:divBdr>
    </w:div>
    <w:div w:id="1711832543">
      <w:bodyDiv w:val="1"/>
      <w:marLeft w:val="0"/>
      <w:marRight w:val="0"/>
      <w:marTop w:val="0"/>
      <w:marBottom w:val="0"/>
      <w:divBdr>
        <w:top w:val="none" w:sz="0" w:space="0" w:color="auto"/>
        <w:left w:val="none" w:sz="0" w:space="0" w:color="auto"/>
        <w:bottom w:val="none" w:sz="0" w:space="0" w:color="auto"/>
        <w:right w:val="none" w:sz="0" w:space="0" w:color="auto"/>
      </w:divBdr>
    </w:div>
    <w:div w:id="1715690857">
      <w:bodyDiv w:val="1"/>
      <w:marLeft w:val="0"/>
      <w:marRight w:val="0"/>
      <w:marTop w:val="0"/>
      <w:marBottom w:val="0"/>
      <w:divBdr>
        <w:top w:val="none" w:sz="0" w:space="0" w:color="auto"/>
        <w:left w:val="none" w:sz="0" w:space="0" w:color="auto"/>
        <w:bottom w:val="none" w:sz="0" w:space="0" w:color="auto"/>
        <w:right w:val="none" w:sz="0" w:space="0" w:color="auto"/>
      </w:divBdr>
    </w:div>
    <w:div w:id="1749501392">
      <w:bodyDiv w:val="1"/>
      <w:marLeft w:val="0"/>
      <w:marRight w:val="0"/>
      <w:marTop w:val="0"/>
      <w:marBottom w:val="0"/>
      <w:divBdr>
        <w:top w:val="none" w:sz="0" w:space="0" w:color="auto"/>
        <w:left w:val="none" w:sz="0" w:space="0" w:color="auto"/>
        <w:bottom w:val="none" w:sz="0" w:space="0" w:color="auto"/>
        <w:right w:val="none" w:sz="0" w:space="0" w:color="auto"/>
      </w:divBdr>
    </w:div>
    <w:div w:id="1758936435">
      <w:bodyDiv w:val="1"/>
      <w:marLeft w:val="0"/>
      <w:marRight w:val="0"/>
      <w:marTop w:val="0"/>
      <w:marBottom w:val="0"/>
      <w:divBdr>
        <w:top w:val="none" w:sz="0" w:space="0" w:color="auto"/>
        <w:left w:val="none" w:sz="0" w:space="0" w:color="auto"/>
        <w:bottom w:val="none" w:sz="0" w:space="0" w:color="auto"/>
        <w:right w:val="none" w:sz="0" w:space="0" w:color="auto"/>
      </w:divBdr>
    </w:div>
    <w:div w:id="1772048422">
      <w:bodyDiv w:val="1"/>
      <w:marLeft w:val="0"/>
      <w:marRight w:val="0"/>
      <w:marTop w:val="0"/>
      <w:marBottom w:val="0"/>
      <w:divBdr>
        <w:top w:val="none" w:sz="0" w:space="0" w:color="auto"/>
        <w:left w:val="none" w:sz="0" w:space="0" w:color="auto"/>
        <w:bottom w:val="none" w:sz="0" w:space="0" w:color="auto"/>
        <w:right w:val="none" w:sz="0" w:space="0" w:color="auto"/>
      </w:divBdr>
    </w:div>
    <w:div w:id="1778526624">
      <w:bodyDiv w:val="1"/>
      <w:marLeft w:val="0"/>
      <w:marRight w:val="0"/>
      <w:marTop w:val="0"/>
      <w:marBottom w:val="0"/>
      <w:divBdr>
        <w:top w:val="none" w:sz="0" w:space="0" w:color="auto"/>
        <w:left w:val="none" w:sz="0" w:space="0" w:color="auto"/>
        <w:bottom w:val="none" w:sz="0" w:space="0" w:color="auto"/>
        <w:right w:val="none" w:sz="0" w:space="0" w:color="auto"/>
      </w:divBdr>
    </w:div>
    <w:div w:id="1786654577">
      <w:bodyDiv w:val="1"/>
      <w:marLeft w:val="0"/>
      <w:marRight w:val="0"/>
      <w:marTop w:val="0"/>
      <w:marBottom w:val="0"/>
      <w:divBdr>
        <w:top w:val="none" w:sz="0" w:space="0" w:color="auto"/>
        <w:left w:val="none" w:sz="0" w:space="0" w:color="auto"/>
        <w:bottom w:val="none" w:sz="0" w:space="0" w:color="auto"/>
        <w:right w:val="none" w:sz="0" w:space="0" w:color="auto"/>
      </w:divBdr>
    </w:div>
    <w:div w:id="1801223490">
      <w:bodyDiv w:val="1"/>
      <w:marLeft w:val="0"/>
      <w:marRight w:val="0"/>
      <w:marTop w:val="0"/>
      <w:marBottom w:val="0"/>
      <w:divBdr>
        <w:top w:val="none" w:sz="0" w:space="0" w:color="auto"/>
        <w:left w:val="none" w:sz="0" w:space="0" w:color="auto"/>
        <w:bottom w:val="none" w:sz="0" w:space="0" w:color="auto"/>
        <w:right w:val="none" w:sz="0" w:space="0" w:color="auto"/>
      </w:divBdr>
    </w:div>
    <w:div w:id="1810438254">
      <w:bodyDiv w:val="1"/>
      <w:marLeft w:val="0"/>
      <w:marRight w:val="0"/>
      <w:marTop w:val="0"/>
      <w:marBottom w:val="0"/>
      <w:divBdr>
        <w:top w:val="none" w:sz="0" w:space="0" w:color="auto"/>
        <w:left w:val="none" w:sz="0" w:space="0" w:color="auto"/>
        <w:bottom w:val="none" w:sz="0" w:space="0" w:color="auto"/>
        <w:right w:val="none" w:sz="0" w:space="0" w:color="auto"/>
      </w:divBdr>
    </w:div>
    <w:div w:id="1818375184">
      <w:bodyDiv w:val="1"/>
      <w:marLeft w:val="0"/>
      <w:marRight w:val="0"/>
      <w:marTop w:val="0"/>
      <w:marBottom w:val="0"/>
      <w:divBdr>
        <w:top w:val="none" w:sz="0" w:space="0" w:color="auto"/>
        <w:left w:val="none" w:sz="0" w:space="0" w:color="auto"/>
        <w:bottom w:val="none" w:sz="0" w:space="0" w:color="auto"/>
        <w:right w:val="none" w:sz="0" w:space="0" w:color="auto"/>
      </w:divBdr>
    </w:div>
    <w:div w:id="1830058460">
      <w:bodyDiv w:val="1"/>
      <w:marLeft w:val="0"/>
      <w:marRight w:val="0"/>
      <w:marTop w:val="0"/>
      <w:marBottom w:val="0"/>
      <w:divBdr>
        <w:top w:val="none" w:sz="0" w:space="0" w:color="auto"/>
        <w:left w:val="none" w:sz="0" w:space="0" w:color="auto"/>
        <w:bottom w:val="none" w:sz="0" w:space="0" w:color="auto"/>
        <w:right w:val="none" w:sz="0" w:space="0" w:color="auto"/>
      </w:divBdr>
    </w:div>
    <w:div w:id="1837112379">
      <w:bodyDiv w:val="1"/>
      <w:marLeft w:val="0"/>
      <w:marRight w:val="0"/>
      <w:marTop w:val="0"/>
      <w:marBottom w:val="0"/>
      <w:divBdr>
        <w:top w:val="none" w:sz="0" w:space="0" w:color="auto"/>
        <w:left w:val="none" w:sz="0" w:space="0" w:color="auto"/>
        <w:bottom w:val="none" w:sz="0" w:space="0" w:color="auto"/>
        <w:right w:val="none" w:sz="0" w:space="0" w:color="auto"/>
      </w:divBdr>
    </w:div>
    <w:div w:id="1881428947">
      <w:bodyDiv w:val="1"/>
      <w:marLeft w:val="0"/>
      <w:marRight w:val="0"/>
      <w:marTop w:val="0"/>
      <w:marBottom w:val="0"/>
      <w:divBdr>
        <w:top w:val="none" w:sz="0" w:space="0" w:color="auto"/>
        <w:left w:val="none" w:sz="0" w:space="0" w:color="auto"/>
        <w:bottom w:val="none" w:sz="0" w:space="0" w:color="auto"/>
        <w:right w:val="none" w:sz="0" w:space="0" w:color="auto"/>
      </w:divBdr>
    </w:div>
    <w:div w:id="1908178715">
      <w:bodyDiv w:val="1"/>
      <w:marLeft w:val="0"/>
      <w:marRight w:val="0"/>
      <w:marTop w:val="0"/>
      <w:marBottom w:val="0"/>
      <w:divBdr>
        <w:top w:val="none" w:sz="0" w:space="0" w:color="auto"/>
        <w:left w:val="none" w:sz="0" w:space="0" w:color="auto"/>
        <w:bottom w:val="none" w:sz="0" w:space="0" w:color="auto"/>
        <w:right w:val="none" w:sz="0" w:space="0" w:color="auto"/>
      </w:divBdr>
    </w:div>
    <w:div w:id="1919172991">
      <w:bodyDiv w:val="1"/>
      <w:marLeft w:val="0"/>
      <w:marRight w:val="0"/>
      <w:marTop w:val="0"/>
      <w:marBottom w:val="0"/>
      <w:divBdr>
        <w:top w:val="none" w:sz="0" w:space="0" w:color="auto"/>
        <w:left w:val="none" w:sz="0" w:space="0" w:color="auto"/>
        <w:bottom w:val="none" w:sz="0" w:space="0" w:color="auto"/>
        <w:right w:val="none" w:sz="0" w:space="0" w:color="auto"/>
      </w:divBdr>
    </w:div>
    <w:div w:id="1921057417">
      <w:bodyDiv w:val="1"/>
      <w:marLeft w:val="0"/>
      <w:marRight w:val="0"/>
      <w:marTop w:val="0"/>
      <w:marBottom w:val="0"/>
      <w:divBdr>
        <w:top w:val="none" w:sz="0" w:space="0" w:color="auto"/>
        <w:left w:val="none" w:sz="0" w:space="0" w:color="auto"/>
        <w:bottom w:val="none" w:sz="0" w:space="0" w:color="auto"/>
        <w:right w:val="none" w:sz="0" w:space="0" w:color="auto"/>
      </w:divBdr>
    </w:div>
    <w:div w:id="1921940923">
      <w:bodyDiv w:val="1"/>
      <w:marLeft w:val="0"/>
      <w:marRight w:val="0"/>
      <w:marTop w:val="0"/>
      <w:marBottom w:val="0"/>
      <w:divBdr>
        <w:top w:val="none" w:sz="0" w:space="0" w:color="auto"/>
        <w:left w:val="none" w:sz="0" w:space="0" w:color="auto"/>
        <w:bottom w:val="none" w:sz="0" w:space="0" w:color="auto"/>
        <w:right w:val="none" w:sz="0" w:space="0" w:color="auto"/>
      </w:divBdr>
    </w:div>
    <w:div w:id="1931431384">
      <w:bodyDiv w:val="1"/>
      <w:marLeft w:val="0"/>
      <w:marRight w:val="0"/>
      <w:marTop w:val="0"/>
      <w:marBottom w:val="0"/>
      <w:divBdr>
        <w:top w:val="none" w:sz="0" w:space="0" w:color="auto"/>
        <w:left w:val="none" w:sz="0" w:space="0" w:color="auto"/>
        <w:bottom w:val="none" w:sz="0" w:space="0" w:color="auto"/>
        <w:right w:val="none" w:sz="0" w:space="0" w:color="auto"/>
      </w:divBdr>
    </w:div>
    <w:div w:id="1940792736">
      <w:bodyDiv w:val="1"/>
      <w:marLeft w:val="0"/>
      <w:marRight w:val="0"/>
      <w:marTop w:val="0"/>
      <w:marBottom w:val="0"/>
      <w:divBdr>
        <w:top w:val="none" w:sz="0" w:space="0" w:color="auto"/>
        <w:left w:val="none" w:sz="0" w:space="0" w:color="auto"/>
        <w:bottom w:val="none" w:sz="0" w:space="0" w:color="auto"/>
        <w:right w:val="none" w:sz="0" w:space="0" w:color="auto"/>
      </w:divBdr>
    </w:div>
    <w:div w:id="1942492912">
      <w:bodyDiv w:val="1"/>
      <w:marLeft w:val="0"/>
      <w:marRight w:val="0"/>
      <w:marTop w:val="0"/>
      <w:marBottom w:val="0"/>
      <w:divBdr>
        <w:top w:val="none" w:sz="0" w:space="0" w:color="auto"/>
        <w:left w:val="none" w:sz="0" w:space="0" w:color="auto"/>
        <w:bottom w:val="none" w:sz="0" w:space="0" w:color="auto"/>
        <w:right w:val="none" w:sz="0" w:space="0" w:color="auto"/>
      </w:divBdr>
    </w:div>
    <w:div w:id="1945573131">
      <w:bodyDiv w:val="1"/>
      <w:marLeft w:val="0"/>
      <w:marRight w:val="0"/>
      <w:marTop w:val="0"/>
      <w:marBottom w:val="0"/>
      <w:divBdr>
        <w:top w:val="none" w:sz="0" w:space="0" w:color="auto"/>
        <w:left w:val="none" w:sz="0" w:space="0" w:color="auto"/>
        <w:bottom w:val="none" w:sz="0" w:space="0" w:color="auto"/>
        <w:right w:val="none" w:sz="0" w:space="0" w:color="auto"/>
      </w:divBdr>
    </w:div>
    <w:div w:id="1952123238">
      <w:bodyDiv w:val="1"/>
      <w:marLeft w:val="0"/>
      <w:marRight w:val="0"/>
      <w:marTop w:val="0"/>
      <w:marBottom w:val="0"/>
      <w:divBdr>
        <w:top w:val="none" w:sz="0" w:space="0" w:color="auto"/>
        <w:left w:val="none" w:sz="0" w:space="0" w:color="auto"/>
        <w:bottom w:val="none" w:sz="0" w:space="0" w:color="auto"/>
        <w:right w:val="none" w:sz="0" w:space="0" w:color="auto"/>
      </w:divBdr>
    </w:div>
    <w:div w:id="1975790183">
      <w:bodyDiv w:val="1"/>
      <w:marLeft w:val="0"/>
      <w:marRight w:val="0"/>
      <w:marTop w:val="0"/>
      <w:marBottom w:val="0"/>
      <w:divBdr>
        <w:top w:val="none" w:sz="0" w:space="0" w:color="auto"/>
        <w:left w:val="none" w:sz="0" w:space="0" w:color="auto"/>
        <w:bottom w:val="none" w:sz="0" w:space="0" w:color="auto"/>
        <w:right w:val="none" w:sz="0" w:space="0" w:color="auto"/>
      </w:divBdr>
    </w:div>
    <w:div w:id="1988125194">
      <w:bodyDiv w:val="1"/>
      <w:marLeft w:val="0"/>
      <w:marRight w:val="0"/>
      <w:marTop w:val="0"/>
      <w:marBottom w:val="0"/>
      <w:divBdr>
        <w:top w:val="none" w:sz="0" w:space="0" w:color="auto"/>
        <w:left w:val="none" w:sz="0" w:space="0" w:color="auto"/>
        <w:bottom w:val="none" w:sz="0" w:space="0" w:color="auto"/>
        <w:right w:val="none" w:sz="0" w:space="0" w:color="auto"/>
      </w:divBdr>
    </w:div>
    <w:div w:id="1992177305">
      <w:bodyDiv w:val="1"/>
      <w:marLeft w:val="0"/>
      <w:marRight w:val="0"/>
      <w:marTop w:val="0"/>
      <w:marBottom w:val="0"/>
      <w:divBdr>
        <w:top w:val="none" w:sz="0" w:space="0" w:color="auto"/>
        <w:left w:val="none" w:sz="0" w:space="0" w:color="auto"/>
        <w:bottom w:val="none" w:sz="0" w:space="0" w:color="auto"/>
        <w:right w:val="none" w:sz="0" w:space="0" w:color="auto"/>
      </w:divBdr>
    </w:div>
    <w:div w:id="2005932664">
      <w:bodyDiv w:val="1"/>
      <w:marLeft w:val="0"/>
      <w:marRight w:val="0"/>
      <w:marTop w:val="0"/>
      <w:marBottom w:val="0"/>
      <w:divBdr>
        <w:top w:val="none" w:sz="0" w:space="0" w:color="auto"/>
        <w:left w:val="none" w:sz="0" w:space="0" w:color="auto"/>
        <w:bottom w:val="none" w:sz="0" w:space="0" w:color="auto"/>
        <w:right w:val="none" w:sz="0" w:space="0" w:color="auto"/>
      </w:divBdr>
    </w:div>
    <w:div w:id="2036273906">
      <w:bodyDiv w:val="1"/>
      <w:marLeft w:val="0"/>
      <w:marRight w:val="0"/>
      <w:marTop w:val="0"/>
      <w:marBottom w:val="0"/>
      <w:divBdr>
        <w:top w:val="none" w:sz="0" w:space="0" w:color="auto"/>
        <w:left w:val="none" w:sz="0" w:space="0" w:color="auto"/>
        <w:bottom w:val="none" w:sz="0" w:space="0" w:color="auto"/>
        <w:right w:val="none" w:sz="0" w:space="0" w:color="auto"/>
      </w:divBdr>
    </w:div>
    <w:div w:id="2046709588">
      <w:bodyDiv w:val="1"/>
      <w:marLeft w:val="0"/>
      <w:marRight w:val="0"/>
      <w:marTop w:val="0"/>
      <w:marBottom w:val="0"/>
      <w:divBdr>
        <w:top w:val="none" w:sz="0" w:space="0" w:color="auto"/>
        <w:left w:val="none" w:sz="0" w:space="0" w:color="auto"/>
        <w:bottom w:val="none" w:sz="0" w:space="0" w:color="auto"/>
        <w:right w:val="none" w:sz="0" w:space="0" w:color="auto"/>
      </w:divBdr>
    </w:div>
    <w:div w:id="2073000687">
      <w:bodyDiv w:val="1"/>
      <w:marLeft w:val="0"/>
      <w:marRight w:val="0"/>
      <w:marTop w:val="0"/>
      <w:marBottom w:val="0"/>
      <w:divBdr>
        <w:top w:val="none" w:sz="0" w:space="0" w:color="auto"/>
        <w:left w:val="none" w:sz="0" w:space="0" w:color="auto"/>
        <w:bottom w:val="none" w:sz="0" w:space="0" w:color="auto"/>
        <w:right w:val="none" w:sz="0" w:space="0" w:color="auto"/>
      </w:divBdr>
    </w:div>
    <w:div w:id="2074814850">
      <w:bodyDiv w:val="1"/>
      <w:marLeft w:val="0"/>
      <w:marRight w:val="0"/>
      <w:marTop w:val="0"/>
      <w:marBottom w:val="0"/>
      <w:divBdr>
        <w:top w:val="none" w:sz="0" w:space="0" w:color="auto"/>
        <w:left w:val="none" w:sz="0" w:space="0" w:color="auto"/>
        <w:bottom w:val="none" w:sz="0" w:space="0" w:color="auto"/>
        <w:right w:val="none" w:sz="0" w:space="0" w:color="auto"/>
      </w:divBdr>
    </w:div>
    <w:div w:id="2081439694">
      <w:bodyDiv w:val="1"/>
      <w:marLeft w:val="0"/>
      <w:marRight w:val="0"/>
      <w:marTop w:val="0"/>
      <w:marBottom w:val="0"/>
      <w:divBdr>
        <w:top w:val="none" w:sz="0" w:space="0" w:color="auto"/>
        <w:left w:val="none" w:sz="0" w:space="0" w:color="auto"/>
        <w:bottom w:val="none" w:sz="0" w:space="0" w:color="auto"/>
        <w:right w:val="none" w:sz="0" w:space="0" w:color="auto"/>
      </w:divBdr>
    </w:div>
    <w:div w:id="2088916127">
      <w:bodyDiv w:val="1"/>
      <w:marLeft w:val="0"/>
      <w:marRight w:val="0"/>
      <w:marTop w:val="0"/>
      <w:marBottom w:val="0"/>
      <w:divBdr>
        <w:top w:val="none" w:sz="0" w:space="0" w:color="auto"/>
        <w:left w:val="none" w:sz="0" w:space="0" w:color="auto"/>
        <w:bottom w:val="none" w:sz="0" w:space="0" w:color="auto"/>
        <w:right w:val="none" w:sz="0" w:space="0" w:color="auto"/>
      </w:divBdr>
    </w:div>
    <w:div w:id="2102751860">
      <w:bodyDiv w:val="1"/>
      <w:marLeft w:val="0"/>
      <w:marRight w:val="0"/>
      <w:marTop w:val="0"/>
      <w:marBottom w:val="0"/>
      <w:divBdr>
        <w:top w:val="none" w:sz="0" w:space="0" w:color="auto"/>
        <w:left w:val="none" w:sz="0" w:space="0" w:color="auto"/>
        <w:bottom w:val="none" w:sz="0" w:space="0" w:color="auto"/>
        <w:right w:val="none" w:sz="0" w:space="0" w:color="auto"/>
      </w:divBdr>
    </w:div>
    <w:div w:id="2112041952">
      <w:bodyDiv w:val="1"/>
      <w:marLeft w:val="0"/>
      <w:marRight w:val="0"/>
      <w:marTop w:val="0"/>
      <w:marBottom w:val="0"/>
      <w:divBdr>
        <w:top w:val="none" w:sz="0" w:space="0" w:color="auto"/>
        <w:left w:val="none" w:sz="0" w:space="0" w:color="auto"/>
        <w:bottom w:val="none" w:sz="0" w:space="0" w:color="auto"/>
        <w:right w:val="none" w:sz="0" w:space="0" w:color="auto"/>
      </w:divBdr>
    </w:div>
    <w:div w:id="2113738691">
      <w:bodyDiv w:val="1"/>
      <w:marLeft w:val="0"/>
      <w:marRight w:val="0"/>
      <w:marTop w:val="0"/>
      <w:marBottom w:val="0"/>
      <w:divBdr>
        <w:top w:val="none" w:sz="0" w:space="0" w:color="auto"/>
        <w:left w:val="none" w:sz="0" w:space="0" w:color="auto"/>
        <w:bottom w:val="none" w:sz="0" w:space="0" w:color="auto"/>
        <w:right w:val="none" w:sz="0" w:space="0" w:color="auto"/>
      </w:divBdr>
    </w:div>
    <w:div w:id="2114781353">
      <w:bodyDiv w:val="1"/>
      <w:marLeft w:val="0"/>
      <w:marRight w:val="0"/>
      <w:marTop w:val="0"/>
      <w:marBottom w:val="0"/>
      <w:divBdr>
        <w:top w:val="none" w:sz="0" w:space="0" w:color="auto"/>
        <w:left w:val="none" w:sz="0" w:space="0" w:color="auto"/>
        <w:bottom w:val="none" w:sz="0" w:space="0" w:color="auto"/>
        <w:right w:val="none" w:sz="0" w:space="0" w:color="auto"/>
      </w:divBdr>
    </w:div>
    <w:div w:id="2119640878">
      <w:bodyDiv w:val="1"/>
      <w:marLeft w:val="0"/>
      <w:marRight w:val="0"/>
      <w:marTop w:val="0"/>
      <w:marBottom w:val="0"/>
      <w:divBdr>
        <w:top w:val="none" w:sz="0" w:space="0" w:color="auto"/>
        <w:left w:val="none" w:sz="0" w:space="0" w:color="auto"/>
        <w:bottom w:val="none" w:sz="0" w:space="0" w:color="auto"/>
        <w:right w:val="none" w:sz="0" w:space="0" w:color="auto"/>
      </w:divBdr>
    </w:div>
    <w:div w:id="21403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6.emf"/><Relationship Id="rId10" Type="http://schemas.openxmlformats.org/officeDocument/2006/relationships/chart" Target="charts/chart3.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image" Target="media/image5.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anxico.org.mx/publicaciones-y-prensa/encuestas-sobre-las-expectativas-de-los-especialis/encuestas-expectativas-del-se.html" TargetMode="External"/><Relationship Id="rId1" Type="http://schemas.openxmlformats.org/officeDocument/2006/relationships/hyperlink" Target="https://www.imf.org/es/Publications/WEO/Issues/2019/10/01/world-economic-outlook-october-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XPOSICION%20DE%20MOTIVOS\Libro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J:\PROYECTO%20DE%20MOTIVOS%20FINAL\FINAL\GRAFICA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EXPOSICION%20DE%20MOTIVOS\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gresos\Downloads\BIE_BIE201910161141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XPOSICION%20DE%20MOTIVOS\Libro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EXPOSICION%20DE%20MOTIVOS\Libro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gresos\Downloads\302_018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gresos\AppData\Local\Temp\Rar$DI01.122\Anexo_Pobreza_2008_2018_Oaxac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PROYECTO%20DE%20MOTIVOS%20FINAL\FINAL\GRAFIC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J:\PROYECTO%20DE%20MOTIVOS%20FINAL\FINAL\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s-MX" sz="1100" b="1">
                <a:solidFill>
                  <a:sysClr val="windowText" lastClr="000000"/>
                </a:solidFill>
              </a:rPr>
              <a:t>Expectativas</a:t>
            </a:r>
            <a:r>
              <a:rPr lang="es-MX" sz="1100" b="1" baseline="0">
                <a:solidFill>
                  <a:sysClr val="windowText" lastClr="000000"/>
                </a:solidFill>
              </a:rPr>
              <a:t> de crecimiento del PIB (%)</a:t>
            </a:r>
            <a:endParaRPr lang="es-MX" sz="1100" b="1">
              <a:solidFill>
                <a:sysClr val="windowText" lastClr="000000"/>
              </a:solidFill>
            </a:endParaRPr>
          </a:p>
        </c:rich>
      </c:tx>
      <c:layout>
        <c:manualLayout>
          <c:xMode val="edge"/>
          <c:yMode val="edge"/>
          <c:x val="0.1237664433557006"/>
          <c:y val="3.0234315948601664E-2"/>
        </c:manualLayout>
      </c:layout>
      <c:overlay val="0"/>
      <c:spPr>
        <a:noFill/>
        <a:ln>
          <a:noFill/>
        </a:ln>
        <a:effectLst/>
      </c:spPr>
    </c:title>
    <c:autoTitleDeleted val="0"/>
    <c:plotArea>
      <c:layout/>
      <c:barChart>
        <c:barDir val="col"/>
        <c:grouping val="clustered"/>
        <c:varyColors val="0"/>
        <c:ser>
          <c:idx val="0"/>
          <c:order val="0"/>
          <c:tx>
            <c:strRef>
              <c:f>Hoja2!$D$5</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Hoja2!$C$6:$C$8</c:f>
              <c:strCache>
                <c:ptCount val="3"/>
                <c:pt idx="0">
                  <c:v>CGPE 2020</c:v>
                </c:pt>
                <c:pt idx="1">
                  <c:v>Encuesta de Expertos del Sector Privado de Banxico</c:v>
                </c:pt>
                <c:pt idx="2">
                  <c:v>Encuesta Citibanamex de Expectativas</c:v>
                </c:pt>
              </c:strCache>
            </c:strRef>
          </c:cat>
          <c:val>
            <c:numRef>
              <c:f>Hoja2!$D$6:$D$8</c:f>
              <c:numCache>
                <c:formatCode>General</c:formatCode>
                <c:ptCount val="3"/>
                <c:pt idx="0">
                  <c:v>1.2</c:v>
                </c:pt>
                <c:pt idx="1">
                  <c:v>0.43</c:v>
                </c:pt>
                <c:pt idx="2">
                  <c:v>0.4</c:v>
                </c:pt>
              </c:numCache>
            </c:numRef>
          </c:val>
          <c:extLst>
            <c:ext xmlns:c16="http://schemas.microsoft.com/office/drawing/2014/chart" uri="{C3380CC4-5D6E-409C-BE32-E72D297353CC}">
              <c16:uniqueId val="{00000000-7D15-4BB9-A1B0-4B02709C35E4}"/>
            </c:ext>
          </c:extLst>
        </c:ser>
        <c:ser>
          <c:idx val="1"/>
          <c:order val="1"/>
          <c:tx>
            <c:strRef>
              <c:f>Hoja2!$E$5</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Hoja2!$C$6:$C$8</c:f>
              <c:strCache>
                <c:ptCount val="3"/>
                <c:pt idx="0">
                  <c:v>CGPE 2020</c:v>
                </c:pt>
                <c:pt idx="1">
                  <c:v>Encuesta de Expertos del Sector Privado de Banxico</c:v>
                </c:pt>
                <c:pt idx="2">
                  <c:v>Encuesta Citibanamex de Expectativas</c:v>
                </c:pt>
              </c:strCache>
            </c:strRef>
          </c:cat>
          <c:val>
            <c:numRef>
              <c:f>Hoja2!$E$6:$E$8</c:f>
              <c:numCache>
                <c:formatCode>General</c:formatCode>
                <c:ptCount val="3"/>
                <c:pt idx="0">
                  <c:v>2.5</c:v>
                </c:pt>
                <c:pt idx="1">
                  <c:v>1.35</c:v>
                </c:pt>
                <c:pt idx="2">
                  <c:v>1.3</c:v>
                </c:pt>
              </c:numCache>
            </c:numRef>
          </c:val>
          <c:extLst>
            <c:ext xmlns:c16="http://schemas.microsoft.com/office/drawing/2014/chart" uri="{C3380CC4-5D6E-409C-BE32-E72D297353CC}">
              <c16:uniqueId val="{00000001-7D15-4BB9-A1B0-4B02709C35E4}"/>
            </c:ext>
          </c:extLst>
        </c:ser>
        <c:dLbls>
          <c:dLblPos val="outEnd"/>
          <c:showLegendKey val="0"/>
          <c:showVal val="1"/>
          <c:showCatName val="0"/>
          <c:showSerName val="0"/>
          <c:showPercent val="0"/>
          <c:showBubbleSize val="0"/>
        </c:dLbls>
        <c:gapWidth val="219"/>
        <c:overlap val="-27"/>
        <c:axId val="1986473792"/>
        <c:axId val="1986466176"/>
      </c:barChart>
      <c:catAx>
        <c:axId val="198647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MX"/>
          </a:p>
        </c:txPr>
        <c:crossAx val="1986466176"/>
        <c:crosses val="autoZero"/>
        <c:auto val="1"/>
        <c:lblAlgn val="ctr"/>
        <c:lblOffset val="100"/>
        <c:noMultiLvlLbl val="0"/>
      </c:catAx>
      <c:valAx>
        <c:axId val="198646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73792"/>
        <c:crosses val="autoZero"/>
        <c:crossBetween val="between"/>
      </c:valAx>
      <c:spPr>
        <a:noFill/>
        <a:ln>
          <a:noFill/>
        </a:ln>
        <a:effectLst/>
      </c:spPr>
    </c:plotArea>
    <c:legend>
      <c:legendPos val="b"/>
      <c:layout>
        <c:manualLayout>
          <c:xMode val="edge"/>
          <c:yMode val="edge"/>
          <c:x val="1.0353286122857696E-2"/>
          <c:y val="0.76628194202997368"/>
          <c:w val="0.36475747599253655"/>
          <c:h val="0.10135206072213947"/>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MX"/>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mn-lt"/>
                <a:ea typeface="+mn-ea"/>
                <a:cs typeface="+mn-cs"/>
              </a:defRPr>
            </a:pPr>
            <a:r>
              <a:rPr lang="es-MX" sz="1100" b="1" i="0" baseline="0">
                <a:solidFill>
                  <a:sysClr val="windowText" lastClr="000000"/>
                </a:solidFill>
                <a:effectLst/>
              </a:rPr>
              <a:t>Clasificación por Tipo de Gasto </a:t>
            </a:r>
            <a:endParaRPr lang="es-MX" sz="1100">
              <a:solidFill>
                <a:sysClr val="windowText" lastClr="000000"/>
              </a:solidFill>
              <a:effectLst/>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dPt>
            <c:idx val="0"/>
            <c:bubble3D val="0"/>
            <c:spPr>
              <a:solidFill>
                <a:srgbClr val="0070C0"/>
              </a:solidFill>
              <a:ln w="25400">
                <a:noFill/>
              </a:ln>
              <a:effectLst/>
              <a:sp3d/>
            </c:spPr>
            <c:extLst>
              <c:ext xmlns:c16="http://schemas.microsoft.com/office/drawing/2014/chart" uri="{C3380CC4-5D6E-409C-BE32-E72D297353CC}">
                <c16:uniqueId val="{00000001-3C55-4B07-98BB-B122ADD71DF9}"/>
              </c:ext>
            </c:extLst>
          </c:dPt>
          <c:dPt>
            <c:idx val="1"/>
            <c:bubble3D val="0"/>
            <c:spPr>
              <a:solidFill>
                <a:schemeClr val="accent2"/>
              </a:solidFill>
              <a:ln w="25400">
                <a:noFill/>
              </a:ln>
              <a:effectLst/>
              <a:sp3d/>
            </c:spPr>
            <c:extLst>
              <c:ext xmlns:c16="http://schemas.microsoft.com/office/drawing/2014/chart" uri="{C3380CC4-5D6E-409C-BE32-E72D297353CC}">
                <c16:uniqueId val="{00000003-3C55-4B07-98BB-B122ADD71DF9}"/>
              </c:ext>
            </c:extLst>
          </c:dPt>
          <c:dPt>
            <c:idx val="2"/>
            <c:bubble3D val="0"/>
            <c:spPr>
              <a:solidFill>
                <a:srgbClr val="00B050"/>
              </a:solidFill>
              <a:ln w="25400">
                <a:noFill/>
              </a:ln>
              <a:effectLst/>
              <a:sp3d/>
            </c:spPr>
            <c:extLst>
              <c:ext xmlns:c16="http://schemas.microsoft.com/office/drawing/2014/chart" uri="{C3380CC4-5D6E-409C-BE32-E72D297353CC}">
                <c16:uniqueId val="{00000005-3C55-4B07-98BB-B122ADD71DF9}"/>
              </c:ext>
            </c:extLst>
          </c:dPt>
          <c:dPt>
            <c:idx val="3"/>
            <c:bubble3D val="0"/>
            <c:spPr>
              <a:solidFill>
                <a:schemeClr val="accent4"/>
              </a:solidFill>
              <a:ln w="25400">
                <a:noFill/>
              </a:ln>
              <a:effectLst/>
              <a:sp3d/>
            </c:spPr>
            <c:extLst>
              <c:ext xmlns:c16="http://schemas.microsoft.com/office/drawing/2014/chart" uri="{C3380CC4-5D6E-409C-BE32-E72D297353CC}">
                <c16:uniqueId val="{00000007-3C55-4B07-98BB-B122ADD71DF9}"/>
              </c:ext>
            </c:extLst>
          </c:dPt>
          <c:dPt>
            <c:idx val="4"/>
            <c:bubble3D val="0"/>
            <c:spPr>
              <a:solidFill>
                <a:srgbClr val="C00000"/>
              </a:solidFill>
              <a:ln w="25400">
                <a:noFill/>
              </a:ln>
              <a:effectLst/>
              <a:sp3d/>
            </c:spPr>
            <c:extLst>
              <c:ext xmlns:c16="http://schemas.microsoft.com/office/drawing/2014/chart" uri="{C3380CC4-5D6E-409C-BE32-E72D297353CC}">
                <c16:uniqueId val="{00000009-3C55-4B07-98BB-B122ADD71D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TIPODEGASTO!$C$4:$C$8</c:f>
              <c:strCache>
                <c:ptCount val="5"/>
                <c:pt idx="0">
                  <c:v>Gasto corriente</c:v>
                </c:pt>
                <c:pt idx="1">
                  <c:v>Gasto de Capital</c:v>
                </c:pt>
                <c:pt idx="2">
                  <c:v>Amortización de la deuda y disminución de pasivos </c:v>
                </c:pt>
                <c:pt idx="3">
                  <c:v>Pensiones y jubilaciones</c:v>
                </c:pt>
                <c:pt idx="4">
                  <c:v>Participaciones</c:v>
                </c:pt>
              </c:strCache>
            </c:strRef>
          </c:cat>
          <c:val>
            <c:numRef>
              <c:f>TIPODEGASTO!$D$4:$D$8</c:f>
              <c:numCache>
                <c:formatCode>0.00%</c:formatCode>
                <c:ptCount val="5"/>
                <c:pt idx="0">
                  <c:v>0.70950000000000002</c:v>
                </c:pt>
                <c:pt idx="1">
                  <c:v>0.16009999999999999</c:v>
                </c:pt>
                <c:pt idx="2">
                  <c:v>5.11E-2</c:v>
                </c:pt>
                <c:pt idx="3">
                  <c:v>6.7999999999999996E-3</c:v>
                </c:pt>
                <c:pt idx="4">
                  <c:v>7.2499999999999995E-2</c:v>
                </c:pt>
              </c:numCache>
            </c:numRef>
          </c:val>
          <c:extLst>
            <c:ext xmlns:c16="http://schemas.microsoft.com/office/drawing/2014/chart" uri="{C3380CC4-5D6E-409C-BE32-E72D297353CC}">
              <c16:uniqueId val="{0000000A-3C55-4B07-98BB-B122ADD71DF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2.4968895462652813E-2"/>
          <c:y val="0.59464127879099482"/>
          <c:w val="0.66829425327358949"/>
          <c:h val="0.405358721209005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s-MX" sz="1100">
                <a:solidFill>
                  <a:sysClr val="windowText" lastClr="000000"/>
                </a:solidFill>
              </a:rPr>
              <a:t>Crecimiento del PIB México (%)</a:t>
            </a:r>
          </a:p>
        </c:rich>
      </c:tx>
      <c:overlay val="0"/>
      <c:spPr>
        <a:noFill/>
        <a:ln>
          <a:noFill/>
        </a:ln>
        <a:effectLst/>
      </c:spPr>
    </c:title>
    <c:autoTitleDeleted val="0"/>
    <c:plotArea>
      <c:layout>
        <c:manualLayout>
          <c:layoutTarget val="inner"/>
          <c:xMode val="edge"/>
          <c:yMode val="edge"/>
          <c:x val="5.4423998105209224E-2"/>
          <c:y val="0.17171296296296296"/>
          <c:w val="0.90844893007158634"/>
          <c:h val="0.53731945478646159"/>
        </c:manualLayout>
      </c:layout>
      <c:lineChart>
        <c:grouping val="standard"/>
        <c:varyColors val="0"/>
        <c:ser>
          <c:idx val="0"/>
          <c:order val="0"/>
          <c:tx>
            <c:strRef>
              <c:f>Hoja3!$D$3</c:f>
              <c:strCache>
                <c:ptCount val="1"/>
                <c:pt idx="0">
                  <c:v>Crecimiento Anual Nacional</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Hoja3!$C$4:$C$10</c:f>
              <c:numCache>
                <c:formatCode>General</c:formatCode>
                <c:ptCount val="6"/>
                <c:pt idx="0">
                  <c:v>2013</c:v>
                </c:pt>
                <c:pt idx="1">
                  <c:v>2014</c:v>
                </c:pt>
                <c:pt idx="2">
                  <c:v>2015</c:v>
                </c:pt>
                <c:pt idx="3">
                  <c:v>2016</c:v>
                </c:pt>
                <c:pt idx="4">
                  <c:v>2017</c:v>
                </c:pt>
                <c:pt idx="5">
                  <c:v>2018</c:v>
                </c:pt>
              </c:numCache>
            </c:numRef>
          </c:cat>
          <c:val>
            <c:numRef>
              <c:f>Hoja3!$D$4:$D$10</c:f>
              <c:numCache>
                <c:formatCode>General</c:formatCode>
                <c:ptCount val="6"/>
                <c:pt idx="0">
                  <c:v>1.4</c:v>
                </c:pt>
                <c:pt idx="1">
                  <c:v>2.8</c:v>
                </c:pt>
                <c:pt idx="2">
                  <c:v>3.3</c:v>
                </c:pt>
                <c:pt idx="3">
                  <c:v>2.9</c:v>
                </c:pt>
                <c:pt idx="4">
                  <c:v>2.1</c:v>
                </c:pt>
                <c:pt idx="5">
                  <c:v>2</c:v>
                </c:pt>
              </c:numCache>
            </c:numRef>
          </c:val>
          <c:smooth val="0"/>
          <c:extLst>
            <c:ext xmlns:c16="http://schemas.microsoft.com/office/drawing/2014/chart" uri="{C3380CC4-5D6E-409C-BE32-E72D297353CC}">
              <c16:uniqueId val="{00000000-3AF6-4BA9-8461-3257FA283FDF}"/>
            </c:ext>
          </c:extLst>
        </c:ser>
        <c:dLbls>
          <c:dLblPos val="ctr"/>
          <c:showLegendKey val="0"/>
          <c:showVal val="1"/>
          <c:showCatName val="0"/>
          <c:showSerName val="0"/>
          <c:showPercent val="0"/>
          <c:showBubbleSize val="0"/>
        </c:dLbls>
        <c:marker val="1"/>
        <c:smooth val="0"/>
        <c:axId val="1986480320"/>
        <c:axId val="1986469984"/>
      </c:lineChart>
      <c:catAx>
        <c:axId val="1986480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MX"/>
          </a:p>
        </c:txPr>
        <c:crossAx val="1986469984"/>
        <c:crosses val="autoZero"/>
        <c:auto val="1"/>
        <c:lblAlgn val="ctr"/>
        <c:lblOffset val="100"/>
        <c:noMultiLvlLbl val="0"/>
      </c:catAx>
      <c:valAx>
        <c:axId val="19864699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8648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b="1" baseline="0">
                <a:solidFill>
                  <a:sysClr val="windowText" lastClr="000000"/>
                </a:solidFill>
              </a:rPr>
              <a:t>Estructura porcentual del PIB por actividades económicas</a:t>
            </a:r>
            <a:endParaRPr lang="es-MX" sz="1100" b="1">
              <a:solidFill>
                <a:sysClr val="windowText" lastClr="000000"/>
              </a:solidFill>
            </a:endParaRPr>
          </a:p>
        </c:rich>
      </c:tx>
      <c:overlay val="0"/>
      <c:spPr>
        <a:noFill/>
        <a:ln>
          <a:noFill/>
        </a:ln>
        <a:effectLst/>
      </c:spPr>
    </c:title>
    <c:autoTitleDeleted val="0"/>
    <c:plotArea>
      <c:layout/>
      <c:barChart>
        <c:barDir val="col"/>
        <c:grouping val="stacked"/>
        <c:varyColors val="0"/>
        <c:ser>
          <c:idx val="0"/>
          <c:order val="0"/>
          <c:tx>
            <c:strRef>
              <c:f>Hoja1!$E$33</c:f>
              <c:strCache>
                <c:ptCount val="1"/>
                <c:pt idx="0">
                  <c:v>Actividades Primarias</c:v>
                </c:pt>
              </c:strCache>
            </c:strRef>
          </c:tx>
          <c:spPr>
            <a:solidFill>
              <a:srgbClr val="7030A0"/>
            </a:solidFill>
            <a:ln>
              <a:solidFill>
                <a:srgbClr val="7030A0"/>
              </a:solidFill>
            </a:ln>
            <a:effectLst/>
          </c:spPr>
          <c:invertIfNegative val="0"/>
          <c:cat>
            <c:numRef>
              <c:f>Hoja1!$D$34:$D$41</c:f>
              <c:numCache>
                <c:formatCode>General</c:formatCode>
                <c:ptCount val="8"/>
                <c:pt idx="0">
                  <c:v>2010</c:v>
                </c:pt>
                <c:pt idx="1">
                  <c:v>2011</c:v>
                </c:pt>
                <c:pt idx="2">
                  <c:v>2012</c:v>
                </c:pt>
                <c:pt idx="3">
                  <c:v>2013</c:v>
                </c:pt>
                <c:pt idx="4">
                  <c:v>2014</c:v>
                </c:pt>
                <c:pt idx="5">
                  <c:v>2015</c:v>
                </c:pt>
                <c:pt idx="6">
                  <c:v>2016</c:v>
                </c:pt>
                <c:pt idx="7">
                  <c:v>2017</c:v>
                </c:pt>
              </c:numCache>
            </c:numRef>
          </c:cat>
          <c:val>
            <c:numRef>
              <c:f>Hoja1!$E$34:$E$41</c:f>
              <c:numCache>
                <c:formatCode>General</c:formatCode>
                <c:ptCount val="8"/>
                <c:pt idx="0">
                  <c:v>5.86</c:v>
                </c:pt>
                <c:pt idx="1">
                  <c:v>5.59</c:v>
                </c:pt>
                <c:pt idx="2">
                  <c:v>5.81</c:v>
                </c:pt>
                <c:pt idx="3">
                  <c:v>5.91</c:v>
                </c:pt>
                <c:pt idx="4">
                  <c:v>5.82</c:v>
                </c:pt>
                <c:pt idx="5">
                  <c:v>5.55</c:v>
                </c:pt>
                <c:pt idx="6">
                  <c:v>5.82</c:v>
                </c:pt>
                <c:pt idx="7">
                  <c:v>6.15</c:v>
                </c:pt>
              </c:numCache>
            </c:numRef>
          </c:val>
          <c:extLst>
            <c:ext xmlns:c16="http://schemas.microsoft.com/office/drawing/2014/chart" uri="{C3380CC4-5D6E-409C-BE32-E72D297353CC}">
              <c16:uniqueId val="{00000000-5681-40E7-813C-18C0AEC19B06}"/>
            </c:ext>
          </c:extLst>
        </c:ser>
        <c:ser>
          <c:idx val="1"/>
          <c:order val="1"/>
          <c:tx>
            <c:strRef>
              <c:f>Hoja1!$F$33</c:f>
              <c:strCache>
                <c:ptCount val="1"/>
                <c:pt idx="0">
                  <c:v>Actividades Secundarias</c:v>
                </c:pt>
              </c:strCache>
            </c:strRef>
          </c:tx>
          <c:spPr>
            <a:solidFill>
              <a:srgbClr val="FFC000"/>
            </a:solidFill>
            <a:ln>
              <a:solidFill>
                <a:srgbClr val="FFC000"/>
              </a:solidFill>
            </a:ln>
            <a:effectLst/>
          </c:spPr>
          <c:invertIfNegative val="0"/>
          <c:cat>
            <c:numRef>
              <c:f>Hoja1!$D$34:$D$41</c:f>
              <c:numCache>
                <c:formatCode>General</c:formatCode>
                <c:ptCount val="8"/>
                <c:pt idx="0">
                  <c:v>2010</c:v>
                </c:pt>
                <c:pt idx="1">
                  <c:v>2011</c:v>
                </c:pt>
                <c:pt idx="2">
                  <c:v>2012</c:v>
                </c:pt>
                <c:pt idx="3">
                  <c:v>2013</c:v>
                </c:pt>
                <c:pt idx="4">
                  <c:v>2014</c:v>
                </c:pt>
                <c:pt idx="5">
                  <c:v>2015</c:v>
                </c:pt>
                <c:pt idx="6">
                  <c:v>2016</c:v>
                </c:pt>
                <c:pt idx="7">
                  <c:v>2017</c:v>
                </c:pt>
              </c:numCache>
            </c:numRef>
          </c:cat>
          <c:val>
            <c:numRef>
              <c:f>Hoja1!$F$34:$F$41</c:f>
              <c:numCache>
                <c:formatCode>General</c:formatCode>
                <c:ptCount val="8"/>
                <c:pt idx="0">
                  <c:v>26.07</c:v>
                </c:pt>
                <c:pt idx="1">
                  <c:v>26.61</c:v>
                </c:pt>
                <c:pt idx="2">
                  <c:v>26.61</c:v>
                </c:pt>
                <c:pt idx="3">
                  <c:v>27.73</c:v>
                </c:pt>
                <c:pt idx="4">
                  <c:v>28.08</c:v>
                </c:pt>
                <c:pt idx="5">
                  <c:v>27.73</c:v>
                </c:pt>
                <c:pt idx="6">
                  <c:v>25.98</c:v>
                </c:pt>
                <c:pt idx="7">
                  <c:v>22.45</c:v>
                </c:pt>
              </c:numCache>
            </c:numRef>
          </c:val>
          <c:extLst>
            <c:ext xmlns:c16="http://schemas.microsoft.com/office/drawing/2014/chart" uri="{C3380CC4-5D6E-409C-BE32-E72D297353CC}">
              <c16:uniqueId val="{00000001-5681-40E7-813C-18C0AEC19B06}"/>
            </c:ext>
          </c:extLst>
        </c:ser>
        <c:ser>
          <c:idx val="2"/>
          <c:order val="2"/>
          <c:tx>
            <c:strRef>
              <c:f>Hoja1!$G$33</c:f>
              <c:strCache>
                <c:ptCount val="1"/>
                <c:pt idx="0">
                  <c:v>Actividades Terciarias</c:v>
                </c:pt>
              </c:strCache>
            </c:strRef>
          </c:tx>
          <c:spPr>
            <a:solidFill>
              <a:srgbClr val="92D050"/>
            </a:solidFill>
            <a:ln>
              <a:solidFill>
                <a:srgbClr val="92D050"/>
              </a:solidFill>
            </a:ln>
            <a:effectLst/>
          </c:spPr>
          <c:invertIfNegative val="0"/>
          <c:cat>
            <c:numRef>
              <c:f>Hoja1!$D$34:$D$41</c:f>
              <c:numCache>
                <c:formatCode>General</c:formatCode>
                <c:ptCount val="8"/>
                <c:pt idx="0">
                  <c:v>2010</c:v>
                </c:pt>
                <c:pt idx="1">
                  <c:v>2011</c:v>
                </c:pt>
                <c:pt idx="2">
                  <c:v>2012</c:v>
                </c:pt>
                <c:pt idx="3">
                  <c:v>2013</c:v>
                </c:pt>
                <c:pt idx="4">
                  <c:v>2014</c:v>
                </c:pt>
                <c:pt idx="5">
                  <c:v>2015</c:v>
                </c:pt>
                <c:pt idx="6">
                  <c:v>2016</c:v>
                </c:pt>
                <c:pt idx="7">
                  <c:v>2017</c:v>
                </c:pt>
              </c:numCache>
            </c:numRef>
          </c:cat>
          <c:val>
            <c:numRef>
              <c:f>Hoja1!$G$34:$G$41</c:f>
              <c:numCache>
                <c:formatCode>General</c:formatCode>
                <c:ptCount val="8"/>
                <c:pt idx="0">
                  <c:v>68.069999999999993</c:v>
                </c:pt>
                <c:pt idx="1">
                  <c:v>67.81</c:v>
                </c:pt>
                <c:pt idx="2">
                  <c:v>67.58</c:v>
                </c:pt>
                <c:pt idx="3">
                  <c:v>66.36</c:v>
                </c:pt>
                <c:pt idx="4">
                  <c:v>66.099999999999994</c:v>
                </c:pt>
                <c:pt idx="5">
                  <c:v>66.72</c:v>
                </c:pt>
                <c:pt idx="6">
                  <c:v>68.209999999999994</c:v>
                </c:pt>
                <c:pt idx="7">
                  <c:v>71.41</c:v>
                </c:pt>
              </c:numCache>
            </c:numRef>
          </c:val>
          <c:extLst>
            <c:ext xmlns:c16="http://schemas.microsoft.com/office/drawing/2014/chart" uri="{C3380CC4-5D6E-409C-BE32-E72D297353CC}">
              <c16:uniqueId val="{00000002-5681-40E7-813C-18C0AEC19B06}"/>
            </c:ext>
          </c:extLst>
        </c:ser>
        <c:dLbls>
          <c:showLegendKey val="0"/>
          <c:showVal val="0"/>
          <c:showCatName val="0"/>
          <c:showSerName val="0"/>
          <c:showPercent val="0"/>
          <c:showBubbleSize val="0"/>
        </c:dLbls>
        <c:gapWidth val="150"/>
        <c:overlap val="100"/>
        <c:axId val="1986478688"/>
        <c:axId val="1986491200"/>
      </c:barChart>
      <c:catAx>
        <c:axId val="198647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91200"/>
        <c:crosses val="autoZero"/>
        <c:auto val="1"/>
        <c:lblAlgn val="ctr"/>
        <c:lblOffset val="100"/>
        <c:noMultiLvlLbl val="0"/>
      </c:catAx>
      <c:valAx>
        <c:axId val="1986491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786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b="1">
                <a:solidFill>
                  <a:sysClr val="windowText" lastClr="000000"/>
                </a:solidFill>
              </a:rPr>
              <a:t>Variación anual de las actividades económicas de Oaxaca (%)</a:t>
            </a:r>
          </a:p>
        </c:rich>
      </c:tx>
      <c:overlay val="0"/>
      <c:spPr>
        <a:noFill/>
        <a:ln>
          <a:noFill/>
        </a:ln>
        <a:effectLst/>
      </c:spPr>
    </c:title>
    <c:autoTitleDeleted val="0"/>
    <c:plotArea>
      <c:layout/>
      <c:lineChart>
        <c:grouping val="standard"/>
        <c:varyColors val="0"/>
        <c:ser>
          <c:idx val="0"/>
          <c:order val="0"/>
          <c:tx>
            <c:strRef>
              <c:f>Hoja3!$D$27</c:f>
              <c:strCache>
                <c:ptCount val="1"/>
                <c:pt idx="0">
                  <c:v>Actividades primarias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Hoja3!$C$28:$C$34</c:f>
              <c:numCache>
                <c:formatCode>General</c:formatCode>
                <c:ptCount val="7"/>
                <c:pt idx="0">
                  <c:v>2013</c:v>
                </c:pt>
                <c:pt idx="1">
                  <c:v>2014</c:v>
                </c:pt>
                <c:pt idx="2">
                  <c:v>2015</c:v>
                </c:pt>
                <c:pt idx="3">
                  <c:v>2016</c:v>
                </c:pt>
                <c:pt idx="4">
                  <c:v>2017</c:v>
                </c:pt>
                <c:pt idx="5">
                  <c:v>2018</c:v>
                </c:pt>
                <c:pt idx="6">
                  <c:v>2019</c:v>
                </c:pt>
              </c:numCache>
            </c:numRef>
          </c:cat>
          <c:val>
            <c:numRef>
              <c:f>Hoja3!$D$28:$D$34</c:f>
              <c:numCache>
                <c:formatCode>###\ ###\ ###\ ###\ ##0.0</c:formatCode>
                <c:ptCount val="7"/>
                <c:pt idx="0">
                  <c:v>4.2366950496933997</c:v>
                </c:pt>
                <c:pt idx="1">
                  <c:v>0.53442198765432603</c:v>
                </c:pt>
                <c:pt idx="2">
                  <c:v>-0.88039644915818405</c:v>
                </c:pt>
                <c:pt idx="3">
                  <c:v>3.17650322314039</c:v>
                </c:pt>
                <c:pt idx="4">
                  <c:v>2.2077227622905999</c:v>
                </c:pt>
                <c:pt idx="5">
                  <c:v>3.0453312435906401</c:v>
                </c:pt>
                <c:pt idx="6">
                  <c:v>7.8620371369058297</c:v>
                </c:pt>
              </c:numCache>
            </c:numRef>
          </c:val>
          <c:smooth val="0"/>
          <c:extLst>
            <c:ext xmlns:c16="http://schemas.microsoft.com/office/drawing/2014/chart" uri="{C3380CC4-5D6E-409C-BE32-E72D297353CC}">
              <c16:uniqueId val="{00000000-33E4-4203-AE49-9FF81A0D85D1}"/>
            </c:ext>
          </c:extLst>
        </c:ser>
        <c:ser>
          <c:idx val="1"/>
          <c:order val="1"/>
          <c:tx>
            <c:strRef>
              <c:f>Hoja3!$E$27</c:f>
              <c:strCache>
                <c:ptCount val="1"/>
                <c:pt idx="0">
                  <c:v>Actividades secundarias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Hoja3!$C$28:$C$34</c:f>
              <c:numCache>
                <c:formatCode>General</c:formatCode>
                <c:ptCount val="7"/>
                <c:pt idx="0">
                  <c:v>2013</c:v>
                </c:pt>
                <c:pt idx="1">
                  <c:v>2014</c:v>
                </c:pt>
                <c:pt idx="2">
                  <c:v>2015</c:v>
                </c:pt>
                <c:pt idx="3">
                  <c:v>2016</c:v>
                </c:pt>
                <c:pt idx="4">
                  <c:v>2017</c:v>
                </c:pt>
                <c:pt idx="5">
                  <c:v>2018</c:v>
                </c:pt>
                <c:pt idx="6">
                  <c:v>2019</c:v>
                </c:pt>
              </c:numCache>
            </c:numRef>
          </c:cat>
          <c:val>
            <c:numRef>
              <c:f>Hoja3!$E$28:$E$34</c:f>
              <c:numCache>
                <c:formatCode>###\ ###\ ###\ ###\ ##0.0</c:formatCode>
                <c:ptCount val="7"/>
                <c:pt idx="0">
                  <c:v>6.7289972513528502</c:v>
                </c:pt>
                <c:pt idx="1">
                  <c:v>3.3358541808470101</c:v>
                </c:pt>
                <c:pt idx="2">
                  <c:v>2.67751339540574</c:v>
                </c:pt>
                <c:pt idx="3">
                  <c:v>-7.7925926853777101</c:v>
                </c:pt>
                <c:pt idx="4">
                  <c:v>-16.394215734828101</c:v>
                </c:pt>
                <c:pt idx="5">
                  <c:v>11.870685728610001</c:v>
                </c:pt>
                <c:pt idx="6">
                  <c:v>-11.181322540910701</c:v>
                </c:pt>
              </c:numCache>
            </c:numRef>
          </c:val>
          <c:smooth val="0"/>
          <c:extLst>
            <c:ext xmlns:c16="http://schemas.microsoft.com/office/drawing/2014/chart" uri="{C3380CC4-5D6E-409C-BE32-E72D297353CC}">
              <c16:uniqueId val="{00000001-33E4-4203-AE49-9FF81A0D85D1}"/>
            </c:ext>
          </c:extLst>
        </c:ser>
        <c:ser>
          <c:idx val="2"/>
          <c:order val="2"/>
          <c:tx>
            <c:strRef>
              <c:f>Hoja3!$F$27</c:f>
              <c:strCache>
                <c:ptCount val="1"/>
                <c:pt idx="0">
                  <c:v>Actividades terciarias</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numRef>
              <c:f>Hoja3!$C$28:$C$34</c:f>
              <c:numCache>
                <c:formatCode>General</c:formatCode>
                <c:ptCount val="7"/>
                <c:pt idx="0">
                  <c:v>2013</c:v>
                </c:pt>
                <c:pt idx="1">
                  <c:v>2014</c:v>
                </c:pt>
                <c:pt idx="2">
                  <c:v>2015</c:v>
                </c:pt>
                <c:pt idx="3">
                  <c:v>2016</c:v>
                </c:pt>
                <c:pt idx="4">
                  <c:v>2017</c:v>
                </c:pt>
                <c:pt idx="5">
                  <c:v>2018</c:v>
                </c:pt>
                <c:pt idx="6">
                  <c:v>2019</c:v>
                </c:pt>
              </c:numCache>
            </c:numRef>
          </c:cat>
          <c:val>
            <c:numRef>
              <c:f>Hoja3!$F$28:$F$34</c:f>
              <c:numCache>
                <c:formatCode>###\ ###\ ###\ ###\ ##0.0</c:formatCode>
                <c:ptCount val="7"/>
                <c:pt idx="0">
                  <c:v>0.58902667070859105</c:v>
                </c:pt>
                <c:pt idx="1">
                  <c:v>1.6517504211873</c:v>
                </c:pt>
                <c:pt idx="2">
                  <c:v>4.9489739447640302</c:v>
                </c:pt>
                <c:pt idx="3">
                  <c:v>0.61757458325040204</c:v>
                </c:pt>
                <c:pt idx="4">
                  <c:v>1.27864286928113</c:v>
                </c:pt>
                <c:pt idx="5">
                  <c:v>2.7471105940637401</c:v>
                </c:pt>
                <c:pt idx="6">
                  <c:v>1.2381508134985599</c:v>
                </c:pt>
              </c:numCache>
            </c:numRef>
          </c:val>
          <c:smooth val="0"/>
          <c:extLst>
            <c:ext xmlns:c16="http://schemas.microsoft.com/office/drawing/2014/chart" uri="{C3380CC4-5D6E-409C-BE32-E72D297353CC}">
              <c16:uniqueId val="{00000002-33E4-4203-AE49-9FF81A0D85D1}"/>
            </c:ext>
          </c:extLst>
        </c:ser>
        <c:dLbls>
          <c:showLegendKey val="0"/>
          <c:showVal val="0"/>
          <c:showCatName val="0"/>
          <c:showSerName val="0"/>
          <c:showPercent val="0"/>
          <c:showBubbleSize val="0"/>
        </c:dLbls>
        <c:marker val="1"/>
        <c:smooth val="0"/>
        <c:axId val="1986464000"/>
        <c:axId val="1986471072"/>
      </c:lineChart>
      <c:catAx>
        <c:axId val="198646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71072"/>
        <c:crosses val="autoZero"/>
        <c:auto val="1"/>
        <c:lblAlgn val="ctr"/>
        <c:lblOffset val="100"/>
        <c:noMultiLvlLbl val="0"/>
      </c:catAx>
      <c:valAx>
        <c:axId val="1986471072"/>
        <c:scaling>
          <c:orientation val="minMax"/>
        </c:scaling>
        <c:delete val="0"/>
        <c:axPos val="l"/>
        <c:majorGridlines>
          <c:spPr>
            <a:ln w="9525" cap="flat" cmpd="sng" algn="ctr">
              <a:solidFill>
                <a:schemeClr val="tx1">
                  <a:lumMod val="15000"/>
                  <a:lumOff val="85000"/>
                </a:schemeClr>
              </a:solidFill>
              <a:round/>
            </a:ln>
            <a:effectLst/>
          </c:spPr>
        </c:majorGridlines>
        <c:numFmt formatCode="###\ ###\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6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100" b="1" i="0" baseline="0">
                <a:solidFill>
                  <a:sysClr val="windowText" lastClr="000000"/>
                </a:solidFill>
                <a:effectLst/>
              </a:rPr>
              <a:t>Población ocupada por rama de actividad económica, segundo trimestre de 2019 (%)</a:t>
            </a:r>
            <a:endParaRPr lang="es-MX" sz="1000">
              <a:solidFill>
                <a:sysClr val="windowText" lastClr="000000"/>
              </a:solidFill>
              <a:effectLst/>
            </a:endParaRPr>
          </a:p>
        </c:rich>
      </c:tx>
      <c:overlay val="0"/>
      <c:spPr>
        <a:noFill/>
        <a:ln>
          <a:noFill/>
        </a:ln>
        <a:effectLst/>
      </c:spPr>
    </c:title>
    <c:autoTitleDeleted val="0"/>
    <c:plotArea>
      <c:layout/>
      <c:barChart>
        <c:barDir val="bar"/>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Hoja4!$C$8:$C$16</c:f>
              <c:strCache>
                <c:ptCount val="9"/>
                <c:pt idx="0">
                  <c:v>No especificado </c:v>
                </c:pt>
                <c:pt idx="1">
                  <c:v>Gobierno y organismos internacionales </c:v>
                </c:pt>
                <c:pt idx="2">
                  <c:v>Otros servicios </c:v>
                </c:pt>
                <c:pt idx="3">
                  <c:v>Transportes y comunicaciones</c:v>
                </c:pt>
                <c:pt idx="4">
                  <c:v>Comercio </c:v>
                </c:pt>
                <c:pt idx="5">
                  <c:v>Construcción </c:v>
                </c:pt>
                <c:pt idx="6">
                  <c:v>Industria extractiva y electricidad </c:v>
                </c:pt>
                <c:pt idx="7">
                  <c:v>Industria manufacturera </c:v>
                </c:pt>
                <c:pt idx="8">
                  <c:v>Actividades agropecuarias </c:v>
                </c:pt>
              </c:strCache>
            </c:strRef>
          </c:cat>
          <c:val>
            <c:numRef>
              <c:f>Hoja4!$D$8:$D$16</c:f>
              <c:numCache>
                <c:formatCode>General</c:formatCode>
                <c:ptCount val="9"/>
                <c:pt idx="0">
                  <c:v>0.33</c:v>
                </c:pt>
                <c:pt idx="1">
                  <c:v>4.12</c:v>
                </c:pt>
                <c:pt idx="2">
                  <c:v>26.1</c:v>
                </c:pt>
                <c:pt idx="3">
                  <c:v>3.17</c:v>
                </c:pt>
                <c:pt idx="4">
                  <c:v>15.89</c:v>
                </c:pt>
                <c:pt idx="5">
                  <c:v>6.24</c:v>
                </c:pt>
                <c:pt idx="6">
                  <c:v>0.67</c:v>
                </c:pt>
                <c:pt idx="7">
                  <c:v>14.21</c:v>
                </c:pt>
                <c:pt idx="8">
                  <c:v>29.28</c:v>
                </c:pt>
              </c:numCache>
            </c:numRef>
          </c:val>
          <c:extLst>
            <c:ext xmlns:c16="http://schemas.microsoft.com/office/drawing/2014/chart" uri="{C3380CC4-5D6E-409C-BE32-E72D297353CC}">
              <c16:uniqueId val="{00000000-AAC3-4F29-B950-2865E37DB83E}"/>
            </c:ext>
          </c:extLst>
        </c:ser>
        <c:dLbls>
          <c:dLblPos val="outEnd"/>
          <c:showLegendKey val="0"/>
          <c:showVal val="1"/>
          <c:showCatName val="0"/>
          <c:showSerName val="0"/>
          <c:showPercent val="0"/>
          <c:showBubbleSize val="0"/>
        </c:dLbls>
        <c:gapWidth val="182"/>
        <c:axId val="1986464544"/>
        <c:axId val="1986491744"/>
      </c:barChart>
      <c:catAx>
        <c:axId val="198646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986491744"/>
        <c:crosses val="autoZero"/>
        <c:auto val="1"/>
        <c:lblAlgn val="ctr"/>
        <c:lblOffset val="100"/>
        <c:noMultiLvlLbl val="0"/>
      </c:catAx>
      <c:valAx>
        <c:axId val="1986491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6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ysClr val="windowText" lastClr="000000">
                    <a:lumMod val="65000"/>
                    <a:lumOff val="35000"/>
                  </a:sysClr>
                </a:solidFill>
                <a:latin typeface="+mn-lt"/>
                <a:ea typeface="+mn-ea"/>
                <a:cs typeface="+mn-cs"/>
              </a:defRPr>
            </a:pPr>
            <a:r>
              <a:rPr lang="es-MX" sz="1050" b="1" i="0" baseline="0">
                <a:solidFill>
                  <a:sysClr val="windowText" lastClr="000000"/>
                </a:solidFill>
                <a:effectLst/>
              </a:rPr>
              <a:t>Población ocupada por nivel de ingreso, segundo trimestre de 2019 (%)</a:t>
            </a:r>
            <a:endParaRPr lang="es-MX" sz="1050" b="1">
              <a:solidFill>
                <a:sysClr val="windowText" lastClr="000000"/>
              </a:solidFill>
              <a:effectLst/>
            </a:endParaRPr>
          </a:p>
        </c:rich>
      </c:tx>
      <c:overlay val="0"/>
      <c:spPr>
        <a:noFill/>
        <a:ln>
          <a:noFill/>
        </a:ln>
        <a:effectLst/>
      </c:spPr>
    </c:title>
    <c:autoTitleDeleted val="0"/>
    <c:plotArea>
      <c:layout/>
      <c:barChart>
        <c:barDir val="bar"/>
        <c:grouping val="clustered"/>
        <c:varyColors val="0"/>
        <c:ser>
          <c:idx val="0"/>
          <c:order val="0"/>
          <c:spPr>
            <a:solidFill>
              <a:schemeClr val="tx2">
                <a:lumMod val="50000"/>
              </a:schemeClr>
            </a:solidFill>
            <a:ln>
              <a:solidFill>
                <a:schemeClr val="tx2">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Hoja1!$B$28:$B$34</c:f>
              <c:strCache>
                <c:ptCount val="7"/>
                <c:pt idx="0">
                  <c:v>No recibe ingresos</c:v>
                </c:pt>
                <c:pt idx="1">
                  <c:v>Menos de 1 S.M.</c:v>
                </c:pt>
                <c:pt idx="2">
                  <c:v>De 1 a 2 S.M.</c:v>
                </c:pt>
                <c:pt idx="3">
                  <c:v>Más de 2 a 5 S.M.</c:v>
                </c:pt>
                <c:pt idx="4">
                  <c:v>Más de 5 a 10 S.M.</c:v>
                </c:pt>
                <c:pt idx="5">
                  <c:v>Más de 10 S.M.</c:v>
                </c:pt>
                <c:pt idx="6">
                  <c:v>No especificado</c:v>
                </c:pt>
              </c:strCache>
            </c:strRef>
          </c:cat>
          <c:val>
            <c:numRef>
              <c:f>Hoja1!$C$28:$C$34</c:f>
              <c:numCache>
                <c:formatCode>0.00</c:formatCode>
                <c:ptCount val="7"/>
                <c:pt idx="0">
                  <c:v>21.057518894147947</c:v>
                </c:pt>
                <c:pt idx="1">
                  <c:v>32.616968845753917</c:v>
                </c:pt>
                <c:pt idx="2">
                  <c:v>24.237468878680669</c:v>
                </c:pt>
                <c:pt idx="3">
                  <c:v>14.105822723446785</c:v>
                </c:pt>
                <c:pt idx="4">
                  <c:v>1.1979252269317631</c:v>
                </c:pt>
                <c:pt idx="5">
                  <c:v>0.12091590616925682</c:v>
                </c:pt>
                <c:pt idx="6">
                  <c:v>6.6633795248696632</c:v>
                </c:pt>
              </c:numCache>
            </c:numRef>
          </c:val>
          <c:extLst>
            <c:ext xmlns:c16="http://schemas.microsoft.com/office/drawing/2014/chart" uri="{C3380CC4-5D6E-409C-BE32-E72D297353CC}">
              <c16:uniqueId val="{00000000-C0B6-4C1E-A414-0F380632A3CF}"/>
            </c:ext>
          </c:extLst>
        </c:ser>
        <c:dLbls>
          <c:dLblPos val="outEnd"/>
          <c:showLegendKey val="0"/>
          <c:showVal val="1"/>
          <c:showCatName val="0"/>
          <c:showSerName val="0"/>
          <c:showPercent val="0"/>
          <c:showBubbleSize val="0"/>
        </c:dLbls>
        <c:gapWidth val="182"/>
        <c:axId val="1986461280"/>
        <c:axId val="1986483584"/>
      </c:barChart>
      <c:catAx>
        <c:axId val="1986461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986483584"/>
        <c:crosses val="autoZero"/>
        <c:auto val="1"/>
        <c:lblAlgn val="ctr"/>
        <c:lblOffset val="100"/>
        <c:noMultiLvlLbl val="0"/>
      </c:catAx>
      <c:valAx>
        <c:axId val="19864835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6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b="1">
                <a:solidFill>
                  <a:sysClr val="windowText" lastClr="000000"/>
                </a:solidFill>
              </a:rPr>
              <a:t>Pobreza en Oaxaca 2008-2018 (%)</a:t>
            </a:r>
          </a:p>
        </c:rich>
      </c:tx>
      <c:overlay val="0"/>
      <c:spPr>
        <a:noFill/>
        <a:ln>
          <a:noFill/>
        </a:ln>
        <a:effectLst/>
      </c:spPr>
    </c:title>
    <c:autoTitleDeleted val="0"/>
    <c:plotArea>
      <c:layout>
        <c:manualLayout>
          <c:layoutTarget val="inner"/>
          <c:xMode val="edge"/>
          <c:yMode val="edge"/>
          <c:x val="7.477332813369196E-2"/>
          <c:y val="0.15714285714285714"/>
          <c:w val="0.8985211608199376"/>
          <c:h val="0.61009695216669357"/>
        </c:manualLayout>
      </c:layout>
      <c:lineChart>
        <c:grouping val="standard"/>
        <c:varyColors val="0"/>
        <c:ser>
          <c:idx val="0"/>
          <c:order val="0"/>
          <c:tx>
            <c:strRef>
              <c:f>Hoja1!$D$8</c:f>
              <c:strCache>
                <c:ptCount val="1"/>
                <c:pt idx="0">
                  <c:v>Población en situación de pobreza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Hoja1!$E$7:$J$7</c:f>
              <c:numCache>
                <c:formatCode>General</c:formatCode>
                <c:ptCount val="6"/>
                <c:pt idx="0">
                  <c:v>2008</c:v>
                </c:pt>
                <c:pt idx="1">
                  <c:v>2010</c:v>
                </c:pt>
                <c:pt idx="2">
                  <c:v>2012</c:v>
                </c:pt>
                <c:pt idx="3">
                  <c:v>2014</c:v>
                </c:pt>
                <c:pt idx="4">
                  <c:v>2016</c:v>
                </c:pt>
                <c:pt idx="5">
                  <c:v>2018</c:v>
                </c:pt>
              </c:numCache>
            </c:numRef>
          </c:cat>
          <c:val>
            <c:numRef>
              <c:f>Hoja1!$E$8:$J$8</c:f>
              <c:numCache>
                <c:formatCode>0.0</c:formatCode>
                <c:ptCount val="6"/>
                <c:pt idx="0">
                  <c:v>61.803380846907451</c:v>
                </c:pt>
                <c:pt idx="1">
                  <c:v>66.987414761241169</c:v>
                </c:pt>
                <c:pt idx="2">
                  <c:v>61.937351204786481</c:v>
                </c:pt>
                <c:pt idx="3">
                  <c:v>66.750093378756773</c:v>
                </c:pt>
                <c:pt idx="4">
                  <c:v>70.401104722391523</c:v>
                </c:pt>
                <c:pt idx="5">
                  <c:v>66.351622191045564</c:v>
                </c:pt>
              </c:numCache>
            </c:numRef>
          </c:val>
          <c:smooth val="0"/>
          <c:extLst>
            <c:ext xmlns:c16="http://schemas.microsoft.com/office/drawing/2014/chart" uri="{C3380CC4-5D6E-409C-BE32-E72D297353CC}">
              <c16:uniqueId val="{00000000-1509-4AD6-8A64-2C0B2C79D951}"/>
            </c:ext>
          </c:extLst>
        </c:ser>
        <c:ser>
          <c:idx val="1"/>
          <c:order val="1"/>
          <c:tx>
            <c:strRef>
              <c:f>Hoja1!$D$9</c:f>
              <c:strCache>
                <c:ptCount val="1"/>
                <c:pt idx="0">
                  <c:v>    Población en situación de pobreza moderada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Hoja1!$E$7:$J$7</c:f>
              <c:numCache>
                <c:formatCode>General</c:formatCode>
                <c:ptCount val="6"/>
                <c:pt idx="0">
                  <c:v>2008</c:v>
                </c:pt>
                <c:pt idx="1">
                  <c:v>2010</c:v>
                </c:pt>
                <c:pt idx="2">
                  <c:v>2012</c:v>
                </c:pt>
                <c:pt idx="3">
                  <c:v>2014</c:v>
                </c:pt>
                <c:pt idx="4">
                  <c:v>2016</c:v>
                </c:pt>
                <c:pt idx="5">
                  <c:v>2018</c:v>
                </c:pt>
              </c:numCache>
            </c:numRef>
          </c:cat>
          <c:val>
            <c:numRef>
              <c:f>Hoja1!$E$9:$J$9</c:f>
              <c:numCache>
                <c:formatCode>0.0</c:formatCode>
                <c:ptCount val="6"/>
                <c:pt idx="0">
                  <c:v>33.481267478970111</c:v>
                </c:pt>
                <c:pt idx="1">
                  <c:v>37.742093039996846</c:v>
                </c:pt>
                <c:pt idx="2">
                  <c:v>38.61893110148781</c:v>
                </c:pt>
                <c:pt idx="3">
                  <c:v>38.415669582089329</c:v>
                </c:pt>
                <c:pt idx="4">
                  <c:v>43.520944107426089</c:v>
                </c:pt>
                <c:pt idx="5">
                  <c:v>43.086904662974348</c:v>
                </c:pt>
              </c:numCache>
            </c:numRef>
          </c:val>
          <c:smooth val="0"/>
          <c:extLst>
            <c:ext xmlns:c16="http://schemas.microsoft.com/office/drawing/2014/chart" uri="{C3380CC4-5D6E-409C-BE32-E72D297353CC}">
              <c16:uniqueId val="{00000001-1509-4AD6-8A64-2C0B2C79D951}"/>
            </c:ext>
          </c:extLst>
        </c:ser>
        <c:ser>
          <c:idx val="2"/>
          <c:order val="2"/>
          <c:tx>
            <c:strRef>
              <c:f>Hoja1!$D$10</c:f>
              <c:strCache>
                <c:ptCount val="1"/>
                <c:pt idx="0">
                  <c:v>    Población en situación de pobreza extrema</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Hoja1!$E$7:$J$7</c:f>
              <c:numCache>
                <c:formatCode>General</c:formatCode>
                <c:ptCount val="6"/>
                <c:pt idx="0">
                  <c:v>2008</c:v>
                </c:pt>
                <c:pt idx="1">
                  <c:v>2010</c:v>
                </c:pt>
                <c:pt idx="2">
                  <c:v>2012</c:v>
                </c:pt>
                <c:pt idx="3">
                  <c:v>2014</c:v>
                </c:pt>
                <c:pt idx="4">
                  <c:v>2016</c:v>
                </c:pt>
                <c:pt idx="5">
                  <c:v>2018</c:v>
                </c:pt>
              </c:numCache>
            </c:numRef>
          </c:cat>
          <c:val>
            <c:numRef>
              <c:f>Hoja1!$E$10:$J$10</c:f>
              <c:numCache>
                <c:formatCode>0.0</c:formatCode>
                <c:ptCount val="6"/>
                <c:pt idx="0">
                  <c:v>28.322113367937341</c:v>
                </c:pt>
                <c:pt idx="1">
                  <c:v>29.245321721244327</c:v>
                </c:pt>
                <c:pt idx="2">
                  <c:v>23.318420103298667</c:v>
                </c:pt>
                <c:pt idx="3">
                  <c:v>28.334423796667448</c:v>
                </c:pt>
                <c:pt idx="4">
                  <c:v>26.880160614965426</c:v>
                </c:pt>
                <c:pt idx="5">
                  <c:v>23.264717528071213</c:v>
                </c:pt>
              </c:numCache>
            </c:numRef>
          </c:val>
          <c:smooth val="0"/>
          <c:extLst>
            <c:ext xmlns:c16="http://schemas.microsoft.com/office/drawing/2014/chart" uri="{C3380CC4-5D6E-409C-BE32-E72D297353CC}">
              <c16:uniqueId val="{00000002-1509-4AD6-8A64-2C0B2C79D951}"/>
            </c:ext>
          </c:extLst>
        </c:ser>
        <c:dLbls>
          <c:dLblPos val="t"/>
          <c:showLegendKey val="0"/>
          <c:showVal val="1"/>
          <c:showCatName val="0"/>
          <c:showSerName val="0"/>
          <c:showPercent val="0"/>
          <c:showBubbleSize val="0"/>
        </c:dLbls>
        <c:marker val="1"/>
        <c:smooth val="0"/>
        <c:axId val="1986484672"/>
        <c:axId val="1986485760"/>
      </c:lineChart>
      <c:catAx>
        <c:axId val="198648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986485760"/>
        <c:crosses val="autoZero"/>
        <c:auto val="1"/>
        <c:lblAlgn val="ctr"/>
        <c:lblOffset val="100"/>
        <c:noMultiLvlLbl val="0"/>
      </c:catAx>
      <c:valAx>
        <c:axId val="1986485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84672"/>
        <c:crosses val="autoZero"/>
        <c:crossBetween val="between"/>
      </c:valAx>
      <c:spPr>
        <a:noFill/>
        <a:ln>
          <a:noFill/>
        </a:ln>
        <a:effectLst/>
      </c:spPr>
    </c:plotArea>
    <c:legend>
      <c:legendPos val="b"/>
      <c:layout>
        <c:manualLayout>
          <c:xMode val="edge"/>
          <c:yMode val="edge"/>
          <c:x val="8.5082955307935384E-3"/>
          <c:y val="0.85308527285824287"/>
          <c:w val="0.99026673013287758"/>
          <c:h val="0.14302327883784016"/>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s-MX" sz="1100">
                <a:solidFill>
                  <a:sysClr val="windowText" lastClr="000000"/>
                </a:solidFill>
              </a:rPr>
              <a:t>Clasificación</a:t>
            </a:r>
            <a:r>
              <a:rPr lang="es-MX" sz="1100" baseline="0">
                <a:solidFill>
                  <a:sysClr val="windowText" lastClr="000000"/>
                </a:solidFill>
              </a:rPr>
              <a:t> Administrativa 2020</a:t>
            </a:r>
            <a:endParaRPr lang="es-MX" sz="1100">
              <a:solidFill>
                <a:sysClr val="windowText" lastClr="000000"/>
              </a:solidFill>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8358-4349-8E49-CF4B89A30ED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8358-4349-8E49-CF4B89A30ED0}"/>
              </c:ext>
            </c:extLst>
          </c:dPt>
          <c:dPt>
            <c:idx val="2"/>
            <c:bubble3D val="0"/>
            <c:spPr>
              <a:solidFill>
                <a:srgbClr val="00B050"/>
              </a:solidFill>
              <a:ln>
                <a:noFill/>
              </a:ln>
              <a:effectLst/>
              <a:sp3d/>
            </c:spPr>
            <c:extLst>
              <c:ext xmlns:c16="http://schemas.microsoft.com/office/drawing/2014/chart" uri="{C3380CC4-5D6E-409C-BE32-E72D297353CC}">
                <c16:uniqueId val="{00000005-8358-4349-8E49-CF4B89A30ED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8358-4349-8E49-CF4B89A30ED0}"/>
              </c:ext>
            </c:extLst>
          </c:dPt>
          <c:dPt>
            <c:idx val="4"/>
            <c:bubble3D val="0"/>
            <c:spPr>
              <a:solidFill>
                <a:srgbClr val="C00000"/>
              </a:solidFill>
              <a:ln>
                <a:noFill/>
              </a:ln>
              <a:effectLst/>
              <a:sp3d/>
            </c:spPr>
            <c:extLst>
              <c:ext xmlns:c16="http://schemas.microsoft.com/office/drawing/2014/chart" uri="{C3380CC4-5D6E-409C-BE32-E72D297353CC}">
                <c16:uniqueId val="{00000009-8358-4349-8E49-CF4B89A30ED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8358-4349-8E49-CF4B89A30ED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8358-4349-8E49-CF4B89A30ED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8358-4349-8E49-CF4B89A30ED0}"/>
              </c:ext>
            </c:extLst>
          </c:dPt>
          <c:dLbls>
            <c:dLbl>
              <c:idx val="0"/>
              <c:layout>
                <c:manualLayout>
                  <c:x val="-0.13097810795920745"/>
                  <c:y val="2.827457576156202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58-4349-8E49-CF4B89A30ED0}"/>
                </c:ext>
              </c:extLst>
            </c:dLbl>
            <c:dLbl>
              <c:idx val="1"/>
              <c:layout>
                <c:manualLayout>
                  <c:x val="0.11654459346811331"/>
                  <c:y val="-0.1585566496908649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58-4349-8E49-CF4B89A30ED0}"/>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a:solidFill>
                    <a:schemeClr val="tx1"/>
                  </a:solidFill>
                </a:ln>
                <a:effectLst/>
              </c:spPr>
            </c:leaderLines>
            <c:extLst>
              <c:ext xmlns:c15="http://schemas.microsoft.com/office/drawing/2012/chart" uri="{CE6537A1-D6FC-4f65-9D91-7224C49458BB}"/>
            </c:extLst>
          </c:dLbls>
          <c:cat>
            <c:strRef>
              <c:f>ADMINISTRATIVA!$C$8:$C$15</c:f>
              <c:strCache>
                <c:ptCount val="8"/>
                <c:pt idx="0">
                  <c:v>O.P.D.</c:v>
                </c:pt>
                <c:pt idx="1">
                  <c:v>A.P.C.</c:v>
                </c:pt>
                <c:pt idx="2">
                  <c:v>Municipios</c:v>
                </c:pt>
                <c:pt idx="3">
                  <c:v>O.Aut.</c:v>
                </c:pt>
                <c:pt idx="4">
                  <c:v>P.Jud.</c:v>
                </c:pt>
                <c:pt idx="5">
                  <c:v>P.Leg.</c:v>
                </c:pt>
                <c:pt idx="6">
                  <c:v>Fid.Pub.</c:v>
                </c:pt>
                <c:pt idx="7">
                  <c:v>I.P.S.S.</c:v>
                </c:pt>
              </c:strCache>
            </c:strRef>
          </c:cat>
          <c:val>
            <c:numRef>
              <c:f>ADMINISTRATIVA!$D$8:$D$15</c:f>
              <c:numCache>
                <c:formatCode>0.00%</c:formatCode>
                <c:ptCount val="8"/>
                <c:pt idx="0">
                  <c:v>0.48599999999999999</c:v>
                </c:pt>
                <c:pt idx="1">
                  <c:v>0.25530000000000003</c:v>
                </c:pt>
                <c:pt idx="2" formatCode="0%">
                  <c:v>0.20799999999999999</c:v>
                </c:pt>
                <c:pt idx="3">
                  <c:v>2.8799999999999999E-2</c:v>
                </c:pt>
                <c:pt idx="4">
                  <c:v>1.2699999999999999E-2</c:v>
                </c:pt>
                <c:pt idx="5">
                  <c:v>6.8999999999999999E-3</c:v>
                </c:pt>
                <c:pt idx="6">
                  <c:v>2.0000000000000001E-4</c:v>
                </c:pt>
                <c:pt idx="7">
                  <c:v>2.2000000000000001E-3</c:v>
                </c:pt>
              </c:numCache>
            </c:numRef>
          </c:val>
          <c:extLst>
            <c:ext xmlns:c16="http://schemas.microsoft.com/office/drawing/2014/chart" uri="{C3380CC4-5D6E-409C-BE32-E72D297353CC}">
              <c16:uniqueId val="{00000010-8358-4349-8E49-CF4B89A30ED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s-MX" sz="1100" b="1">
                <a:solidFill>
                  <a:sysClr val="windowText" lastClr="000000"/>
                </a:solidFill>
              </a:rPr>
              <a:t>Clasificación</a:t>
            </a:r>
            <a:r>
              <a:rPr lang="es-MX" sz="1100" b="1" baseline="0">
                <a:solidFill>
                  <a:sysClr val="windowText" lastClr="000000"/>
                </a:solidFill>
              </a:rPr>
              <a:t> Funcional 2020</a:t>
            </a:r>
            <a:endParaRPr lang="es-MX" sz="1100" b="1">
              <a:solidFill>
                <a:sysClr val="windowText" lastClr="000000"/>
              </a:solidFill>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dPt>
            <c:idx val="0"/>
            <c:bubble3D val="0"/>
            <c:spPr>
              <a:solidFill>
                <a:schemeClr val="accent1"/>
              </a:solidFill>
              <a:ln w="25400">
                <a:noFill/>
              </a:ln>
              <a:effectLst/>
              <a:sp3d/>
            </c:spPr>
            <c:extLst>
              <c:ext xmlns:c16="http://schemas.microsoft.com/office/drawing/2014/chart" uri="{C3380CC4-5D6E-409C-BE32-E72D297353CC}">
                <c16:uniqueId val="{00000001-4158-475D-B3A0-16CAA2696B46}"/>
              </c:ext>
            </c:extLst>
          </c:dPt>
          <c:dPt>
            <c:idx val="1"/>
            <c:bubble3D val="0"/>
            <c:spPr>
              <a:solidFill>
                <a:schemeClr val="accent2"/>
              </a:solidFill>
              <a:ln w="25400">
                <a:noFill/>
              </a:ln>
              <a:effectLst/>
              <a:sp3d/>
            </c:spPr>
            <c:extLst>
              <c:ext xmlns:c16="http://schemas.microsoft.com/office/drawing/2014/chart" uri="{C3380CC4-5D6E-409C-BE32-E72D297353CC}">
                <c16:uniqueId val="{00000003-4158-475D-B3A0-16CAA2696B46}"/>
              </c:ext>
            </c:extLst>
          </c:dPt>
          <c:dPt>
            <c:idx val="2"/>
            <c:bubble3D val="0"/>
            <c:spPr>
              <a:solidFill>
                <a:srgbClr val="00B050"/>
              </a:solidFill>
              <a:ln w="25400">
                <a:noFill/>
              </a:ln>
              <a:effectLst/>
              <a:sp3d/>
            </c:spPr>
            <c:extLst>
              <c:ext xmlns:c16="http://schemas.microsoft.com/office/drawing/2014/chart" uri="{C3380CC4-5D6E-409C-BE32-E72D297353CC}">
                <c16:uniqueId val="{00000005-4158-475D-B3A0-16CAA2696B46}"/>
              </c:ext>
            </c:extLst>
          </c:dPt>
          <c:dPt>
            <c:idx val="3"/>
            <c:bubble3D val="0"/>
            <c:spPr>
              <a:solidFill>
                <a:srgbClr val="C00000"/>
              </a:solidFill>
              <a:ln w="25400">
                <a:noFill/>
              </a:ln>
              <a:effectLst/>
              <a:sp3d/>
            </c:spPr>
            <c:extLst>
              <c:ext xmlns:c16="http://schemas.microsoft.com/office/drawing/2014/chart" uri="{C3380CC4-5D6E-409C-BE32-E72D297353CC}">
                <c16:uniqueId val="{00000007-4158-475D-B3A0-16CAA2696B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FUNCIONAL!$C$5:$C$8</c:f>
              <c:strCache>
                <c:ptCount val="4"/>
                <c:pt idx="0">
                  <c:v>Gobierno</c:v>
                </c:pt>
                <c:pt idx="1">
                  <c:v>Desarrollo social</c:v>
                </c:pt>
                <c:pt idx="2">
                  <c:v>Desarrollo económico</c:v>
                </c:pt>
                <c:pt idx="3">
                  <c:v>Otros no clasificados en funciones anteriores</c:v>
                </c:pt>
              </c:strCache>
            </c:strRef>
          </c:cat>
          <c:val>
            <c:numRef>
              <c:f>FUNCIONAL!$D$5:$D$8</c:f>
              <c:numCache>
                <c:formatCode>0.00%</c:formatCode>
                <c:ptCount val="4"/>
                <c:pt idx="0">
                  <c:v>0.12330000000000001</c:v>
                </c:pt>
                <c:pt idx="1">
                  <c:v>0.58850000000000002</c:v>
                </c:pt>
                <c:pt idx="2">
                  <c:v>2.92E-2</c:v>
                </c:pt>
                <c:pt idx="3">
                  <c:v>0.25900000000000001</c:v>
                </c:pt>
              </c:numCache>
            </c:numRef>
          </c:val>
          <c:extLst>
            <c:ext xmlns:c16="http://schemas.microsoft.com/office/drawing/2014/chart" uri="{C3380CC4-5D6E-409C-BE32-E72D297353CC}">
              <c16:uniqueId val="{00000008-4158-475D-B3A0-16CAA2696B4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0.04024</cdr:x>
      <cdr:y>0.88367</cdr:y>
    </cdr:from>
    <cdr:to>
      <cdr:x>0.96564</cdr:x>
      <cdr:y>0.95511</cdr:y>
    </cdr:to>
    <cdr:sp macro="" textlink="">
      <cdr:nvSpPr>
        <cdr:cNvPr id="2" name="Cuadro de texto 1"/>
        <cdr:cNvSpPr txBox="1"/>
      </cdr:nvSpPr>
      <cdr:spPr>
        <a:xfrm xmlns:a="http://schemas.openxmlformats.org/drawingml/2006/main">
          <a:off x="111318" y="1868556"/>
          <a:ext cx="2560320" cy="151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0.02059</cdr:x>
      <cdr:y>0.84234</cdr:y>
    </cdr:from>
    <cdr:to>
      <cdr:x>0.99497</cdr:x>
      <cdr:y>1</cdr:y>
    </cdr:to>
    <cdr:sp macro="" textlink="">
      <cdr:nvSpPr>
        <cdr:cNvPr id="7" name="Cuadro de texto 6"/>
        <cdr:cNvSpPr txBox="1"/>
      </cdr:nvSpPr>
      <cdr:spPr>
        <a:xfrm xmlns:a="http://schemas.openxmlformats.org/drawingml/2006/main">
          <a:off x="57150" y="1781175"/>
          <a:ext cx="270510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just" defTabSz="914400" eaLnBrk="1" fontAlgn="auto" latinLnBrk="0" hangingPunct="1">
            <a:lnSpc>
              <a:spcPct val="100000"/>
            </a:lnSpc>
            <a:spcBef>
              <a:spcPts val="0"/>
            </a:spcBef>
            <a:spcAft>
              <a:spcPts val="0"/>
            </a:spcAft>
            <a:buClrTx/>
            <a:buSzTx/>
            <a:buFontTx/>
            <a:buNone/>
            <a:tabLst/>
            <a:defRPr/>
          </a:pPr>
          <a:r>
            <a:rPr lang="es-MX" sz="800" b="1">
              <a:effectLst/>
              <a:latin typeface="+mn-lt"/>
              <a:ea typeface="+mn-ea"/>
              <a:cs typeface="+mn-cs"/>
            </a:rPr>
            <a:t>Fuente: SHCP (2019), Banxico (2019) y Encuesta Citibanamex (2019).</a:t>
          </a:r>
          <a:endParaRPr lang="es-MX" sz="1100">
            <a:effectLst/>
            <a:latin typeface="+mn-lt"/>
            <a:ea typeface="+mn-ea"/>
            <a:cs typeface="+mn-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0.02786</cdr:x>
      <cdr:y>0.81385</cdr:y>
    </cdr:from>
    <cdr:to>
      <cdr:x>0.97904</cdr:x>
      <cdr:y>0.99134</cdr:y>
    </cdr:to>
    <cdr:sp macro="" textlink="">
      <cdr:nvSpPr>
        <cdr:cNvPr id="3" name="Cuadro de texto 2"/>
        <cdr:cNvSpPr txBox="1"/>
      </cdr:nvSpPr>
      <cdr:spPr>
        <a:xfrm xmlns:a="http://schemas.openxmlformats.org/drawingml/2006/main">
          <a:off x="66675" y="1790699"/>
          <a:ext cx="2276475" cy="39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just"/>
          <a:r>
            <a:rPr lang="es-MX" sz="800" b="1">
              <a:solidFill>
                <a:sysClr val="windowText" lastClr="000000"/>
              </a:solidFill>
            </a:rPr>
            <a:t>Fuente: Banco de Información</a:t>
          </a:r>
          <a:r>
            <a:rPr lang="es-MX" sz="800" b="1" baseline="0">
              <a:solidFill>
                <a:sysClr val="windowText" lastClr="000000"/>
              </a:solidFill>
            </a:rPr>
            <a:t> Económica, INEGI (2019)</a:t>
          </a:r>
          <a:endParaRPr lang="es-MX" sz="800" b="1">
            <a:solidFill>
              <a:sysClr val="windowText" lastClr="000000"/>
            </a:solidFill>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85B0-39B7-428E-99A9-B6849D7E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20347</Words>
  <Characters>111912</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LCP. Elsy Luz Ramírez García</cp:lastModifiedBy>
  <cp:revision>2</cp:revision>
  <cp:lastPrinted>2019-11-12T22:24:00Z</cp:lastPrinted>
  <dcterms:created xsi:type="dcterms:W3CDTF">2020-10-07T17:41:00Z</dcterms:created>
  <dcterms:modified xsi:type="dcterms:W3CDTF">2020-10-07T17:41:00Z</dcterms:modified>
</cp:coreProperties>
</file>