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rFonts w:ascii="Times New Roman"/>
          <w:sz w:val="10"/>
        </w:rPr>
      </w:pPr>
    </w:p>
    <w:p>
      <w:pPr>
        <w:pStyle w:val="Heading1"/>
        <w:spacing w:before="93" w:after="22"/>
        <w:ind w:left="139" w:right="134"/>
        <w:jc w:val="both"/>
      </w:pPr>
      <w:r>
        <w:rPr/>
        <w:t>ACUERDO número 488 por el que se modifican los diversos números 442, 444 y 447 por los que se establecen: el Sistema Nacional de Bachillerato en un marco de diversidad; las competencias que constituyen el marco curricular común del Sistema Nacional de Bachillerato, así como las competencias docentes para quienes impartan educación media superior en la modalidad escolarizada, respectivamente.</w:t>
      </w:r>
    </w:p>
    <w:p>
      <w:pPr>
        <w:pStyle w:val="BodyText"/>
        <w:spacing w:line="74" w:lineRule="exact"/>
        <w:ind w:left="94"/>
        <w:jc w:val="left"/>
        <w:rPr>
          <w:rFonts w:ascii="Times New Roman"/>
          <w:sz w:val="7"/>
        </w:rPr>
      </w:pPr>
      <w:r>
        <w:rPr>
          <w:rFonts w:ascii="Times New Roman"/>
          <w:position w:val="0"/>
          <w:sz w:val="7"/>
        </w:rPr>
        <w:pict>
          <v:group style="width:445.1pt;height:3.7pt;mso-position-horizontal-relative:char;mso-position-vertical-relative:line" coordorigin="0,0" coordsize="8902,74">
            <v:line style="position:absolute" from="0,15" to="8902,15" stroked="true" strokeweight="1.5pt" strokecolor="#000000">
              <v:stroke dashstyle="solid"/>
            </v:line>
            <v:line style="position:absolute" from="0,37" to="8902,37" stroked="true" strokeweight=".71997pt" strokecolor="#000000">
              <v:stroke dashstyle="solid"/>
            </v:line>
            <v:line style="position:absolute" from="0,66" to="8902,66" stroked="true" strokeweight=".72003pt" strokecolor="#000000">
              <v:stroke dashstyle="solid"/>
            </v:line>
          </v:group>
        </w:pict>
      </w:r>
      <w:r>
        <w:rPr>
          <w:rFonts w:ascii="Times New Roman"/>
          <w:position w:val="0"/>
          <w:sz w:val="7"/>
        </w:rPr>
      </w:r>
    </w:p>
    <w:p>
      <w:pPr>
        <w:pStyle w:val="BodyText"/>
        <w:spacing w:before="18"/>
        <w:ind w:left="139" w:right="139"/>
      </w:pPr>
      <w:r>
        <w:rPr/>
        <w:t>Al margen un sello con el Escudo Nacional, que dice: Estados  Unidos  Mexicanos.-  Secretaría  de  Educación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line="249" w:lineRule="auto" w:before="107"/>
        <w:ind w:left="139" w:right="135" w:firstLine="288"/>
      </w:pPr>
      <w:r>
        <w:rPr/>
        <w:t>ALONSO LUJAMBIO IRAZABAL, Secretario de Educación Pública, con fundamento en los artículos 38 de la Ley Orgánica de la Administración Pública Federal; 9o., 12, fracciones VIII y XI; 14, fracciones I, II y último párrafo, 21, 37 y 47 de la Ley General de Educación; 1o., 4o. y 5o. del Reglamento Interior de la Secretaría de Educación Pública y, con base en lo señalado en los acuerdos números 442, 444 y 447, publicados en el Diario Oficial de la Federación el 26 de septiembre de 2008, 21 de octubre de 2008 y 29 de octubre de 2008, respectivamente, he tenido a bien expedir el siguiente:</w:t>
      </w:r>
    </w:p>
    <w:p>
      <w:pPr>
        <w:pStyle w:val="Heading1"/>
        <w:spacing w:line="254" w:lineRule="auto" w:before="49"/>
        <w:ind w:left="497"/>
      </w:pPr>
      <w:r>
        <w:rPr/>
        <w:t>ACUERDO NUMERO 488 POR EL QUE SE MODIFICAN LOS DIVERSOS NUMEROS 442, 444 Y 447 POR LOS QUE SE ESTABLECEN: EL SISTEMA NACIONAL DE BACHILLERATO EN UN MARCO DE DIVERSIDAD; LAS COMPETENCIAS QUE CONSTITUYEN EL MARCO CURRICULAR COMUN DEL SISTEMA NACIONAL DE BACHILLERATO, ASI COMO LAS COMPETENCIAS DOCENTES PARA QUIENES IMPARTAN EDUCACION MEDIA SUPERIOR EN LA</w:t>
      </w:r>
    </w:p>
    <w:p>
      <w:pPr>
        <w:spacing w:before="3"/>
        <w:ind w:left="493" w:right="493" w:firstLine="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MODALIDAD ESCOLARIZADA, RESPECTIVAMENTE</w:t>
      </w:r>
    </w:p>
    <w:p>
      <w:pPr>
        <w:pStyle w:val="BodyText"/>
        <w:spacing w:line="254" w:lineRule="auto" w:before="53"/>
        <w:ind w:left="139" w:right="138" w:firstLine="288"/>
      </w:pPr>
      <w:r>
        <w:rPr>
          <w:b/>
        </w:rPr>
        <w:t>ARTICULO UNICO.- </w:t>
      </w:r>
      <w:r>
        <w:rPr/>
        <w:t>Se REFORMAN el Diagrama III.1.5, del Anexo Unico del Acuerdo número 442; el artículo 7 del  Acuerdo número 444; así como la denominación y el artículo 1 del Acuerdo número 447;          se DEROGA el pie de página número 26 del Anexo Unico del Acuerdo número 442, y se ADICIONA con un artículo 5 el Acuerdo 447, para quedar como</w:t>
      </w:r>
      <w:r>
        <w:rPr>
          <w:spacing w:val="-2"/>
        </w:rPr>
        <w:t> </w:t>
      </w:r>
      <w:r>
        <w:rPr/>
        <w:t>sigue:</w:t>
      </w:r>
    </w:p>
    <w:p>
      <w:pPr>
        <w:pStyle w:val="Heading1"/>
        <w:spacing w:line="278" w:lineRule="auto" w:before="41"/>
        <w:ind w:left="1643" w:right="1639"/>
        <w:rPr>
          <w:rFonts w:ascii="Arial" w:hAnsi="Arial"/>
        </w:rPr>
      </w:pPr>
      <w:r>
        <w:rPr>
          <w:rFonts w:ascii="Arial" w:hAnsi="Arial"/>
        </w:rPr>
        <w:t>ACUERDO NUMERO 442 POR EL QUE SE ESTABLECE EL SISTEMA NACIONAL DE BACHILLERATO EN UN MARCO DE DIVERSIDAD </w:t>
      </w:r>
      <w:r>
        <w:rPr>
          <w:rFonts w:ascii="Arial" w:hAnsi="Arial"/>
          <w:b w:val="0"/>
        </w:rPr>
        <w:t>“</w:t>
      </w:r>
      <w:r>
        <w:rPr>
          <w:rFonts w:ascii="Arial" w:hAnsi="Arial"/>
        </w:rPr>
        <w:t>ANEXO UNICO</w:t>
      </w:r>
    </w:p>
    <w:p>
      <w:pPr>
        <w:spacing w:before="20"/>
        <w:ind w:left="494" w:right="493" w:firstLine="0"/>
        <w:jc w:val="center"/>
        <w:rPr>
          <w:b/>
          <w:sz w:val="18"/>
        </w:rPr>
      </w:pPr>
      <w:r>
        <w:rPr>
          <w:b/>
          <w:sz w:val="18"/>
        </w:rPr>
        <w:t>REFORMA INTEGRAL DE LA EDUCACION MEDIA SUPERIOR EN MEXICO</w:t>
      </w:r>
    </w:p>
    <w:p>
      <w:pPr>
        <w:spacing w:before="54"/>
        <w:ind w:left="494" w:right="493" w:firstLine="0"/>
        <w:jc w:val="center"/>
        <w:rPr>
          <w:b/>
          <w:sz w:val="18"/>
        </w:rPr>
      </w:pPr>
      <w:r>
        <w:rPr>
          <w:b/>
          <w:sz w:val="18"/>
        </w:rPr>
        <w:t>El Sistema Nacional de Bachillerato en un marco de diversidad</w:t>
      </w:r>
    </w:p>
    <w:p>
      <w:pPr>
        <w:spacing w:before="52"/>
        <w:ind w:left="427" w:right="0" w:firstLine="0"/>
        <w:jc w:val="left"/>
        <w:rPr>
          <w:b/>
          <w:sz w:val="18"/>
        </w:rPr>
      </w:pPr>
      <w:r>
        <w:rPr>
          <w:b/>
          <w:sz w:val="18"/>
        </w:rPr>
        <w:t>…</w:t>
      </w:r>
    </w:p>
    <w:p>
      <w:pPr>
        <w:spacing w:before="54"/>
        <w:ind w:left="493" w:right="493" w:firstLine="0"/>
        <w:jc w:val="center"/>
        <w:rPr>
          <w:b/>
          <w:sz w:val="18"/>
        </w:rPr>
      </w:pPr>
      <w:r>
        <w:rPr>
          <w:b/>
          <w:sz w:val="18"/>
        </w:rPr>
        <w:t>Diagrama III.1.5</w:t>
      </w:r>
    </w:p>
    <w:p>
      <w:pPr>
        <w:spacing w:before="113"/>
        <w:ind w:left="493" w:right="493" w:firstLine="0"/>
        <w:jc w:val="center"/>
        <w:rPr>
          <w:b/>
          <w:sz w:val="18"/>
        </w:rPr>
      </w:pPr>
      <w:r>
        <w:rPr>
          <w:b/>
          <w:sz w:val="18"/>
        </w:rPr>
        <w:t>Marco curricular del Sistema Nacional de Bachillerato</w:t>
      </w:r>
    </w:p>
    <w:p>
      <w:pPr>
        <w:pStyle w:val="BodyText"/>
        <w:spacing w:before="3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129"/>
        <w:gridCol w:w="915"/>
        <w:gridCol w:w="733"/>
        <w:gridCol w:w="917"/>
        <w:gridCol w:w="916"/>
        <w:gridCol w:w="917"/>
        <w:gridCol w:w="916"/>
        <w:gridCol w:w="734"/>
      </w:tblGrid>
      <w:tr>
        <w:trPr>
          <w:trHeight w:val="223" w:hRule="atLeast"/>
        </w:trPr>
        <w:tc>
          <w:tcPr>
            <w:tcW w:w="2674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8" w:type="dxa"/>
            <w:gridSpan w:val="7"/>
            <w:shd w:val="clear" w:color="auto" w:fill="E0E0E0"/>
          </w:tcPr>
          <w:p>
            <w:pPr>
              <w:pStyle w:val="TableParagraph"/>
              <w:spacing w:before="16"/>
              <w:ind w:left="2062" w:right="20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EJES TRANSVERSALES</w:t>
            </w:r>
          </w:p>
        </w:tc>
      </w:tr>
      <w:tr>
        <w:trPr>
          <w:trHeight w:val="223" w:hRule="atLeast"/>
        </w:trPr>
        <w:tc>
          <w:tcPr>
            <w:tcW w:w="267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gridSpan w:val="6"/>
          </w:tcPr>
          <w:p>
            <w:pPr>
              <w:pStyle w:val="TableParagraph"/>
              <w:spacing w:before="17"/>
              <w:ind w:left="1696"/>
              <w:rPr>
                <w:b/>
                <w:sz w:val="16"/>
              </w:rPr>
            </w:pPr>
            <w:r>
              <w:rPr>
                <w:b/>
                <w:sz w:val="16"/>
              </w:rPr>
              <w:t>Competencias Genéricas</w:t>
            </w:r>
          </w:p>
        </w:tc>
        <w:tc>
          <w:tcPr>
            <w:tcW w:w="734" w:type="dxa"/>
            <w:vMerge w:val="restart"/>
            <w:shd w:val="clear" w:color="auto" w:fill="E0E0E0"/>
            <w:textDirection w:val="btLr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627" w:right="266" w:hanging="344"/>
              <w:rPr>
                <w:sz w:val="16"/>
              </w:rPr>
            </w:pPr>
            <w:r>
              <w:rPr>
                <w:sz w:val="16"/>
              </w:rPr>
              <w:t>Mecanismos de apoyo</w:t>
            </w:r>
          </w:p>
        </w:tc>
      </w:tr>
      <w:tr>
        <w:trPr>
          <w:trHeight w:val="1452" w:hRule="atLeast"/>
        </w:trPr>
        <w:tc>
          <w:tcPr>
            <w:tcW w:w="267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E0E0E0"/>
            <w:textDirection w:val="btLr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186" w:right="163" w:hanging="22"/>
              <w:rPr>
                <w:sz w:val="16"/>
              </w:rPr>
            </w:pPr>
            <w:r>
              <w:rPr>
                <w:w w:val="95"/>
                <w:sz w:val="16"/>
              </w:rPr>
              <w:t>Autorregulación </w:t>
            </w:r>
            <w:r>
              <w:rPr>
                <w:sz w:val="16"/>
              </w:rPr>
              <w:t>y cuidado de sí</w:t>
            </w:r>
          </w:p>
        </w:tc>
        <w:tc>
          <w:tcPr>
            <w:tcW w:w="733" w:type="dxa"/>
            <w:shd w:val="clear" w:color="auto" w:fill="E0E0E0"/>
            <w:textDirection w:val="btLr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Comunicación</w:t>
            </w:r>
          </w:p>
        </w:tc>
        <w:tc>
          <w:tcPr>
            <w:tcW w:w="917" w:type="dxa"/>
            <w:shd w:val="clear" w:color="auto" w:fill="E0E0E0"/>
            <w:textDirection w:val="btLr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512" w:right="240" w:hanging="254"/>
              <w:rPr>
                <w:sz w:val="16"/>
              </w:rPr>
            </w:pPr>
            <w:r>
              <w:rPr>
                <w:sz w:val="16"/>
              </w:rPr>
              <w:t>Pensamiento crítico</w:t>
            </w:r>
          </w:p>
        </w:tc>
        <w:tc>
          <w:tcPr>
            <w:tcW w:w="916" w:type="dxa"/>
            <w:shd w:val="clear" w:color="auto" w:fill="E0E0E0"/>
            <w:textDirection w:val="btLr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369" w:right="284" w:hanging="66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w w:val="99"/>
                <w:sz w:val="16"/>
              </w:rPr>
              <w:t> </w:t>
            </w:r>
            <w:r>
              <w:rPr>
                <w:sz w:val="16"/>
              </w:rPr>
              <w:t>autónomo</w:t>
            </w:r>
          </w:p>
        </w:tc>
        <w:tc>
          <w:tcPr>
            <w:tcW w:w="917" w:type="dxa"/>
            <w:shd w:val="clear" w:color="auto" w:fill="E0E0E0"/>
            <w:textDirection w:val="btLr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485" w:right="324" w:hanging="142"/>
              <w:rPr>
                <w:sz w:val="16"/>
              </w:rPr>
            </w:pPr>
            <w:r>
              <w:rPr>
                <w:sz w:val="16"/>
              </w:rPr>
              <w:t>Trabajo en equipo</w:t>
            </w:r>
          </w:p>
        </w:tc>
        <w:tc>
          <w:tcPr>
            <w:tcW w:w="916" w:type="dxa"/>
            <w:shd w:val="clear" w:color="auto" w:fill="E0E0E0"/>
            <w:textDirection w:val="btLr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86" w:right="170" w:firstLine="27"/>
              <w:rPr>
                <w:sz w:val="16"/>
              </w:rPr>
            </w:pPr>
            <w:r>
              <w:rPr>
                <w:sz w:val="16"/>
              </w:rPr>
              <w:t>Competencias cívicas y éticas</w:t>
            </w: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45" w:type="dxa"/>
            <w:vMerge w:val="restart"/>
            <w:shd w:val="clear" w:color="auto" w:fill="E0E0E0"/>
            <w:textDirection w:val="btLr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317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before="16"/>
              <w:ind w:left="41"/>
              <w:rPr>
                <w:sz w:val="16"/>
              </w:rPr>
            </w:pPr>
            <w:r>
              <w:rPr>
                <w:sz w:val="16"/>
              </w:rPr>
              <w:t>Matemáticas</w:t>
            </w:r>
          </w:p>
        </w:tc>
        <w:tc>
          <w:tcPr>
            <w:tcW w:w="6048" w:type="dxa"/>
            <w:gridSpan w:val="7"/>
            <w:vMerge w:val="restart"/>
            <w:shd w:val="clear" w:color="auto" w:fill="E0E0E0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41"/>
              <w:rPr>
                <w:sz w:val="16"/>
              </w:rPr>
            </w:pPr>
            <w:r>
              <w:rPr>
                <w:sz w:val="16"/>
              </w:rPr>
              <w:t>MARCO CURRICULAR</w:t>
            </w:r>
          </w:p>
          <w:p>
            <w:pPr>
              <w:pStyle w:val="TableParagraph"/>
              <w:spacing w:line="266" w:lineRule="auto" w:before="18"/>
              <w:ind w:left="41" w:right="3402"/>
              <w:rPr>
                <w:sz w:val="16"/>
              </w:rPr>
            </w:pPr>
            <w:r>
              <w:rPr>
                <w:sz w:val="16"/>
              </w:rPr>
              <w:t>COMUN DEL SISTEMA NACIONAL DE BACHILLERATO</w:t>
            </w:r>
          </w:p>
        </w:tc>
      </w:tr>
      <w:tr>
        <w:trPr>
          <w:trHeight w:val="223" w:hRule="atLeast"/>
        </w:trPr>
        <w:tc>
          <w:tcPr>
            <w:tcW w:w="545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before="16"/>
              <w:ind w:left="41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6048" w:type="dxa"/>
            <w:gridSpan w:val="7"/>
            <w:vMerge/>
            <w:tcBorders>
              <w:top w:val="nil"/>
            </w:tcBorders>
            <w:shd w:val="clear" w:color="auto" w:fill="E0E0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45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before="17"/>
              <w:ind w:left="41"/>
              <w:rPr>
                <w:sz w:val="16"/>
              </w:rPr>
            </w:pPr>
            <w:r>
              <w:rPr>
                <w:sz w:val="16"/>
              </w:rPr>
              <w:t>Lengua extranjera</w:t>
            </w:r>
          </w:p>
        </w:tc>
        <w:tc>
          <w:tcPr>
            <w:tcW w:w="6048" w:type="dxa"/>
            <w:gridSpan w:val="7"/>
            <w:vMerge/>
            <w:tcBorders>
              <w:top w:val="nil"/>
            </w:tcBorders>
            <w:shd w:val="clear" w:color="auto" w:fill="E0E0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45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before="17"/>
              <w:ind w:left="41"/>
              <w:rPr>
                <w:sz w:val="16"/>
              </w:rPr>
            </w:pPr>
            <w:r>
              <w:rPr>
                <w:sz w:val="16"/>
              </w:rPr>
              <w:t>Biología</w:t>
            </w:r>
          </w:p>
        </w:tc>
        <w:tc>
          <w:tcPr>
            <w:tcW w:w="6048" w:type="dxa"/>
            <w:gridSpan w:val="7"/>
            <w:vMerge/>
            <w:tcBorders>
              <w:top w:val="nil"/>
            </w:tcBorders>
            <w:shd w:val="clear" w:color="auto" w:fill="E0E0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45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before="17"/>
              <w:ind w:left="41"/>
              <w:rPr>
                <w:sz w:val="16"/>
              </w:rPr>
            </w:pPr>
            <w:r>
              <w:rPr>
                <w:sz w:val="16"/>
              </w:rPr>
              <w:t>Química</w:t>
            </w:r>
          </w:p>
        </w:tc>
        <w:tc>
          <w:tcPr>
            <w:tcW w:w="6048" w:type="dxa"/>
            <w:gridSpan w:val="7"/>
            <w:vMerge/>
            <w:tcBorders>
              <w:top w:val="nil"/>
            </w:tcBorders>
            <w:shd w:val="clear" w:color="auto" w:fill="E0E0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" w:hRule="atLeast"/>
        </w:trPr>
        <w:tc>
          <w:tcPr>
            <w:tcW w:w="545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before="17"/>
              <w:ind w:left="41"/>
              <w:rPr>
                <w:sz w:val="16"/>
              </w:rPr>
            </w:pPr>
            <w:r>
              <w:rPr>
                <w:sz w:val="16"/>
              </w:rPr>
              <w:t>Física</w:t>
            </w:r>
          </w:p>
          <w:p>
            <w:pPr>
              <w:pStyle w:val="TableParagraph"/>
              <w:spacing w:before="20"/>
              <w:ind w:left="41"/>
              <w:rPr>
                <w:sz w:val="16"/>
              </w:rPr>
            </w:pPr>
            <w:r>
              <w:rPr>
                <w:sz w:val="16"/>
              </w:rPr>
              <w:t>Geografía natural</w:t>
            </w:r>
          </w:p>
        </w:tc>
        <w:tc>
          <w:tcPr>
            <w:tcW w:w="6048" w:type="dxa"/>
            <w:gridSpan w:val="7"/>
            <w:vMerge/>
            <w:tcBorders>
              <w:top w:val="nil"/>
            </w:tcBorders>
            <w:shd w:val="clear" w:color="auto" w:fill="E0E0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45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before="16"/>
              <w:ind w:left="41"/>
              <w:rPr>
                <w:sz w:val="16"/>
              </w:rPr>
            </w:pPr>
            <w:r>
              <w:rPr>
                <w:sz w:val="16"/>
              </w:rPr>
              <w:t>Historia</w:t>
            </w:r>
          </w:p>
        </w:tc>
        <w:tc>
          <w:tcPr>
            <w:tcW w:w="6048" w:type="dxa"/>
            <w:gridSpan w:val="7"/>
            <w:vMerge/>
            <w:tcBorders>
              <w:top w:val="nil"/>
            </w:tcBorders>
            <w:shd w:val="clear" w:color="auto" w:fill="E0E0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545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line="204" w:lineRule="exact" w:before="3"/>
              <w:ind w:left="41" w:right="639"/>
              <w:rPr>
                <w:sz w:val="16"/>
              </w:rPr>
            </w:pPr>
            <w:r>
              <w:rPr>
                <w:sz w:val="16"/>
              </w:rPr>
              <w:t>Geografía política Economía y Política Derecho</w:t>
            </w:r>
          </w:p>
        </w:tc>
        <w:tc>
          <w:tcPr>
            <w:tcW w:w="6048" w:type="dxa"/>
            <w:gridSpan w:val="7"/>
            <w:vMerge/>
            <w:tcBorders>
              <w:top w:val="nil"/>
            </w:tcBorders>
            <w:shd w:val="clear" w:color="auto" w:fill="E0E0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5" w:hRule="atLeast"/>
        </w:trPr>
        <w:tc>
          <w:tcPr>
            <w:tcW w:w="545" w:type="dxa"/>
            <w:vMerge/>
            <w:tcBorders>
              <w:top w:val="nil"/>
            </w:tcBorders>
            <w:shd w:val="clear" w:color="auto" w:fill="E0E0E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shd w:val="clear" w:color="auto" w:fill="E0E0E0"/>
          </w:tcPr>
          <w:p>
            <w:pPr>
              <w:pStyle w:val="TableParagraph"/>
              <w:spacing w:line="204" w:lineRule="exact" w:before="3"/>
              <w:ind w:left="41" w:right="1448"/>
              <w:rPr>
                <w:sz w:val="16"/>
              </w:rPr>
            </w:pPr>
            <w:r>
              <w:rPr>
                <w:sz w:val="16"/>
              </w:rPr>
              <w:t>Filosofía Etica Lógica Estética</w:t>
            </w:r>
          </w:p>
        </w:tc>
        <w:tc>
          <w:tcPr>
            <w:tcW w:w="6048" w:type="dxa"/>
            <w:gridSpan w:val="7"/>
            <w:vMerge/>
            <w:tcBorders>
              <w:top w:val="nil"/>
            </w:tcBorders>
            <w:shd w:val="clear" w:color="auto" w:fill="E0E0E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"/>
        <w:ind w:left="427" w:right="0" w:firstLine="0"/>
        <w:jc w:val="left"/>
        <w:rPr>
          <w:b/>
          <w:sz w:val="18"/>
        </w:rPr>
      </w:pPr>
      <w:r>
        <w:rPr>
          <w:b/>
          <w:sz w:val="18"/>
        </w:rPr>
        <w:t>…</w:t>
      </w:r>
    </w:p>
    <w:p>
      <w:pPr>
        <w:spacing w:before="19"/>
        <w:ind w:left="427" w:right="0" w:firstLine="0"/>
        <w:jc w:val="left"/>
        <w:rPr>
          <w:sz w:val="18"/>
        </w:rPr>
      </w:pPr>
      <w:r>
        <w:rPr>
          <w:position w:val="9"/>
          <w:sz w:val="12"/>
        </w:rPr>
        <w:t>26 </w:t>
      </w:r>
      <w:r>
        <w:rPr>
          <w:sz w:val="18"/>
        </w:rPr>
        <w:t>Se deroga.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2240" w:h="15840"/>
          <w:pgMar w:header="711" w:top="1040" w:bottom="280" w:left="1560" w:right="1560"/>
          <w:pgNumType w:start="10"/>
        </w:sectPr>
      </w:pPr>
    </w:p>
    <w:p>
      <w:pPr>
        <w:spacing w:before="101"/>
        <w:ind w:left="427" w:right="0" w:firstLine="0"/>
        <w:jc w:val="left"/>
        <w:rPr>
          <w:sz w:val="18"/>
        </w:rPr>
      </w:pPr>
      <w:r>
        <w:rPr>
          <w:b/>
          <w:sz w:val="18"/>
        </w:rPr>
        <w:t>….</w:t>
      </w:r>
      <w:r>
        <w:rPr>
          <w:sz w:val="18"/>
        </w:rPr>
        <w:t>”.</w:t>
      </w:r>
    </w:p>
    <w:p>
      <w:pPr>
        <w:pStyle w:val="Heading1"/>
        <w:spacing w:line="249" w:lineRule="auto" w:before="111"/>
        <w:ind w:left="139" w:right="137" w:firstLine="288"/>
        <w:jc w:val="both"/>
        <w:rPr>
          <w:rFonts w:ascii="Arial"/>
        </w:rPr>
      </w:pPr>
      <w:r>
        <w:rPr>
          <w:rFonts w:ascii="Arial"/>
        </w:rPr>
        <w:t>ACUERDO NUMERO 444 POR EL QUE SE ESTABLECEN LAS COMPETENCIAS QUE CONSTITUYEN EL MARCO CURRICULAR COMUN DEL SISTEMA NACIONAL DE BACHILLERATO.</w:t>
      </w:r>
    </w:p>
    <w:p>
      <w:pPr>
        <w:spacing w:before="102"/>
        <w:ind w:left="427" w:right="0" w:firstLine="0"/>
        <w:jc w:val="left"/>
        <w:rPr>
          <w:b/>
          <w:sz w:val="18"/>
        </w:rPr>
      </w:pPr>
      <w:r>
        <w:rPr>
          <w:b/>
          <w:sz w:val="18"/>
        </w:rPr>
        <w:t>…</w:t>
      </w:r>
    </w:p>
    <w:p>
      <w:pPr>
        <w:pStyle w:val="BodyText"/>
        <w:spacing w:before="110"/>
        <w:ind w:left="427"/>
        <w:jc w:val="left"/>
      </w:pPr>
      <w:r>
        <w:rPr/>
        <w:t>“</w:t>
      </w:r>
      <w:r>
        <w:rPr>
          <w:b/>
        </w:rPr>
        <w:t>Artículo 7.- </w:t>
      </w:r>
      <w:r>
        <w:rPr/>
        <w:t>Las competencias disciplinares básicas se organizan en los campos disciplinares siguientes:</w:t>
      </w:r>
    </w:p>
    <w:p>
      <w:pPr>
        <w:pStyle w:val="BodyText"/>
        <w:spacing w:before="4"/>
        <w:ind w:left="0"/>
        <w:jc w:val="left"/>
        <w:rPr>
          <w:sz w:val="7"/>
        </w:rPr>
      </w:pPr>
    </w:p>
    <w:tbl>
      <w:tblPr>
        <w:tblW w:w="0" w:type="auto"/>
        <w:jc w:val="left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6313"/>
      </w:tblGrid>
      <w:tr>
        <w:trPr>
          <w:trHeight w:val="317" w:hRule="atLeast"/>
        </w:trPr>
        <w:tc>
          <w:tcPr>
            <w:tcW w:w="2399" w:type="dxa"/>
            <w:shd w:val="clear" w:color="auto" w:fill="E0E0E0"/>
          </w:tcPr>
          <w:p>
            <w:pPr>
              <w:pStyle w:val="TableParagraph"/>
              <w:spacing w:before="25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Campo disciplinar</w:t>
            </w:r>
          </w:p>
        </w:tc>
        <w:tc>
          <w:tcPr>
            <w:tcW w:w="6313" w:type="dxa"/>
            <w:shd w:val="clear" w:color="auto" w:fill="E0E0E0"/>
          </w:tcPr>
          <w:p>
            <w:pPr>
              <w:pStyle w:val="TableParagraph"/>
              <w:spacing w:before="25"/>
              <w:ind w:left="2660" w:right="26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Disciplinas</w:t>
            </w:r>
          </w:p>
        </w:tc>
      </w:tr>
      <w:tr>
        <w:trPr>
          <w:trHeight w:val="1483" w:hRule="atLeast"/>
        </w:trPr>
        <w:tc>
          <w:tcPr>
            <w:tcW w:w="8712" w:type="dxa"/>
            <w:gridSpan w:val="2"/>
          </w:tcPr>
          <w:p>
            <w:pPr>
              <w:pStyle w:val="TableParagraph"/>
              <w:tabs>
                <w:tab w:pos="2440" w:val="left" w:leader="none"/>
              </w:tabs>
              <w:spacing w:before="24"/>
              <w:ind w:left="42"/>
              <w:rPr>
                <w:sz w:val="18"/>
              </w:rPr>
            </w:pPr>
            <w:r>
              <w:rPr>
                <w:sz w:val="18"/>
              </w:rPr>
              <w:t>Matemáticas</w:t>
              <w:tab/>
              <w:t>Matemáticas</w:t>
            </w:r>
          </w:p>
          <w:p>
            <w:pPr>
              <w:pStyle w:val="TableParagraph"/>
              <w:tabs>
                <w:tab w:pos="2441" w:val="left" w:leader="none"/>
              </w:tabs>
              <w:spacing w:before="110"/>
              <w:ind w:left="42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experimentales</w:t>
              <w:tab/>
              <w:t>Física, química, biología 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ecología.</w:t>
            </w:r>
          </w:p>
          <w:p>
            <w:pPr>
              <w:pStyle w:val="TableParagraph"/>
              <w:tabs>
                <w:tab w:pos="2440" w:val="left" w:leader="none"/>
              </w:tabs>
              <w:spacing w:line="249" w:lineRule="auto" w:before="111"/>
              <w:ind w:left="42" w:right="27"/>
              <w:rPr>
                <w:sz w:val="18"/>
              </w:rPr>
            </w:pPr>
            <w:r>
              <w:rPr>
                <w:sz w:val="18"/>
              </w:rPr>
              <w:t>*Humanidades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Ciencias</w:t>
              <w:tab/>
              <w:t>Filosofía, ética, lógica, estética, derecho, historia, sociología, política, Sociales</w:t>
              <w:tab/>
              <w:t>economía 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administración.</w:t>
            </w:r>
          </w:p>
          <w:p>
            <w:pPr>
              <w:pStyle w:val="TableParagraph"/>
              <w:tabs>
                <w:tab w:pos="2439" w:val="left" w:leader="none"/>
              </w:tabs>
              <w:spacing w:before="102"/>
              <w:ind w:left="42"/>
              <w:rPr>
                <w:sz w:val="18"/>
              </w:rPr>
            </w:pPr>
            <w:r>
              <w:rPr>
                <w:sz w:val="18"/>
              </w:rPr>
              <w:t>Comunicación</w:t>
              <w:tab/>
              <w:t>Lectura y expresión oral y escrita, literatura, lengua extranjera e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informática.</w:t>
            </w:r>
          </w:p>
        </w:tc>
      </w:tr>
    </w:tbl>
    <w:p>
      <w:pPr>
        <w:pStyle w:val="BodyText"/>
        <w:spacing w:line="256" w:lineRule="auto"/>
        <w:ind w:left="139" w:right="137" w:firstLine="288"/>
      </w:pPr>
      <w:r>
        <w:rPr>
          <w:position w:val="9"/>
          <w:sz w:val="12"/>
        </w:rPr>
        <w:t>* </w:t>
      </w:r>
      <w:r>
        <w:rPr/>
        <w:t>Las Humanidades y las Ciencias Sociales son dos campos distintos, caracterizados por los correspondientes objetos y métodos de investigación, generados en su devenir, sin menoscabo de las relaciones entre algunos de estos.</w:t>
      </w:r>
    </w:p>
    <w:p>
      <w:pPr>
        <w:spacing w:before="103"/>
        <w:ind w:left="427" w:right="0" w:firstLine="0"/>
        <w:jc w:val="left"/>
        <w:rPr>
          <w:sz w:val="18"/>
        </w:rPr>
      </w:pPr>
      <w:r>
        <w:rPr>
          <w:b/>
          <w:sz w:val="18"/>
        </w:rPr>
        <w:t>...</w:t>
      </w:r>
      <w:r>
        <w:rPr>
          <w:sz w:val="18"/>
        </w:rPr>
        <w:t>”</w:t>
      </w:r>
    </w:p>
    <w:p>
      <w:pPr>
        <w:pStyle w:val="Heading1"/>
        <w:spacing w:line="256" w:lineRule="auto" w:before="116"/>
        <w:ind w:left="139" w:right="134" w:firstLine="288"/>
        <w:jc w:val="both"/>
        <w:rPr>
          <w:rFonts w:ascii="Arial" w:hAnsi="Arial"/>
        </w:rPr>
      </w:pPr>
      <w:r>
        <w:rPr>
          <w:rFonts w:ascii="Arial" w:hAnsi="Arial"/>
        </w:rPr>
        <w:t>“ACUERDO NUMERO 447 POR EL QUE SE ESTABLECEN LAS COMPETENCIAS DOCENTES PARA QUIENES IMPARTAN EDUCACION MEDIA SUPERIOR.</w:t>
      </w:r>
    </w:p>
    <w:p>
      <w:pPr>
        <w:spacing w:before="102"/>
        <w:ind w:left="427" w:right="0" w:firstLine="0"/>
        <w:jc w:val="left"/>
        <w:rPr>
          <w:b/>
          <w:sz w:val="18"/>
        </w:rPr>
      </w:pPr>
      <w:r>
        <w:rPr>
          <w:b/>
          <w:sz w:val="18"/>
        </w:rPr>
        <w:t>…</w:t>
      </w:r>
    </w:p>
    <w:p>
      <w:pPr>
        <w:pStyle w:val="BodyText"/>
        <w:spacing w:line="256" w:lineRule="auto" w:before="116"/>
        <w:ind w:left="139" w:right="137" w:firstLine="288"/>
      </w:pPr>
      <w:r>
        <w:rPr>
          <w:b/>
        </w:rPr>
        <w:t>Artículo 1.- </w:t>
      </w:r>
      <w:r>
        <w:rPr/>
        <w:t>El presente Acuerdo tiene por objeto establecer las competencias que deberán cumplir los docentes de las instituciones educativas que en sus distintas modalidades impartan educación del tipo medio superior y operen en el Sistema Nacional de Bachillerato.</w:t>
      </w:r>
    </w:p>
    <w:p>
      <w:pPr>
        <w:pStyle w:val="Heading1"/>
        <w:ind w:right="0"/>
        <w:jc w:val="left"/>
        <w:rPr>
          <w:rFonts w:ascii="Arial" w:hAnsi="Arial"/>
        </w:rPr>
      </w:pPr>
      <w:r>
        <w:rPr>
          <w:rFonts w:ascii="Arial" w:hAnsi="Arial"/>
        </w:rPr>
        <w:t>…</w:t>
      </w:r>
    </w:p>
    <w:p>
      <w:pPr>
        <w:pStyle w:val="BodyText"/>
        <w:spacing w:line="256" w:lineRule="auto" w:before="116"/>
        <w:ind w:left="139" w:firstLine="288"/>
        <w:jc w:val="left"/>
      </w:pPr>
      <w:r>
        <w:rPr>
          <w:b/>
        </w:rPr>
        <w:t>Artículo 5.- </w:t>
      </w:r>
      <w:r>
        <w:rPr/>
        <w:t>Los docentes que imparten la EMS en las modalidades no escolarizada y mixta deben contar además de las competencias y atributos establecidas en el artículo anterior, con las siguientes: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56" w:lineRule="auto" w:before="103" w:after="0"/>
        <w:ind w:left="859" w:right="139" w:hanging="432"/>
        <w:jc w:val="left"/>
        <w:rPr>
          <w:sz w:val="18"/>
        </w:rPr>
      </w:pPr>
      <w:r>
        <w:rPr>
          <w:sz w:val="18"/>
        </w:rPr>
        <w:t>Complementa su formación continua con el conocimiento y manejo de la tecnología de la información y la</w:t>
      </w:r>
      <w:r>
        <w:rPr>
          <w:spacing w:val="-3"/>
          <w:sz w:val="18"/>
        </w:rPr>
        <w:t> </w:t>
      </w:r>
      <w:r>
        <w:rPr>
          <w:sz w:val="18"/>
        </w:rPr>
        <w:t>comunicación.</w:t>
      </w:r>
    </w:p>
    <w:p>
      <w:pPr>
        <w:pStyle w:val="BodyText"/>
        <w:spacing w:before="102"/>
        <w:ind w:left="427"/>
        <w:jc w:val="left"/>
      </w:pPr>
      <w:r>
        <w:rPr/>
        <w:t>Atributos: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54" w:lineRule="auto" w:before="104" w:after="0"/>
        <w:ind w:left="1219" w:right="140" w:hanging="360"/>
        <w:jc w:val="left"/>
        <w:rPr>
          <w:sz w:val="18"/>
        </w:rPr>
      </w:pPr>
      <w:r>
        <w:rPr>
          <w:sz w:val="18"/>
        </w:rPr>
        <w:t>Utiliza recursos de la tecnología de la información y la comunicación para apoyar la adquisición de conocimientos y contribuir a su propio desarrollo</w:t>
      </w:r>
      <w:r>
        <w:rPr>
          <w:spacing w:val="-6"/>
          <w:sz w:val="18"/>
        </w:rPr>
        <w:t> </w:t>
      </w:r>
      <w:r>
        <w:rPr>
          <w:sz w:val="18"/>
        </w:rPr>
        <w:t>profesional.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0" w:lineRule="auto" w:before="91" w:after="0"/>
        <w:ind w:left="1219" w:right="0" w:hanging="361"/>
        <w:jc w:val="left"/>
        <w:rPr>
          <w:sz w:val="18"/>
        </w:rPr>
      </w:pPr>
      <w:r>
        <w:rPr>
          <w:sz w:val="18"/>
        </w:rPr>
        <w:t>Participa en cursos para estar al día en lo que respecta al uso de las nuevas</w:t>
      </w:r>
      <w:r>
        <w:rPr>
          <w:spacing w:val="-24"/>
          <w:sz w:val="18"/>
        </w:rPr>
        <w:t> </w:t>
      </w:r>
      <w:r>
        <w:rPr>
          <w:sz w:val="18"/>
        </w:rPr>
        <w:t>tecnologías.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56" w:lineRule="auto" w:before="102" w:after="0"/>
        <w:ind w:left="1219" w:right="138" w:hanging="360"/>
        <w:jc w:val="both"/>
        <w:rPr>
          <w:sz w:val="18"/>
        </w:rPr>
      </w:pPr>
      <w:r>
        <w:rPr>
          <w:sz w:val="18"/>
        </w:rPr>
        <w:t>Aplica las tecnologías de la Información y la comunicación para comunicarse y colaborar con otros docentes, directivos y miembros de la comunidad escolar para sustentar el aprendizaje de los</w:t>
      </w:r>
      <w:r>
        <w:rPr>
          <w:spacing w:val="-1"/>
          <w:sz w:val="18"/>
        </w:rPr>
        <w:t> </w:t>
      </w:r>
      <w:r>
        <w:rPr>
          <w:sz w:val="18"/>
        </w:rPr>
        <w:t>estudiantes.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56" w:lineRule="auto" w:before="88" w:after="0"/>
        <w:ind w:left="1219" w:right="139" w:hanging="360"/>
        <w:jc w:val="both"/>
        <w:rPr>
          <w:sz w:val="18"/>
        </w:rPr>
      </w:pPr>
      <w:r>
        <w:rPr>
          <w:sz w:val="18"/>
        </w:rPr>
        <w:t>Usa recursos de las tecnologías de la información y la comunicación para mejorar su productividad, así como para propiciar la innovación tecnológica dentro de su respectiva institución.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54" w:lineRule="auto" w:before="89" w:after="0"/>
        <w:ind w:left="1219" w:right="140" w:hanging="360"/>
        <w:jc w:val="both"/>
        <w:rPr>
          <w:sz w:val="18"/>
        </w:rPr>
      </w:pPr>
      <w:r>
        <w:rPr>
          <w:sz w:val="18"/>
        </w:rPr>
        <w:t>Conoce las ventajas e inconvenientes de los entornos virtuales de aprendizaje frente a los sistemas</w:t>
      </w:r>
      <w:r>
        <w:rPr>
          <w:spacing w:val="-1"/>
          <w:sz w:val="18"/>
        </w:rPr>
        <w:t> </w:t>
      </w:r>
      <w:r>
        <w:rPr>
          <w:sz w:val="18"/>
        </w:rPr>
        <w:t>escolarizados.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74" w:lineRule="auto" w:before="104" w:after="0"/>
        <w:ind w:left="427" w:right="193" w:firstLine="0"/>
        <w:jc w:val="both"/>
        <w:rPr>
          <w:sz w:val="18"/>
        </w:rPr>
      </w:pPr>
      <w:r>
        <w:rPr>
          <w:sz w:val="18"/>
        </w:rPr>
        <w:t>Integra las tecnologías de la información y la comunicación en el proceso de enseñanza-aprendizaje. Atributos: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08" w:lineRule="exact" w:before="0" w:after="0"/>
        <w:ind w:left="1219" w:right="0" w:hanging="361"/>
        <w:jc w:val="both"/>
        <w:rPr>
          <w:sz w:val="18"/>
        </w:rPr>
      </w:pPr>
      <w:r>
        <w:rPr>
          <w:sz w:val="18"/>
        </w:rPr>
        <w:t>Utiliza</w:t>
      </w:r>
      <w:r>
        <w:rPr>
          <w:spacing w:val="19"/>
          <w:sz w:val="18"/>
        </w:rPr>
        <w:t> </w:t>
      </w:r>
      <w:r>
        <w:rPr>
          <w:sz w:val="18"/>
        </w:rPr>
        <w:t>distintas</w:t>
      </w:r>
      <w:r>
        <w:rPr>
          <w:spacing w:val="21"/>
          <w:sz w:val="18"/>
        </w:rPr>
        <w:t> </w:t>
      </w:r>
      <w:r>
        <w:rPr>
          <w:sz w:val="18"/>
        </w:rPr>
        <w:t>tecnologías,</w:t>
      </w:r>
      <w:r>
        <w:rPr>
          <w:spacing w:val="20"/>
          <w:sz w:val="18"/>
        </w:rPr>
        <w:t> </w:t>
      </w:r>
      <w:r>
        <w:rPr>
          <w:sz w:val="18"/>
        </w:rPr>
        <w:t>herramientas</w:t>
      </w:r>
      <w:r>
        <w:rPr>
          <w:spacing w:val="21"/>
          <w:sz w:val="18"/>
        </w:rPr>
        <w:t> </w:t>
      </w:r>
      <w:r>
        <w:rPr>
          <w:sz w:val="18"/>
        </w:rPr>
        <w:t>y</w:t>
      </w:r>
      <w:r>
        <w:rPr>
          <w:spacing w:val="19"/>
          <w:sz w:val="18"/>
        </w:rPr>
        <w:t> </w:t>
      </w:r>
      <w:r>
        <w:rPr>
          <w:sz w:val="18"/>
        </w:rPr>
        <w:t>contenidos</w:t>
      </w:r>
      <w:r>
        <w:rPr>
          <w:spacing w:val="20"/>
          <w:sz w:val="18"/>
        </w:rPr>
        <w:t> </w:t>
      </w:r>
      <w:r>
        <w:rPr>
          <w:sz w:val="18"/>
        </w:rPr>
        <w:t>digitales</w:t>
      </w:r>
      <w:r>
        <w:rPr>
          <w:spacing w:val="20"/>
          <w:sz w:val="18"/>
        </w:rPr>
        <w:t> </w:t>
      </w:r>
      <w:r>
        <w:rPr>
          <w:sz w:val="18"/>
        </w:rPr>
        <w:t>como</w:t>
      </w:r>
      <w:r>
        <w:rPr>
          <w:spacing w:val="18"/>
          <w:sz w:val="18"/>
        </w:rPr>
        <w:t> </w:t>
      </w:r>
      <w:r>
        <w:rPr>
          <w:sz w:val="18"/>
        </w:rPr>
        <w:t>apoyo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las</w:t>
      </w:r>
      <w:r>
        <w:rPr>
          <w:spacing w:val="21"/>
          <w:sz w:val="18"/>
        </w:rPr>
        <w:t> </w:t>
      </w:r>
      <w:r>
        <w:rPr>
          <w:sz w:val="18"/>
        </w:rPr>
        <w:t>actividades</w:t>
      </w:r>
    </w:p>
    <w:p>
      <w:pPr>
        <w:pStyle w:val="BodyText"/>
        <w:spacing w:before="14"/>
      </w:pPr>
      <w:r>
        <w:rPr/>
        <w:t>de enseñanza y aprendizaje, tanto a nivel individual como en grupo.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54" w:lineRule="auto" w:before="103" w:after="0"/>
        <w:ind w:left="1219" w:right="139" w:hanging="360"/>
        <w:jc w:val="both"/>
        <w:rPr>
          <w:sz w:val="18"/>
        </w:rPr>
      </w:pPr>
      <w:r>
        <w:rPr>
          <w:sz w:val="18"/>
        </w:rPr>
        <w:t>Armoniza su labor con el uso de las tecnologías de la información y la comunicación, a fin de lograr que los alumnos las incorporen en sus estrategias de</w:t>
      </w:r>
      <w:r>
        <w:rPr>
          <w:spacing w:val="-10"/>
          <w:sz w:val="18"/>
        </w:rPr>
        <w:t> </w:t>
      </w:r>
      <w:r>
        <w:rPr>
          <w:sz w:val="18"/>
        </w:rPr>
        <w:t>aprendizaje.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54" w:lineRule="auto" w:before="92" w:after="0"/>
        <w:ind w:left="1219" w:right="138" w:hanging="360"/>
        <w:jc w:val="both"/>
        <w:rPr>
          <w:sz w:val="18"/>
        </w:rPr>
      </w:pPr>
      <w:r>
        <w:rPr>
          <w:sz w:val="18"/>
        </w:rPr>
        <w:t>Ayuda a los estudiantes a alcanzar habilidades en el uso de las tecnologías para acceder a información diversa y lograr una adecuada</w:t>
      </w:r>
      <w:r>
        <w:rPr>
          <w:spacing w:val="-4"/>
          <w:sz w:val="18"/>
        </w:rPr>
        <w:t> </w:t>
      </w:r>
      <w:r>
        <w:rPr>
          <w:sz w:val="18"/>
        </w:rPr>
        <w:t>comunicación.</w:t>
      </w:r>
    </w:p>
    <w:p>
      <w:pPr>
        <w:spacing w:after="0" w:line="254" w:lineRule="auto"/>
        <w:jc w:val="both"/>
        <w:rPr>
          <w:sz w:val="18"/>
        </w:rPr>
        <w:sectPr>
          <w:pgSz w:w="12240" w:h="15840"/>
          <w:pgMar w:header="711" w:footer="0" w:top="1040" w:bottom="280" w:left="1560" w:right="1560"/>
        </w:sect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56" w:lineRule="auto" w:before="90" w:after="0"/>
        <w:ind w:left="1219" w:right="138" w:hanging="360"/>
        <w:jc w:val="both"/>
        <w:rPr>
          <w:sz w:val="18"/>
        </w:rPr>
      </w:pPr>
      <w:r>
        <w:rPr>
          <w:sz w:val="18"/>
        </w:rPr>
        <w:t>Utiliza las tecnologías de la información y la comunicación para crear y supervisar proyectos de clase realizados individualmente o por  grupo,  y  en  general,  para  facilitar  y  mejorar  la  acción</w:t>
      </w:r>
      <w:r>
        <w:rPr>
          <w:spacing w:val="-1"/>
          <w:sz w:val="18"/>
        </w:rPr>
        <w:t> </w:t>
      </w:r>
      <w:r>
        <w:rPr>
          <w:sz w:val="18"/>
        </w:rPr>
        <w:t>tutorial.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7" w:lineRule="auto" w:before="83" w:after="0"/>
        <w:ind w:left="1219" w:right="139" w:hanging="360"/>
        <w:jc w:val="both"/>
        <w:rPr>
          <w:sz w:val="18"/>
        </w:rPr>
      </w:pPr>
      <w:r>
        <w:rPr>
          <w:sz w:val="18"/>
        </w:rPr>
        <w:t>Genera ambientes de aprendizaje en los que se aplican con flexibilidad las tecnologías de la información y la</w:t>
      </w:r>
      <w:r>
        <w:rPr>
          <w:spacing w:val="-1"/>
          <w:sz w:val="18"/>
        </w:rPr>
        <w:t> </w:t>
      </w:r>
      <w:r>
        <w:rPr>
          <w:sz w:val="18"/>
        </w:rPr>
        <w:t>comunicación.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7" w:lineRule="auto" w:before="72" w:after="0"/>
        <w:ind w:left="1219" w:right="140" w:hanging="360"/>
        <w:jc w:val="both"/>
        <w:rPr>
          <w:sz w:val="18"/>
        </w:rPr>
      </w:pPr>
      <w:r>
        <w:rPr>
          <w:sz w:val="18"/>
        </w:rPr>
        <w:t>Fomenta clases dinámicas estimulando la interacción, el aprendizaje colaborativo y el  trabajo  en</w:t>
      </w:r>
      <w:r>
        <w:rPr>
          <w:spacing w:val="-1"/>
          <w:sz w:val="18"/>
        </w:rPr>
        <w:t> </w:t>
      </w:r>
      <w:r>
        <w:rPr>
          <w:sz w:val="18"/>
        </w:rPr>
        <w:t>grupo.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7" w:lineRule="auto" w:before="72" w:after="0"/>
        <w:ind w:left="1219" w:right="138" w:hanging="360"/>
        <w:jc w:val="both"/>
        <w:rPr>
          <w:sz w:val="18"/>
        </w:rPr>
      </w:pPr>
      <w:r>
        <w:rPr>
          <w:sz w:val="18"/>
        </w:rPr>
        <w:t>Utiliza  las  tecnologías  de  la  información  y  la  comunicación  para  evaluar  la  adquisición   de</w:t>
      </w:r>
      <w:r>
        <w:rPr>
          <w:spacing w:val="-1"/>
          <w:sz w:val="18"/>
        </w:rPr>
        <w:t> </w:t>
      </w:r>
      <w:r>
        <w:rPr>
          <w:sz w:val="18"/>
        </w:rPr>
        <w:t>conocimientos.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43" w:lineRule="auto" w:before="82" w:after="0"/>
        <w:ind w:left="427" w:right="2975" w:firstLine="0"/>
        <w:jc w:val="both"/>
        <w:rPr>
          <w:sz w:val="18"/>
        </w:rPr>
      </w:pPr>
      <w:r>
        <w:rPr>
          <w:sz w:val="18"/>
        </w:rPr>
        <w:t>Guía el proceso de aprendizaje independiente de sus estudiantes. Atributos: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7" w:lineRule="auto" w:before="0" w:after="0"/>
        <w:ind w:left="1219" w:right="137" w:hanging="360"/>
        <w:jc w:val="left"/>
        <w:rPr>
          <w:sz w:val="18"/>
        </w:rPr>
      </w:pPr>
      <w:r>
        <w:rPr>
          <w:sz w:val="18"/>
        </w:rPr>
        <w:t>Identifica  las  características  de  los   estudiantes   que   aprenden   separados   físicamente  del</w:t>
      </w:r>
      <w:r>
        <w:rPr>
          <w:spacing w:val="-1"/>
          <w:sz w:val="18"/>
        </w:rPr>
        <w:t> </w:t>
      </w:r>
      <w:r>
        <w:rPr>
          <w:sz w:val="18"/>
        </w:rPr>
        <w:t>docente.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7" w:lineRule="auto" w:before="60" w:after="0"/>
        <w:ind w:left="1219" w:right="139" w:hanging="360"/>
        <w:jc w:val="left"/>
        <w:rPr>
          <w:sz w:val="18"/>
        </w:rPr>
      </w:pPr>
      <w:r>
        <w:rPr>
          <w:sz w:val="18"/>
        </w:rPr>
        <w:t>Planifica el desarrollo de experiencias que involucren activamente a los estudiantes en sus procesos de aprendizaje</w:t>
      </w:r>
      <w:r>
        <w:rPr>
          <w:spacing w:val="-1"/>
          <w:sz w:val="18"/>
        </w:rPr>
        <w:t> </w:t>
      </w:r>
      <w:r>
        <w:rPr>
          <w:sz w:val="18"/>
        </w:rPr>
        <w:t>independiente.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7" w:lineRule="auto" w:before="73" w:after="0"/>
        <w:ind w:left="1219" w:right="138" w:hanging="360"/>
        <w:jc w:val="left"/>
        <w:rPr>
          <w:sz w:val="18"/>
        </w:rPr>
      </w:pPr>
      <w:r>
        <w:rPr>
          <w:sz w:val="18"/>
        </w:rPr>
        <w:t>Facilita y mantiene la motivación de los estudiantes con oportunas acciones de retroalimentación y contacto</w:t>
      </w:r>
      <w:r>
        <w:rPr>
          <w:spacing w:val="-1"/>
          <w:sz w:val="18"/>
        </w:rPr>
        <w:t> </w:t>
      </w:r>
      <w:r>
        <w:rPr>
          <w:sz w:val="18"/>
        </w:rPr>
        <w:t>individual.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7" w:lineRule="auto" w:before="72" w:after="0"/>
        <w:ind w:left="1219" w:right="138" w:hanging="360"/>
        <w:jc w:val="left"/>
        <w:rPr>
          <w:sz w:val="18"/>
        </w:rPr>
      </w:pPr>
      <w:r>
        <w:rPr>
          <w:sz w:val="18"/>
        </w:rPr>
        <w:t>Ayuda a prevenir y resolver dificultades que a los estudiantes se les presentan en su aprendizaje independiente”.</w:t>
      </w:r>
    </w:p>
    <w:p>
      <w:pPr>
        <w:pStyle w:val="Heading1"/>
        <w:spacing w:before="107"/>
        <w:ind w:left="493"/>
      </w:pPr>
      <w:r>
        <w:rPr/>
        <w:t>TRANSITORIOS</w:t>
      </w:r>
    </w:p>
    <w:p>
      <w:pPr>
        <w:pStyle w:val="BodyText"/>
        <w:spacing w:line="249" w:lineRule="auto" w:before="85"/>
        <w:ind w:left="139" w:right="140" w:firstLine="288"/>
      </w:pPr>
      <w:r>
        <w:rPr>
          <w:b/>
        </w:rPr>
        <w:t>PRIMERO.- </w:t>
      </w:r>
      <w:r>
        <w:rPr/>
        <w:t>El presente Acuerdo entrará en vigor al día siguiente de su publicación en el Diario Oficial de 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line="249" w:lineRule="auto" w:before="82"/>
        <w:ind w:left="139" w:right="138" w:firstLine="288"/>
      </w:pPr>
      <w:r>
        <w:rPr>
          <w:b/>
        </w:rPr>
        <w:t>SEGUNDO. </w:t>
      </w:r>
      <w:r>
        <w:rPr/>
        <w:t>Todas las referencias que se hagan en otros acuerdos o disposiciones administrativas al campo disciplinar “Ciencias Sociales” en relación con el Sistema Nacional de Bachillerato o con posterioridad al 22 de octubre de 2008, se entenderán hechas al campo disciplinar “Humanidades y Ciencias Sociales” en los términos de este Acuerdo.</w:t>
      </w:r>
    </w:p>
    <w:p>
      <w:pPr>
        <w:pStyle w:val="BodyText"/>
        <w:spacing w:before="82"/>
        <w:ind w:left="427"/>
      </w:pPr>
      <w:r>
        <w:rPr>
          <w:b/>
        </w:rPr>
        <w:t>TERCERO. </w:t>
      </w:r>
      <w:r>
        <w:rPr/>
        <w:t>Se derogan las disposiciones administrativas que se opongan a este Acuerdo.</w:t>
      </w:r>
    </w:p>
    <w:p>
      <w:pPr>
        <w:spacing w:line="249" w:lineRule="auto" w:before="90"/>
        <w:ind w:left="139" w:right="135" w:firstLine="288"/>
        <w:jc w:val="both"/>
        <w:rPr>
          <w:sz w:val="18"/>
        </w:rPr>
      </w:pPr>
      <w:r>
        <w:rPr>
          <w:sz w:val="18"/>
        </w:rPr>
        <w:t>México, D.F., a 12 de junio de 2009.- El Secretario de Educación Pública, </w:t>
      </w:r>
      <w:r>
        <w:rPr>
          <w:b/>
          <w:sz w:val="18"/>
        </w:rPr>
        <w:t>Alonso Lujambio Irazábal</w:t>
      </w:r>
      <w:r>
        <w:rPr>
          <w:sz w:val="18"/>
        </w:rPr>
        <w:t>.- Rúbrica.</w:t>
      </w:r>
    </w:p>
    <w:sectPr>
      <w:pgSz w:w="12240" w:h="15840"/>
      <w:pgMar w:header="711" w:footer="0" w:top="104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group style="position:absolute;margin-left:97.860001pt;margin-top:46.740028pt;width:416.3pt;height:2.2pt;mso-position-horizontal-relative:page;mso-position-vertical-relative:page;z-index:-252046336" coordorigin="1957,935" coordsize="8326,44">
          <v:line style="position:absolute" from="1957,971" to="10283,971" stroked="true" strokeweight=".72003pt" strokecolor="#000000">
            <v:stroke dashstyle="solid"/>
          </v:line>
          <v:line style="position:absolute" from="1957,942" to="10283,942" stroked="true" strokeweight=".71997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360001pt;margin-top:34.539982pt;width:100.8pt;height:12pt;mso-position-horizontal-relative:page;mso-position-vertical-relative:page;z-index:-2520453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Martes 23 de junio de 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54993pt;margin-top:34.539982pt;width:71.350pt;height:12pt;mso-position-horizontal-relative:page;mso-position-vertical-relative:page;z-index:-2520442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 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27.744568pt;margin-top:34.539982pt;width:88.5pt;height:12pt;mso-position-horizontal-relative:page;mso-position-vertical-relative:page;z-index:-252043264" type="#_x0000_t202" filled="false" stroked="false">
          <v:textbox inset="0,0,0,0">
            <w:txbxContent>
              <w:p>
                <w:pPr>
                  <w:pStyle w:val="BodyText"/>
                  <w:tabs>
                    <w:tab w:pos="1549" w:val="left" w:leader="none"/>
                  </w:tabs>
                  <w:spacing w:before="12"/>
                  <w:ind w:left="2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(Primera</w:t>
                </w:r>
                <w:r>
                  <w:rPr>
                    <w:rFonts w:ascii="Times New Roman" w:hAnsi="Times New Roman"/>
                    <w:spacing w:val="-1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  <w:tab/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9" w:hanging="433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  <w:lang w:val="es-ES" w:eastAsia="es-ES" w:bidi="es-ES"/>
      </w:rPr>
    </w:lvl>
    <w:lvl w:ilvl="1">
      <w:start w:val="0"/>
      <w:numFmt w:val="bullet"/>
      <w:lvlText w:val=""/>
      <w:lvlJc w:val="left"/>
      <w:pPr>
        <w:ind w:left="1219" w:hanging="361"/>
      </w:pPr>
      <w:rPr>
        <w:rFonts w:hint="default" w:ascii="Symbol" w:hAnsi="Symbol" w:eastAsia="Symbol" w:cs="Symbol"/>
        <w:w w:val="100"/>
        <w:sz w:val="18"/>
        <w:szCs w:val="18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97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975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53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73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608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486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>
      <w:ind w:left="1219"/>
      <w:jc w:val="both"/>
    </w:pPr>
    <w:rPr>
      <w:rFonts w:ascii="Arial" w:hAnsi="Arial" w:eastAsia="Arial" w:cs="Arial"/>
      <w:sz w:val="18"/>
      <w:szCs w:val="18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02"/>
      <w:ind w:left="427" w:right="493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219" w:right="138" w:hanging="360"/>
      <w:jc w:val="both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Huerta</dc:creator>
  <dc:title>Microsoft Word - SEP062312.doc</dc:title>
  <dcterms:created xsi:type="dcterms:W3CDTF">2019-12-09T22:16:55Z</dcterms:created>
  <dcterms:modified xsi:type="dcterms:W3CDTF">2019-12-09T22:16:55Z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2019-12-09T00:00:00Z</vt:filetime>
  </property>
</Properties>
</file>