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EA3AF1" w:rsidRPr="00EA3AF1" w:rsidTr="00EA3AF1">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EA3AF1" w:rsidRPr="00EA3AF1" w:rsidRDefault="00EA3AF1" w:rsidP="00EA3AF1">
            <w:pPr>
              <w:spacing w:after="0" w:afterAutospacing="0"/>
              <w:ind w:firstLine="0"/>
              <w:jc w:val="left"/>
              <w:rPr>
                <w:rFonts w:ascii="Arial" w:eastAsia="Times New Roman" w:hAnsi="Arial" w:cs="Arial"/>
                <w:color w:val="2F2F2F"/>
                <w:sz w:val="20"/>
                <w:szCs w:val="20"/>
                <w:lang w:eastAsia="es-MX"/>
              </w:rPr>
            </w:pPr>
            <w:r w:rsidRPr="00EA3AF1">
              <w:rPr>
                <w:rFonts w:ascii="Arial" w:eastAsia="Times New Roman" w:hAnsi="Arial" w:cs="Arial"/>
                <w:b/>
                <w:bCs/>
                <w:color w:val="2F2F2F"/>
                <w:sz w:val="20"/>
                <w:szCs w:val="20"/>
                <w:lang w:eastAsia="es-MX"/>
              </w:rPr>
              <w:t>DOF: 27/07/2021</w:t>
            </w:r>
          </w:p>
        </w:tc>
      </w:tr>
      <w:tr w:rsidR="00EA3AF1" w:rsidRPr="00EA3AF1" w:rsidTr="00EA3AF1">
        <w:trPr>
          <w:tblCellSpacing w:w="0" w:type="dxa"/>
          <w:jc w:val="center"/>
        </w:trPr>
        <w:tc>
          <w:tcPr>
            <w:tcW w:w="0" w:type="auto"/>
            <w:shd w:val="clear" w:color="auto" w:fill="FFFFFF"/>
            <w:tcMar>
              <w:top w:w="150" w:type="dxa"/>
              <w:left w:w="150" w:type="dxa"/>
              <w:bottom w:w="150" w:type="dxa"/>
              <w:right w:w="150" w:type="dxa"/>
            </w:tcMar>
            <w:vAlign w:val="center"/>
            <w:hideMark/>
          </w:tcPr>
          <w:p w:rsidR="00EA3AF1" w:rsidRPr="00EA3AF1" w:rsidRDefault="00EA3AF1" w:rsidP="00EA3AF1">
            <w:pPr>
              <w:pBdr>
                <w:bottom w:val="single" w:sz="12" w:space="0" w:color="000000"/>
              </w:pBdr>
              <w:spacing w:before="120" w:after="0" w:afterAutospacing="0"/>
              <w:ind w:firstLine="0"/>
              <w:outlineLvl w:val="0"/>
              <w:rPr>
                <w:rFonts w:ascii="Times New Roman" w:eastAsia="Times New Roman" w:hAnsi="Times New Roman" w:cs="Times New Roman"/>
                <w:b/>
                <w:bCs/>
                <w:color w:val="2F2F2F"/>
                <w:kern w:val="36"/>
                <w:sz w:val="18"/>
                <w:szCs w:val="18"/>
                <w:lang w:eastAsia="es-MX"/>
              </w:rPr>
            </w:pPr>
            <w:r w:rsidRPr="00EA3AF1">
              <w:rPr>
                <w:rFonts w:ascii="Times" w:eastAsia="Times New Roman" w:hAnsi="Times" w:cs="Times"/>
                <w:b/>
                <w:bCs/>
                <w:color w:val="2F2F2F"/>
                <w:kern w:val="36"/>
                <w:sz w:val="18"/>
                <w:szCs w:val="18"/>
                <w:lang w:eastAsia="es-MX"/>
              </w:rPr>
              <w:t>ACUERDO por el que se da a conocer el medio de difusión de la nueva metodología del semáforo por regiones para evaluar el riesgo epidemiológico que representa la enfermedad grave de atención prioritaria COVID-19.</w:t>
            </w:r>
          </w:p>
          <w:p w:rsidR="00EA3AF1" w:rsidRPr="00EA3AF1" w:rsidRDefault="00EA3AF1" w:rsidP="00EA3AF1">
            <w:pPr>
              <w:pBdr>
                <w:top w:val="single" w:sz="6" w:space="0" w:color="000000"/>
              </w:pBdr>
              <w:spacing w:before="100" w:beforeAutospacing="1" w:after="101" w:afterAutospacing="0"/>
              <w:ind w:firstLine="0"/>
              <w:outlineLvl w:val="1"/>
              <w:rPr>
                <w:rFonts w:ascii="Arial" w:eastAsia="Times New Roman" w:hAnsi="Arial" w:cs="Arial"/>
                <w:b/>
                <w:bCs/>
                <w:color w:val="2F2F2F"/>
                <w:sz w:val="18"/>
                <w:szCs w:val="18"/>
                <w:lang w:eastAsia="es-MX"/>
              </w:rPr>
            </w:pPr>
            <w:r w:rsidRPr="00EA3AF1">
              <w:rPr>
                <w:rFonts w:ascii="Arial" w:eastAsia="Times New Roman" w:hAnsi="Arial" w:cs="Arial"/>
                <w:b/>
                <w:bCs/>
                <w:color w:val="2F2F2F"/>
                <w:sz w:val="18"/>
                <w:szCs w:val="18"/>
                <w:lang w:eastAsia="es-MX"/>
              </w:rPr>
              <w:t xml:space="preserve">Al margen un sello con el Escudo Nacional, que dice: Estados Unidos </w:t>
            </w:r>
            <w:proofErr w:type="gramStart"/>
            <w:r w:rsidRPr="00EA3AF1">
              <w:rPr>
                <w:rFonts w:ascii="Arial" w:eastAsia="Times New Roman" w:hAnsi="Arial" w:cs="Arial"/>
                <w:b/>
                <w:bCs/>
                <w:color w:val="2F2F2F"/>
                <w:sz w:val="18"/>
                <w:szCs w:val="18"/>
                <w:lang w:eastAsia="es-MX"/>
              </w:rPr>
              <w:t>Mexicanos.-</w:t>
            </w:r>
            <w:proofErr w:type="gramEnd"/>
            <w:r w:rsidRPr="00EA3AF1">
              <w:rPr>
                <w:rFonts w:ascii="Arial" w:eastAsia="Times New Roman" w:hAnsi="Arial" w:cs="Arial"/>
                <w:b/>
                <w:bCs/>
                <w:color w:val="2F2F2F"/>
                <w:sz w:val="18"/>
                <w:szCs w:val="18"/>
                <w:lang w:eastAsia="es-MX"/>
              </w:rPr>
              <w:t xml:space="preserve"> SALUD.- Secretaría de Salud.</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139, 141, 147, 157 Bis 6, 157 Bis 8, 157 Bis 11, 157 Bis 12 y 184 de la Ley General de Salud; 7, fracción XVI del Reglamento Interior de la Secretaría de Salud, así como Segundo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EA3AF1" w:rsidRPr="00EA3AF1" w:rsidRDefault="00EA3AF1" w:rsidP="00EA3AF1">
            <w:pPr>
              <w:spacing w:afterAutospacing="0"/>
              <w:ind w:firstLine="0"/>
              <w:jc w:val="center"/>
              <w:rPr>
                <w:rFonts w:ascii="Times New Roman" w:eastAsia="Times New Roman" w:hAnsi="Times New Roman" w:cs="Times New Roman"/>
                <w:b/>
                <w:bCs/>
                <w:color w:val="2F2F2F"/>
                <w:sz w:val="18"/>
                <w:szCs w:val="18"/>
                <w:lang w:eastAsia="es-MX"/>
              </w:rPr>
            </w:pPr>
            <w:r w:rsidRPr="00EA3AF1">
              <w:rPr>
                <w:rFonts w:ascii="Times" w:eastAsia="Times New Roman" w:hAnsi="Times" w:cs="Times"/>
                <w:b/>
                <w:bCs/>
                <w:color w:val="2F2F2F"/>
                <w:sz w:val="18"/>
                <w:szCs w:val="18"/>
                <w:lang w:eastAsia="es-MX"/>
              </w:rPr>
              <w:t>CONSIDERANDO</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artículo 4o. de la Constitución Política de los Estados Unidos Mexicanos establece que toda persona tiene derecho a la protección de la salud, por lo que el Gobierno de México tiene la obligación de garantizar y realizar todas las acciones necesarias para ello;</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la Secretaría de Salud publicó en el Diario Oficial de la Federación del 24 de marzo de 2020, el Acuerdo por el que se establecen las medidas preventivas que se deberán implementar para la mitigación y control de los riesgos para la salud que implica la enfermedad por el virus SARS-CoV-2 (COVID-19), mismas que fueron sancionadas por el Presidente de la República a través del Decreto publicado en esa misma fecha en el citado órgano de difusión oficial;</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27 de marzo de 2020 el Titular del Ejecutivo Federal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 en el cual se prevé que la Secretaría de Salud podrá implementar, además de las previstas en el artículo 184 de la Ley General de Salud, las acciones que se estimen necesarias, y que las dependencias y entidades de la Administración Pública Federal deberán coordinarse y brindar los apoyos que sean requeridos por la Secretaría de Salud, para la instrumentación de las medidas de mitigación y control de la COVID-19;</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31 de marzo de 2020, la Secretaría de Salud publicó en el Diario Oficial de la Federación, el Acuerdo por el que se establecen acciones extraordinarias para atender la emergencia sanitaria generada por el virus SARS-CoV-2, ordenando la suspensión inmediata de las actividades no esenciales, con la finalidad de mitigar la dispersión y transmisión del virus SARS-CoV-2 en la comunidad;</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en el mismo Acuerdo se estableció el resguardo domiciliario corresponsable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en el Diario Oficial de la Federación, el 14 de mayo de 2020 se publicó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se plantea una reapertura en tres etapas, mediante un semáforo que incorpora las medidas de seguridad sanitaria apropiadas para las actividades laborales, educativas y el uso del espacio público, entre otros;</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 xml:space="preserve">Que la Secretaría de Salud, en coordinación con las Secretarías de Economía y del Trabajo y Previsión Social, así como con el Instituto Mexicano del Seguro Social, publicaron el 29 de mayo de 2020, en el Diario Oficial de la Federación, el Acuerdo por el que se establecen los Lineamientos </w:t>
            </w:r>
            <w:r w:rsidRPr="00EA3AF1">
              <w:rPr>
                <w:rFonts w:ascii="Arial" w:eastAsia="Times New Roman" w:hAnsi="Arial" w:cs="Arial"/>
                <w:color w:val="2F2F2F"/>
                <w:sz w:val="18"/>
                <w:szCs w:val="18"/>
                <w:lang w:eastAsia="es-MX"/>
              </w:rPr>
              <w:lastRenderedPageBreak/>
              <w:t>Técnicos Específicos para la Reapertura de las Actividades Económicas; los cuales disponen que para que los centros de trabajo puedan</w:t>
            </w:r>
          </w:p>
          <w:p w:rsidR="00EA3AF1" w:rsidRPr="00EA3AF1" w:rsidRDefault="00EA3AF1" w:rsidP="00EA3AF1">
            <w:pPr>
              <w:spacing w:afterAutospacing="0"/>
              <w:ind w:firstLine="0"/>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identificar las medidas obligatorias para el retorno o la continuidad de sus labores, deberán contemplar cuatro dimensiones a considerar: el tipo de actividad (esencial o no esencial), el tamaño del centro de trabajo, el nivel de alerta sanitaria de la ubicación del centro de trabajo, así como sus características;</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27 de julio de 2020, se publicó en el Diario Oficial de la Federación el Acuerdo por el que se da a conocer el medio de difusión de los criterios para las poblaciones en situación de vulnerabilidad, mediante el cual las secretarías de Salud, del Trabajo y Previsión Social, así como el Instituto Mexicano del Seguro Social, dan a conocer que en el sitio web www.coronavirus.gob.mx, se podrán consultar los criterios para las poblaciones en situación de vulnerabilidad que pueden desarrollar una complicación o morir por COVID-19, en la reapertura de actividades económicas en los centros de trabajo;</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los Criterios para las poblaciones en situaciones de vulnerabilidad tienen como objetivo orientar a las autoridades que conforman el Sistema Nacional de Salud, así como a las personas y centros de trabajo en la protección de la salud y la vida de poblaciones en situación de vulnerabilidad;</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8 de enero de 2021, la Secretaría de Salud publicó en el Diario Oficial de la Federación el Acuerdo por el que se da a conocer el medio de difusión de la Política Nacional de Vacunación contra el virus SARS-CoV-2 para la prevención de la COVID-19 en México, mediante el cual se informó que sería a través del sitio web www.coronavirus.gob.mx, que se podrían conocer las acciones concretas que se ejecutarían con la estrategia de vacunación contra el virus SARS-CoV-2, a efecto de garantizar a la población mexicana vacunas con un perfil correcto de seguridad y eficacia;</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mediante la Política Nacional de Vacunación contra el virus SARS-CoV-2, el Estado mexicano ha procurado el abasto y la distribución oportuna y gratuita, así como la disponibilidad de los insumos necesarios para las acciones de vacunación, y en el caso de las acciones relativas a la mitigación y control de la enfermedad grave de atención prioritaria generada por el virus SARS-CoV-2 (COVID-19), ha resuelto que su aplicación sea universal;</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Acuerdo por el que se establecen brigadas especiales, como una acción extraordinaria en materia de salubridad general, para llevar a cabo la vacunación como medida para la mitigación y control de la enfermedad COVID-19, en todo el territorio nacional, se publicó en el Diario Oficial de la Federación el 21 de enero de 2021; con el objetivo de hacer frente de una manera efectiva a la emergencia sanitaria originada por el virus SARS-CoV-2, mediante una estrategia de vacunación universal, se establecieron brigadas especiales en todo el territorio nacional como parte de las medidas de control de la enfermedad;</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las diversas acciones ejecutadas desde el gobierno federal para hacer frente a la propagación de la enfermedad grave de atención prioritaria COVID-19, así como la efectividad de la Política Nacional de Vacunación contra el virus SARS-CoV-2 para la prevención de la COVID-19 en México, y la correspondiente estrategia de implementación, han contribuido a que millones de personas hayan sido inmunizadas y, por ende, no se encuentren dentro de la población en riesgo de agravarse o fallecer por contraer dicha enfermedad, lo que ha permitido a la población retomar diversas actividades en beneficio del país, y</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Que el avance en la Política Nacional de Vacunación ha modificado la distribución por edades de los contagios, las hospitalizaciones y las defunciones relacionadas con la COVID-19; por lo que, ante la nueva realidad demográfica y epidémica en el país, es necesaria la actualización de los parámetros de medición del semáforo por regiones para evaluar el riesgo epidemiológico, he tenido a bien emitir el siguiente</w:t>
            </w:r>
          </w:p>
          <w:p w:rsidR="00EA3AF1" w:rsidRPr="00EA3AF1" w:rsidRDefault="00EA3AF1" w:rsidP="00EA3AF1">
            <w:pPr>
              <w:spacing w:afterAutospacing="0"/>
              <w:ind w:firstLine="0"/>
              <w:jc w:val="center"/>
              <w:rPr>
                <w:rFonts w:ascii="Times New Roman" w:eastAsia="Times New Roman" w:hAnsi="Times New Roman" w:cs="Times New Roman"/>
                <w:b/>
                <w:bCs/>
                <w:color w:val="2F2F2F"/>
                <w:sz w:val="18"/>
                <w:szCs w:val="18"/>
                <w:lang w:eastAsia="es-MX"/>
              </w:rPr>
            </w:pPr>
            <w:r w:rsidRPr="00EA3AF1">
              <w:rPr>
                <w:rFonts w:ascii="Times" w:eastAsia="Times New Roman" w:hAnsi="Times" w:cs="Times"/>
                <w:b/>
                <w:bCs/>
                <w:color w:val="2F2F2F"/>
                <w:sz w:val="18"/>
                <w:szCs w:val="18"/>
                <w:lang w:eastAsia="es-MX"/>
              </w:rPr>
              <w:t>ACUERDO</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b/>
                <w:bCs/>
                <w:color w:val="2F2F2F"/>
                <w:sz w:val="18"/>
                <w:szCs w:val="18"/>
                <w:lang w:eastAsia="es-MX"/>
              </w:rPr>
              <w:t xml:space="preserve">ARTÍCULO </w:t>
            </w:r>
            <w:proofErr w:type="gramStart"/>
            <w:r w:rsidRPr="00EA3AF1">
              <w:rPr>
                <w:rFonts w:ascii="Arial" w:eastAsia="Times New Roman" w:hAnsi="Arial" w:cs="Arial"/>
                <w:b/>
                <w:bCs/>
                <w:color w:val="2F2F2F"/>
                <w:sz w:val="18"/>
                <w:szCs w:val="18"/>
                <w:lang w:eastAsia="es-MX"/>
              </w:rPr>
              <w:t>PRIMERO.-</w:t>
            </w:r>
            <w:proofErr w:type="gramEnd"/>
            <w:r w:rsidRPr="00EA3AF1">
              <w:rPr>
                <w:rFonts w:ascii="Arial" w:eastAsia="Times New Roman" w:hAnsi="Arial" w:cs="Arial"/>
                <w:color w:val="2F2F2F"/>
                <w:sz w:val="18"/>
                <w:szCs w:val="18"/>
                <w:lang w:eastAsia="es-MX"/>
              </w:rPr>
              <w:t> El presente Acuerdo tiene por objeto dar a conocer el medio de difusión de la nueva metodología del semáforo por regiones para evaluar el riesgo epidemiológico que representa la enfermedad grave de atención prioritaria COVID-19.</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b/>
                <w:bCs/>
                <w:color w:val="2F2F2F"/>
                <w:sz w:val="18"/>
                <w:szCs w:val="18"/>
                <w:lang w:eastAsia="es-MX"/>
              </w:rPr>
              <w:t xml:space="preserve">ARTÍCULO </w:t>
            </w:r>
            <w:proofErr w:type="gramStart"/>
            <w:r w:rsidRPr="00EA3AF1">
              <w:rPr>
                <w:rFonts w:ascii="Arial" w:eastAsia="Times New Roman" w:hAnsi="Arial" w:cs="Arial"/>
                <w:b/>
                <w:bCs/>
                <w:color w:val="2F2F2F"/>
                <w:sz w:val="18"/>
                <w:szCs w:val="18"/>
                <w:lang w:eastAsia="es-MX"/>
              </w:rPr>
              <w:t>SEGUNDO.-</w:t>
            </w:r>
            <w:proofErr w:type="gramEnd"/>
            <w:r w:rsidRPr="00EA3AF1">
              <w:rPr>
                <w:rFonts w:ascii="Arial" w:eastAsia="Times New Roman" w:hAnsi="Arial" w:cs="Arial"/>
                <w:color w:val="2F2F2F"/>
                <w:sz w:val="18"/>
                <w:szCs w:val="18"/>
                <w:lang w:eastAsia="es-MX"/>
              </w:rPr>
              <w:t> Las personas a quienes se haya administrado un esquema de vacunación contra el virus SARS-CoV-2 y habiendo transcurrido dos semanas posteriores a la aplicación de la última dosis, no serán consideradas dentro de la población en situación de vulnerabilidad para contraer dicha enfermedad grave de atención prioritaria.</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b/>
                <w:bCs/>
                <w:color w:val="2F2F2F"/>
                <w:sz w:val="18"/>
                <w:szCs w:val="18"/>
                <w:lang w:eastAsia="es-MX"/>
              </w:rPr>
              <w:t xml:space="preserve">ARTÍCULO </w:t>
            </w:r>
            <w:proofErr w:type="gramStart"/>
            <w:r w:rsidRPr="00EA3AF1">
              <w:rPr>
                <w:rFonts w:ascii="Arial" w:eastAsia="Times New Roman" w:hAnsi="Arial" w:cs="Arial"/>
                <w:b/>
                <w:bCs/>
                <w:color w:val="2F2F2F"/>
                <w:sz w:val="18"/>
                <w:szCs w:val="18"/>
                <w:lang w:eastAsia="es-MX"/>
              </w:rPr>
              <w:t>TERCERO.-</w:t>
            </w:r>
            <w:proofErr w:type="gramEnd"/>
            <w:r w:rsidRPr="00EA3AF1">
              <w:rPr>
                <w:rFonts w:ascii="Arial" w:eastAsia="Times New Roman" w:hAnsi="Arial" w:cs="Arial"/>
                <w:b/>
                <w:bCs/>
                <w:color w:val="2F2F2F"/>
                <w:sz w:val="18"/>
                <w:szCs w:val="18"/>
                <w:lang w:eastAsia="es-MX"/>
              </w:rPr>
              <w:t> </w:t>
            </w:r>
            <w:r w:rsidRPr="00EA3AF1">
              <w:rPr>
                <w:rFonts w:ascii="Arial" w:eastAsia="Times New Roman" w:hAnsi="Arial" w:cs="Arial"/>
                <w:color w:val="2F2F2F"/>
                <w:sz w:val="18"/>
                <w:szCs w:val="18"/>
                <w:lang w:eastAsia="es-MX"/>
              </w:rPr>
              <w:t>La Secretaría de Salud dará a conocer la nueva metodología a que se refiere el artículo PRIMERO del presente Acuerdo, en el sitio web coronavirus.gob.mx/</w:t>
            </w:r>
            <w:proofErr w:type="spellStart"/>
            <w:r w:rsidRPr="00EA3AF1">
              <w:rPr>
                <w:rFonts w:ascii="Arial" w:eastAsia="Times New Roman" w:hAnsi="Arial" w:cs="Arial"/>
                <w:color w:val="2F2F2F"/>
                <w:sz w:val="18"/>
                <w:szCs w:val="18"/>
                <w:lang w:eastAsia="es-MX"/>
              </w:rPr>
              <w:t>semaforo</w:t>
            </w:r>
            <w:proofErr w:type="spellEnd"/>
            <w:r w:rsidRPr="00EA3AF1">
              <w:rPr>
                <w:rFonts w:ascii="Arial" w:eastAsia="Times New Roman" w:hAnsi="Arial" w:cs="Arial"/>
                <w:color w:val="2F2F2F"/>
                <w:sz w:val="18"/>
                <w:szCs w:val="18"/>
                <w:lang w:eastAsia="es-MX"/>
              </w:rPr>
              <w:t>.</w:t>
            </w:r>
          </w:p>
          <w:p w:rsidR="00EA3AF1" w:rsidRPr="00EA3AF1" w:rsidRDefault="00EA3AF1" w:rsidP="00EA3AF1">
            <w:pPr>
              <w:spacing w:afterAutospacing="0"/>
              <w:ind w:firstLine="0"/>
              <w:jc w:val="center"/>
              <w:rPr>
                <w:rFonts w:ascii="Times New Roman" w:eastAsia="Times New Roman" w:hAnsi="Times New Roman" w:cs="Times New Roman"/>
                <w:b/>
                <w:bCs/>
                <w:color w:val="2F2F2F"/>
                <w:sz w:val="18"/>
                <w:szCs w:val="18"/>
                <w:lang w:eastAsia="es-MX"/>
              </w:rPr>
            </w:pPr>
            <w:r w:rsidRPr="00EA3AF1">
              <w:rPr>
                <w:rFonts w:ascii="Times New Roman" w:eastAsia="Times New Roman" w:hAnsi="Times New Roman" w:cs="Times New Roman"/>
                <w:b/>
                <w:bCs/>
                <w:color w:val="2F2F2F"/>
                <w:sz w:val="18"/>
                <w:szCs w:val="18"/>
                <w:lang w:eastAsia="es-MX"/>
              </w:rPr>
              <w:lastRenderedPageBreak/>
              <w:t> </w:t>
            </w:r>
          </w:p>
          <w:p w:rsidR="00EA3AF1" w:rsidRPr="00EA3AF1" w:rsidRDefault="00EA3AF1" w:rsidP="00EA3AF1">
            <w:pPr>
              <w:spacing w:afterAutospacing="0"/>
              <w:ind w:firstLine="0"/>
              <w:jc w:val="center"/>
              <w:rPr>
                <w:rFonts w:ascii="Times New Roman" w:eastAsia="Times New Roman" w:hAnsi="Times New Roman" w:cs="Times New Roman"/>
                <w:b/>
                <w:bCs/>
                <w:color w:val="2F2F2F"/>
                <w:sz w:val="18"/>
                <w:szCs w:val="18"/>
                <w:lang w:eastAsia="es-MX"/>
              </w:rPr>
            </w:pPr>
            <w:r w:rsidRPr="00EA3AF1">
              <w:rPr>
                <w:rFonts w:ascii="Times" w:eastAsia="Times New Roman" w:hAnsi="Times" w:cs="Times"/>
                <w:b/>
                <w:bCs/>
                <w:color w:val="2F2F2F"/>
                <w:sz w:val="18"/>
                <w:szCs w:val="18"/>
                <w:lang w:eastAsia="es-MX"/>
              </w:rPr>
              <w:t>TRANSITORIOS</w:t>
            </w:r>
          </w:p>
          <w:p w:rsidR="00EA3AF1" w:rsidRPr="00EA3AF1" w:rsidRDefault="00EA3AF1" w:rsidP="00EA3AF1">
            <w:pPr>
              <w:spacing w:afterAutospacing="0"/>
              <w:ind w:firstLine="288"/>
              <w:rPr>
                <w:rFonts w:ascii="Arial" w:eastAsia="Times New Roman" w:hAnsi="Arial" w:cs="Arial"/>
                <w:color w:val="2F2F2F"/>
                <w:sz w:val="18"/>
                <w:szCs w:val="18"/>
                <w:lang w:eastAsia="es-MX"/>
              </w:rPr>
            </w:pPr>
            <w:proofErr w:type="gramStart"/>
            <w:r w:rsidRPr="00EA3AF1">
              <w:rPr>
                <w:rFonts w:ascii="Arial" w:eastAsia="Times New Roman" w:hAnsi="Arial" w:cs="Arial"/>
                <w:b/>
                <w:bCs/>
                <w:color w:val="2F2F2F"/>
                <w:sz w:val="18"/>
                <w:szCs w:val="18"/>
                <w:lang w:eastAsia="es-MX"/>
              </w:rPr>
              <w:t>PRIMERO.-</w:t>
            </w:r>
            <w:proofErr w:type="gramEnd"/>
            <w:r w:rsidRPr="00EA3AF1">
              <w:rPr>
                <w:rFonts w:ascii="Arial" w:eastAsia="Times New Roman" w:hAnsi="Arial" w:cs="Arial"/>
                <w:b/>
                <w:bCs/>
                <w:color w:val="2F2F2F"/>
                <w:sz w:val="18"/>
                <w:szCs w:val="18"/>
                <w:lang w:eastAsia="es-MX"/>
              </w:rPr>
              <w:t> </w:t>
            </w:r>
            <w:r w:rsidRPr="00EA3AF1">
              <w:rPr>
                <w:rFonts w:ascii="Arial" w:eastAsia="Times New Roman" w:hAnsi="Arial" w:cs="Arial"/>
                <w:color w:val="2F2F2F"/>
                <w:sz w:val="18"/>
                <w:szCs w:val="18"/>
                <w:lang w:eastAsia="es-MX"/>
              </w:rPr>
              <w:t>El presente Acuerdo entrará en vigor el día de su publicación en el Diario Oficial de la Federación.</w:t>
            </w:r>
          </w:p>
          <w:p w:rsidR="00EA3AF1" w:rsidRPr="00EA3AF1" w:rsidRDefault="00EA3AF1" w:rsidP="00EA3AF1">
            <w:pPr>
              <w:spacing w:afterAutospacing="0"/>
              <w:ind w:firstLine="288"/>
              <w:rPr>
                <w:rFonts w:ascii="Arial" w:eastAsia="Times New Roman" w:hAnsi="Arial" w:cs="Arial"/>
                <w:color w:val="2F2F2F"/>
                <w:sz w:val="18"/>
                <w:szCs w:val="18"/>
                <w:lang w:eastAsia="es-MX"/>
              </w:rPr>
            </w:pPr>
            <w:proofErr w:type="gramStart"/>
            <w:r w:rsidRPr="00EA3AF1">
              <w:rPr>
                <w:rFonts w:ascii="Arial" w:eastAsia="Times New Roman" w:hAnsi="Arial" w:cs="Arial"/>
                <w:b/>
                <w:bCs/>
                <w:color w:val="2F2F2F"/>
                <w:sz w:val="18"/>
                <w:szCs w:val="18"/>
                <w:lang w:eastAsia="es-MX"/>
              </w:rPr>
              <w:t>SEGUNDO.-</w:t>
            </w:r>
            <w:proofErr w:type="gramEnd"/>
            <w:r w:rsidRPr="00EA3AF1">
              <w:rPr>
                <w:rFonts w:ascii="Arial" w:eastAsia="Times New Roman" w:hAnsi="Arial" w:cs="Arial"/>
                <w:b/>
                <w:bCs/>
                <w:color w:val="2F2F2F"/>
                <w:sz w:val="18"/>
                <w:szCs w:val="18"/>
                <w:lang w:eastAsia="es-MX"/>
              </w:rPr>
              <w:t> </w:t>
            </w:r>
            <w:r w:rsidRPr="00EA3AF1">
              <w:rPr>
                <w:rFonts w:ascii="Arial" w:eastAsia="Times New Roman" w:hAnsi="Arial" w:cs="Arial"/>
                <w:color w:val="2F2F2F"/>
                <w:sz w:val="18"/>
                <w:szCs w:val="18"/>
                <w:lang w:eastAsia="es-MX"/>
              </w:rPr>
              <w:t>Se abroga el Anexo "Semáforo por Regiones" del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en el Diario Oficial de la Federación.</w:t>
            </w:r>
          </w:p>
          <w:p w:rsidR="00EA3AF1" w:rsidRPr="00EA3AF1" w:rsidRDefault="00EA3AF1" w:rsidP="00EA3AF1">
            <w:pPr>
              <w:spacing w:afterAutospacing="0"/>
              <w:ind w:firstLine="288"/>
              <w:rPr>
                <w:rFonts w:ascii="Arial" w:eastAsia="Times New Roman" w:hAnsi="Arial" w:cs="Arial"/>
                <w:color w:val="2F2F2F"/>
                <w:sz w:val="18"/>
                <w:szCs w:val="18"/>
                <w:lang w:eastAsia="es-MX"/>
              </w:rPr>
            </w:pPr>
            <w:proofErr w:type="gramStart"/>
            <w:r w:rsidRPr="00EA3AF1">
              <w:rPr>
                <w:rFonts w:ascii="Arial" w:eastAsia="Times New Roman" w:hAnsi="Arial" w:cs="Arial"/>
                <w:b/>
                <w:bCs/>
                <w:color w:val="2F2F2F"/>
                <w:sz w:val="18"/>
                <w:szCs w:val="18"/>
                <w:lang w:eastAsia="es-MX"/>
              </w:rPr>
              <w:t>TERCERO.-</w:t>
            </w:r>
            <w:proofErr w:type="gramEnd"/>
            <w:r w:rsidRPr="00EA3AF1">
              <w:rPr>
                <w:rFonts w:ascii="Arial" w:eastAsia="Times New Roman" w:hAnsi="Arial" w:cs="Arial"/>
                <w:color w:val="2F2F2F"/>
                <w:sz w:val="18"/>
                <w:szCs w:val="18"/>
                <w:lang w:eastAsia="es-MX"/>
              </w:rPr>
              <w:t> La nueva metodología a que se refiere el artículo PRIMERO del presente Acuerdo, deberá estar disponible a más tardar al día hábil siguiente a la entrada en vigor del presente instrumento.</w:t>
            </w:r>
          </w:p>
          <w:p w:rsidR="00EA3AF1" w:rsidRPr="00EA3AF1" w:rsidRDefault="00EA3AF1" w:rsidP="00EA3AF1">
            <w:pPr>
              <w:spacing w:afterAutospacing="0"/>
              <w:ind w:firstLine="288"/>
              <w:rPr>
                <w:rFonts w:ascii="Arial" w:eastAsia="Times New Roman" w:hAnsi="Arial" w:cs="Arial"/>
                <w:color w:val="2F2F2F"/>
                <w:sz w:val="18"/>
                <w:szCs w:val="18"/>
                <w:lang w:eastAsia="es-MX"/>
              </w:rPr>
            </w:pPr>
            <w:r w:rsidRPr="00EA3AF1">
              <w:rPr>
                <w:rFonts w:ascii="Arial" w:eastAsia="Times New Roman" w:hAnsi="Arial" w:cs="Arial"/>
                <w:color w:val="2F2F2F"/>
                <w:sz w:val="18"/>
                <w:szCs w:val="18"/>
                <w:lang w:eastAsia="es-MX"/>
              </w:rPr>
              <w:t>Dado en la Ciudad de México, a los 26 días del mes de julio de 2021.- El Secretario de Salud, </w:t>
            </w:r>
            <w:r w:rsidRPr="00EA3AF1">
              <w:rPr>
                <w:rFonts w:ascii="Arial" w:eastAsia="Times New Roman" w:hAnsi="Arial" w:cs="Arial"/>
                <w:b/>
                <w:bCs/>
                <w:color w:val="2F2F2F"/>
                <w:sz w:val="18"/>
                <w:szCs w:val="18"/>
                <w:lang w:eastAsia="es-MX"/>
              </w:rPr>
              <w:t>Jorge Carlos Alcocer Varela</w:t>
            </w:r>
            <w:r w:rsidRPr="00EA3AF1">
              <w:rPr>
                <w:rFonts w:ascii="Arial" w:eastAsia="Times New Roman" w:hAnsi="Arial" w:cs="Arial"/>
                <w:color w:val="2F2F2F"/>
                <w:sz w:val="18"/>
                <w:szCs w:val="18"/>
                <w:lang w:eastAsia="es-MX"/>
              </w:rPr>
              <w:t>.- Rúbrica.</w:t>
            </w:r>
          </w:p>
        </w:tc>
      </w:tr>
    </w:tbl>
    <w:p w:rsidR="00D422F9" w:rsidRDefault="00D422F9">
      <w:bookmarkStart w:id="0" w:name="_GoBack"/>
      <w:bookmarkEnd w:id="0"/>
    </w:p>
    <w:sectPr w:rsidR="00D422F9" w:rsidSect="006E73F0">
      <w:pgSz w:w="12240" w:h="15840" w:code="1"/>
      <w:pgMar w:top="1417" w:right="1701" w:bottom="1417" w:left="1701" w:header="567" w:footer="69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F1"/>
    <w:rsid w:val="006E73F0"/>
    <w:rsid w:val="00D422F9"/>
    <w:rsid w:val="00EA3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07C6-18A0-4B81-9A50-92BBBCE4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00" w:afterAutospacing="1"/>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style>
  <w:style w:type="paragraph" w:styleId="Ttulo1">
    <w:name w:val="heading 1"/>
    <w:basedOn w:val="Normal"/>
    <w:link w:val="Ttulo1Car"/>
    <w:uiPriority w:val="9"/>
    <w:qFormat/>
    <w:rsid w:val="00EA3AF1"/>
    <w:pPr>
      <w:spacing w:before="100" w:beforeAutospacing="1"/>
      <w:ind w:firstLine="0"/>
      <w:jc w:val="left"/>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A3AF1"/>
    <w:pPr>
      <w:spacing w:before="100" w:beforeAutospacing="1"/>
      <w:ind w:firstLine="0"/>
      <w:jc w:val="left"/>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3AF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A3AF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1828">
      <w:bodyDiv w:val="1"/>
      <w:marLeft w:val="0"/>
      <w:marRight w:val="0"/>
      <w:marTop w:val="0"/>
      <w:marBottom w:val="0"/>
      <w:divBdr>
        <w:top w:val="none" w:sz="0" w:space="0" w:color="auto"/>
        <w:left w:val="none" w:sz="0" w:space="0" w:color="auto"/>
        <w:bottom w:val="none" w:sz="0" w:space="0" w:color="auto"/>
        <w:right w:val="none" w:sz="0" w:space="0" w:color="auto"/>
      </w:divBdr>
      <w:divsChild>
        <w:div w:id="121046604">
          <w:marLeft w:val="0"/>
          <w:marRight w:val="0"/>
          <w:marTop w:val="0"/>
          <w:marBottom w:val="0"/>
          <w:divBdr>
            <w:top w:val="none" w:sz="0" w:space="0" w:color="auto"/>
            <w:left w:val="none" w:sz="0" w:space="0" w:color="auto"/>
            <w:bottom w:val="none" w:sz="0" w:space="0" w:color="auto"/>
            <w:right w:val="none" w:sz="0" w:space="0" w:color="auto"/>
          </w:divBdr>
          <w:divsChild>
            <w:div w:id="905844698">
              <w:marLeft w:val="0"/>
              <w:marRight w:val="0"/>
              <w:marTop w:val="0"/>
              <w:marBottom w:val="0"/>
              <w:divBdr>
                <w:top w:val="none" w:sz="0" w:space="0" w:color="auto"/>
                <w:left w:val="none" w:sz="0" w:space="0" w:color="auto"/>
                <w:bottom w:val="none" w:sz="0" w:space="0" w:color="auto"/>
                <w:right w:val="none" w:sz="0" w:space="0" w:color="auto"/>
              </w:divBdr>
              <w:divsChild>
                <w:div w:id="1442067690">
                  <w:marLeft w:val="0"/>
                  <w:marRight w:val="0"/>
                  <w:marTop w:val="0"/>
                  <w:marBottom w:val="100"/>
                  <w:divBdr>
                    <w:top w:val="none" w:sz="0" w:space="0" w:color="auto"/>
                    <w:left w:val="none" w:sz="0" w:space="0" w:color="auto"/>
                    <w:bottom w:val="none" w:sz="0" w:space="0" w:color="auto"/>
                    <w:right w:val="none" w:sz="0" w:space="0" w:color="auto"/>
                  </w:divBdr>
                </w:div>
                <w:div w:id="194775219">
                  <w:marLeft w:val="0"/>
                  <w:marRight w:val="0"/>
                  <w:marTop w:val="0"/>
                  <w:marBottom w:val="100"/>
                  <w:divBdr>
                    <w:top w:val="none" w:sz="0" w:space="0" w:color="auto"/>
                    <w:left w:val="none" w:sz="0" w:space="0" w:color="auto"/>
                    <w:bottom w:val="none" w:sz="0" w:space="0" w:color="auto"/>
                    <w:right w:val="none" w:sz="0" w:space="0" w:color="auto"/>
                  </w:divBdr>
                </w:div>
                <w:div w:id="892430303">
                  <w:marLeft w:val="0"/>
                  <w:marRight w:val="0"/>
                  <w:marTop w:val="0"/>
                  <w:marBottom w:val="100"/>
                  <w:divBdr>
                    <w:top w:val="none" w:sz="0" w:space="0" w:color="auto"/>
                    <w:left w:val="none" w:sz="0" w:space="0" w:color="auto"/>
                    <w:bottom w:val="none" w:sz="0" w:space="0" w:color="auto"/>
                    <w:right w:val="none" w:sz="0" w:space="0" w:color="auto"/>
                  </w:divBdr>
                </w:div>
                <w:div w:id="24213315">
                  <w:marLeft w:val="0"/>
                  <w:marRight w:val="0"/>
                  <w:marTop w:val="0"/>
                  <w:marBottom w:val="100"/>
                  <w:divBdr>
                    <w:top w:val="none" w:sz="0" w:space="0" w:color="auto"/>
                    <w:left w:val="none" w:sz="0" w:space="0" w:color="auto"/>
                    <w:bottom w:val="none" w:sz="0" w:space="0" w:color="auto"/>
                    <w:right w:val="none" w:sz="0" w:space="0" w:color="auto"/>
                  </w:divBdr>
                </w:div>
                <w:div w:id="1962957341">
                  <w:marLeft w:val="0"/>
                  <w:marRight w:val="0"/>
                  <w:marTop w:val="0"/>
                  <w:marBottom w:val="100"/>
                  <w:divBdr>
                    <w:top w:val="none" w:sz="0" w:space="0" w:color="auto"/>
                    <w:left w:val="none" w:sz="0" w:space="0" w:color="auto"/>
                    <w:bottom w:val="none" w:sz="0" w:space="0" w:color="auto"/>
                    <w:right w:val="none" w:sz="0" w:space="0" w:color="auto"/>
                  </w:divBdr>
                </w:div>
                <w:div w:id="640038563">
                  <w:marLeft w:val="0"/>
                  <w:marRight w:val="0"/>
                  <w:marTop w:val="0"/>
                  <w:marBottom w:val="100"/>
                  <w:divBdr>
                    <w:top w:val="none" w:sz="0" w:space="0" w:color="auto"/>
                    <w:left w:val="none" w:sz="0" w:space="0" w:color="auto"/>
                    <w:bottom w:val="none" w:sz="0" w:space="0" w:color="auto"/>
                    <w:right w:val="none" w:sz="0" w:space="0" w:color="auto"/>
                  </w:divBdr>
                </w:div>
                <w:div w:id="686759335">
                  <w:marLeft w:val="0"/>
                  <w:marRight w:val="0"/>
                  <w:marTop w:val="0"/>
                  <w:marBottom w:val="100"/>
                  <w:divBdr>
                    <w:top w:val="none" w:sz="0" w:space="0" w:color="auto"/>
                    <w:left w:val="none" w:sz="0" w:space="0" w:color="auto"/>
                    <w:bottom w:val="none" w:sz="0" w:space="0" w:color="auto"/>
                    <w:right w:val="none" w:sz="0" w:space="0" w:color="auto"/>
                  </w:divBdr>
                </w:div>
                <w:div w:id="638461370">
                  <w:marLeft w:val="0"/>
                  <w:marRight w:val="0"/>
                  <w:marTop w:val="0"/>
                  <w:marBottom w:val="100"/>
                  <w:divBdr>
                    <w:top w:val="none" w:sz="0" w:space="0" w:color="auto"/>
                    <w:left w:val="none" w:sz="0" w:space="0" w:color="auto"/>
                    <w:bottom w:val="none" w:sz="0" w:space="0" w:color="auto"/>
                    <w:right w:val="none" w:sz="0" w:space="0" w:color="auto"/>
                  </w:divBdr>
                </w:div>
                <w:div w:id="1548179040">
                  <w:marLeft w:val="0"/>
                  <w:marRight w:val="0"/>
                  <w:marTop w:val="0"/>
                  <w:marBottom w:val="100"/>
                  <w:divBdr>
                    <w:top w:val="none" w:sz="0" w:space="0" w:color="auto"/>
                    <w:left w:val="none" w:sz="0" w:space="0" w:color="auto"/>
                    <w:bottom w:val="none" w:sz="0" w:space="0" w:color="auto"/>
                    <w:right w:val="none" w:sz="0" w:space="0" w:color="auto"/>
                  </w:divBdr>
                </w:div>
                <w:div w:id="917859136">
                  <w:marLeft w:val="0"/>
                  <w:marRight w:val="0"/>
                  <w:marTop w:val="0"/>
                  <w:marBottom w:val="100"/>
                  <w:divBdr>
                    <w:top w:val="none" w:sz="0" w:space="0" w:color="auto"/>
                    <w:left w:val="none" w:sz="0" w:space="0" w:color="auto"/>
                    <w:bottom w:val="none" w:sz="0" w:space="0" w:color="auto"/>
                    <w:right w:val="none" w:sz="0" w:space="0" w:color="auto"/>
                  </w:divBdr>
                </w:div>
                <w:div w:id="266274943">
                  <w:marLeft w:val="0"/>
                  <w:marRight w:val="0"/>
                  <w:marTop w:val="0"/>
                  <w:marBottom w:val="100"/>
                  <w:divBdr>
                    <w:top w:val="none" w:sz="0" w:space="0" w:color="auto"/>
                    <w:left w:val="none" w:sz="0" w:space="0" w:color="auto"/>
                    <w:bottom w:val="none" w:sz="0" w:space="0" w:color="auto"/>
                    <w:right w:val="none" w:sz="0" w:space="0" w:color="auto"/>
                  </w:divBdr>
                </w:div>
                <w:div w:id="2099014035">
                  <w:marLeft w:val="0"/>
                  <w:marRight w:val="0"/>
                  <w:marTop w:val="0"/>
                  <w:marBottom w:val="100"/>
                  <w:divBdr>
                    <w:top w:val="none" w:sz="0" w:space="0" w:color="auto"/>
                    <w:left w:val="none" w:sz="0" w:space="0" w:color="auto"/>
                    <w:bottom w:val="none" w:sz="0" w:space="0" w:color="auto"/>
                    <w:right w:val="none" w:sz="0" w:space="0" w:color="auto"/>
                  </w:divBdr>
                </w:div>
                <w:div w:id="1143813806">
                  <w:marLeft w:val="0"/>
                  <w:marRight w:val="0"/>
                  <w:marTop w:val="0"/>
                  <w:marBottom w:val="100"/>
                  <w:divBdr>
                    <w:top w:val="none" w:sz="0" w:space="0" w:color="auto"/>
                    <w:left w:val="none" w:sz="0" w:space="0" w:color="auto"/>
                    <w:bottom w:val="none" w:sz="0" w:space="0" w:color="auto"/>
                    <w:right w:val="none" w:sz="0" w:space="0" w:color="auto"/>
                  </w:divBdr>
                </w:div>
                <w:div w:id="1032077088">
                  <w:marLeft w:val="0"/>
                  <w:marRight w:val="0"/>
                  <w:marTop w:val="0"/>
                  <w:marBottom w:val="100"/>
                  <w:divBdr>
                    <w:top w:val="none" w:sz="0" w:space="0" w:color="auto"/>
                    <w:left w:val="none" w:sz="0" w:space="0" w:color="auto"/>
                    <w:bottom w:val="none" w:sz="0" w:space="0" w:color="auto"/>
                    <w:right w:val="none" w:sz="0" w:space="0" w:color="auto"/>
                  </w:divBdr>
                </w:div>
                <w:div w:id="1522545698">
                  <w:marLeft w:val="0"/>
                  <w:marRight w:val="0"/>
                  <w:marTop w:val="0"/>
                  <w:marBottom w:val="100"/>
                  <w:divBdr>
                    <w:top w:val="none" w:sz="0" w:space="0" w:color="auto"/>
                    <w:left w:val="none" w:sz="0" w:space="0" w:color="auto"/>
                    <w:bottom w:val="none" w:sz="0" w:space="0" w:color="auto"/>
                    <w:right w:val="none" w:sz="0" w:space="0" w:color="auto"/>
                  </w:divBdr>
                </w:div>
                <w:div w:id="416901951">
                  <w:marLeft w:val="0"/>
                  <w:marRight w:val="0"/>
                  <w:marTop w:val="0"/>
                  <w:marBottom w:val="100"/>
                  <w:divBdr>
                    <w:top w:val="none" w:sz="0" w:space="0" w:color="auto"/>
                    <w:left w:val="none" w:sz="0" w:space="0" w:color="auto"/>
                    <w:bottom w:val="none" w:sz="0" w:space="0" w:color="auto"/>
                    <w:right w:val="none" w:sz="0" w:space="0" w:color="auto"/>
                  </w:divBdr>
                </w:div>
                <w:div w:id="1873493694">
                  <w:marLeft w:val="0"/>
                  <w:marRight w:val="0"/>
                  <w:marTop w:val="0"/>
                  <w:marBottom w:val="100"/>
                  <w:divBdr>
                    <w:top w:val="none" w:sz="0" w:space="0" w:color="auto"/>
                    <w:left w:val="none" w:sz="0" w:space="0" w:color="auto"/>
                    <w:bottom w:val="none" w:sz="0" w:space="0" w:color="auto"/>
                    <w:right w:val="none" w:sz="0" w:space="0" w:color="auto"/>
                  </w:divBdr>
                </w:div>
                <w:div w:id="435907972">
                  <w:marLeft w:val="0"/>
                  <w:marRight w:val="0"/>
                  <w:marTop w:val="101"/>
                  <w:marBottom w:val="100"/>
                  <w:divBdr>
                    <w:top w:val="none" w:sz="0" w:space="0" w:color="auto"/>
                    <w:left w:val="none" w:sz="0" w:space="0" w:color="auto"/>
                    <w:bottom w:val="none" w:sz="0" w:space="0" w:color="auto"/>
                    <w:right w:val="none" w:sz="0" w:space="0" w:color="auto"/>
                  </w:divBdr>
                </w:div>
                <w:div w:id="148137523">
                  <w:marLeft w:val="0"/>
                  <w:marRight w:val="0"/>
                  <w:marTop w:val="0"/>
                  <w:marBottom w:val="100"/>
                  <w:divBdr>
                    <w:top w:val="none" w:sz="0" w:space="0" w:color="auto"/>
                    <w:left w:val="none" w:sz="0" w:space="0" w:color="auto"/>
                    <w:bottom w:val="none" w:sz="0" w:space="0" w:color="auto"/>
                    <w:right w:val="none" w:sz="0" w:space="0" w:color="auto"/>
                  </w:divBdr>
                </w:div>
                <w:div w:id="1504121644">
                  <w:marLeft w:val="0"/>
                  <w:marRight w:val="0"/>
                  <w:marTop w:val="0"/>
                  <w:marBottom w:val="100"/>
                  <w:divBdr>
                    <w:top w:val="none" w:sz="0" w:space="0" w:color="auto"/>
                    <w:left w:val="none" w:sz="0" w:space="0" w:color="auto"/>
                    <w:bottom w:val="none" w:sz="0" w:space="0" w:color="auto"/>
                    <w:right w:val="none" w:sz="0" w:space="0" w:color="auto"/>
                  </w:divBdr>
                </w:div>
                <w:div w:id="376467486">
                  <w:marLeft w:val="0"/>
                  <w:marRight w:val="0"/>
                  <w:marTop w:val="0"/>
                  <w:marBottom w:val="100"/>
                  <w:divBdr>
                    <w:top w:val="none" w:sz="0" w:space="0" w:color="auto"/>
                    <w:left w:val="none" w:sz="0" w:space="0" w:color="auto"/>
                    <w:bottom w:val="none" w:sz="0" w:space="0" w:color="auto"/>
                    <w:right w:val="none" w:sz="0" w:space="0" w:color="auto"/>
                  </w:divBdr>
                </w:div>
                <w:div w:id="1229457187">
                  <w:marLeft w:val="0"/>
                  <w:marRight w:val="0"/>
                  <w:marTop w:val="101"/>
                  <w:marBottom w:val="100"/>
                  <w:divBdr>
                    <w:top w:val="none" w:sz="0" w:space="0" w:color="auto"/>
                    <w:left w:val="none" w:sz="0" w:space="0" w:color="auto"/>
                    <w:bottom w:val="none" w:sz="0" w:space="0" w:color="auto"/>
                    <w:right w:val="none" w:sz="0" w:space="0" w:color="auto"/>
                  </w:divBdr>
                </w:div>
                <w:div w:id="1421566682">
                  <w:marLeft w:val="0"/>
                  <w:marRight w:val="0"/>
                  <w:marTop w:val="101"/>
                  <w:marBottom w:val="100"/>
                  <w:divBdr>
                    <w:top w:val="none" w:sz="0" w:space="0" w:color="auto"/>
                    <w:left w:val="none" w:sz="0" w:space="0" w:color="auto"/>
                    <w:bottom w:val="none" w:sz="0" w:space="0" w:color="auto"/>
                    <w:right w:val="none" w:sz="0" w:space="0" w:color="auto"/>
                  </w:divBdr>
                </w:div>
                <w:div w:id="2042709273">
                  <w:marLeft w:val="0"/>
                  <w:marRight w:val="0"/>
                  <w:marTop w:val="0"/>
                  <w:marBottom w:val="100"/>
                  <w:divBdr>
                    <w:top w:val="none" w:sz="0" w:space="0" w:color="auto"/>
                    <w:left w:val="none" w:sz="0" w:space="0" w:color="auto"/>
                    <w:bottom w:val="none" w:sz="0" w:space="0" w:color="auto"/>
                    <w:right w:val="none" w:sz="0" w:space="0" w:color="auto"/>
                  </w:divBdr>
                </w:div>
                <w:div w:id="1769734246">
                  <w:marLeft w:val="0"/>
                  <w:marRight w:val="0"/>
                  <w:marTop w:val="0"/>
                  <w:marBottom w:val="100"/>
                  <w:divBdr>
                    <w:top w:val="none" w:sz="0" w:space="0" w:color="auto"/>
                    <w:left w:val="none" w:sz="0" w:space="0" w:color="auto"/>
                    <w:bottom w:val="none" w:sz="0" w:space="0" w:color="auto"/>
                    <w:right w:val="none" w:sz="0" w:space="0" w:color="auto"/>
                  </w:divBdr>
                </w:div>
                <w:div w:id="1058286873">
                  <w:marLeft w:val="0"/>
                  <w:marRight w:val="0"/>
                  <w:marTop w:val="0"/>
                  <w:marBottom w:val="100"/>
                  <w:divBdr>
                    <w:top w:val="none" w:sz="0" w:space="0" w:color="auto"/>
                    <w:left w:val="none" w:sz="0" w:space="0" w:color="auto"/>
                    <w:bottom w:val="none" w:sz="0" w:space="0" w:color="auto"/>
                    <w:right w:val="none" w:sz="0" w:space="0" w:color="auto"/>
                  </w:divBdr>
                </w:div>
                <w:div w:id="8081314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1564</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Aribel Jeanett Guzmán García</dc:creator>
  <cp:keywords/>
  <dc:description/>
  <cp:lastModifiedBy>Dra. Aribel Jeanett Guzmán García</cp:lastModifiedBy>
  <cp:revision>1</cp:revision>
  <dcterms:created xsi:type="dcterms:W3CDTF">2023-06-27T15:14:00Z</dcterms:created>
  <dcterms:modified xsi:type="dcterms:W3CDTF">2023-06-27T15:16:00Z</dcterms:modified>
</cp:coreProperties>
</file>