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firstLine="0"/>
        <w:jc w:val="left"/>
        <w:rPr>
          <w:rFonts w:ascii="Times New Roman"/>
          <w:sz w:val="19"/>
        </w:rPr>
      </w:pPr>
    </w:p>
    <w:p>
      <w:pPr>
        <w:pStyle w:val="BodyText"/>
        <w:spacing w:before="130"/>
        <w:ind w:left="0" w:right="0" w:firstLine="0"/>
        <w:jc w:val="left"/>
        <w:rPr>
          <w:rFonts w:ascii="Times New Roman"/>
          <w:sz w:val="19"/>
        </w:rPr>
      </w:pPr>
    </w:p>
    <w:p>
      <w:pPr>
        <w:pStyle w:val="Title"/>
      </w:pPr>
      <w:r>
        <w:rPr>
          <w:color w:val="2E2E2E"/>
        </w:rPr>
        <w:t>DOF:</w:t>
      </w:r>
      <w:r>
        <w:rPr>
          <w:color w:val="2E2E2E"/>
          <w:spacing w:val="10"/>
        </w:rPr>
        <w:t> </w:t>
      </w:r>
      <w:r>
        <w:rPr>
          <w:color w:val="2E2E2E"/>
          <w:spacing w:val="-2"/>
        </w:rPr>
        <w:t>27/12/2023</w:t>
      </w:r>
    </w:p>
    <w:p>
      <w:pPr>
        <w:pStyle w:val="BodyText"/>
        <w:spacing w:before="184"/>
        <w:ind w:left="0" w:right="0" w:firstLine="0"/>
        <w:jc w:val="left"/>
        <w:rPr>
          <w:rFonts w:ascii="Arial"/>
          <w:b/>
        </w:rPr>
      </w:pPr>
    </w:p>
    <w:p>
      <w:pPr>
        <w:pStyle w:val="Heading2"/>
        <w:spacing w:line="261" w:lineRule="auto" w:before="0" w:after="2"/>
        <w:ind w:left="114"/>
        <w:rPr>
          <w:rFonts w:ascii="Times New Roman" w:hAnsi="Times New Roman"/>
        </w:rPr>
      </w:pPr>
      <w:r>
        <w:rPr>
          <w:rFonts w:ascii="Times New Roman" w:hAnsi="Times New Roman"/>
          <w:color w:val="2E2E2E"/>
        </w:rPr>
        <w:t>ACUERDO</w:t>
      </w:r>
      <w:r>
        <w:rPr>
          <w:rFonts w:ascii="Times New Roman" w:hAnsi="Times New Roman"/>
          <w:color w:val="2E2E2E"/>
          <w:spacing w:val="19"/>
        </w:rPr>
        <w:t> </w:t>
      </w:r>
      <w:r>
        <w:rPr>
          <w:rFonts w:ascii="Times New Roman" w:hAnsi="Times New Roman"/>
          <w:color w:val="2E2E2E"/>
        </w:rPr>
        <w:t>número</w:t>
      </w:r>
      <w:r>
        <w:rPr>
          <w:rFonts w:ascii="Times New Roman" w:hAnsi="Times New Roman"/>
          <w:color w:val="2E2E2E"/>
          <w:spacing w:val="19"/>
        </w:rPr>
        <w:t> </w:t>
      </w:r>
      <w:r>
        <w:rPr>
          <w:rFonts w:ascii="Times New Roman" w:hAnsi="Times New Roman"/>
          <w:color w:val="2E2E2E"/>
        </w:rPr>
        <w:t>19/12/23</w:t>
      </w:r>
      <w:r>
        <w:rPr>
          <w:rFonts w:ascii="Times New Roman" w:hAnsi="Times New Roman"/>
          <w:color w:val="2E2E2E"/>
          <w:spacing w:val="19"/>
        </w:rPr>
        <w:t> </w:t>
      </w:r>
      <w:r>
        <w:rPr>
          <w:rFonts w:ascii="Times New Roman" w:hAnsi="Times New Roman"/>
          <w:color w:val="2E2E2E"/>
        </w:rPr>
        <w:t>por</w:t>
      </w:r>
      <w:r>
        <w:rPr>
          <w:rFonts w:ascii="Times New Roman" w:hAnsi="Times New Roman"/>
          <w:color w:val="2E2E2E"/>
          <w:spacing w:val="16"/>
        </w:rPr>
        <w:t> </w:t>
      </w:r>
      <w:r>
        <w:rPr>
          <w:rFonts w:ascii="Times New Roman" w:hAnsi="Times New Roman"/>
          <w:color w:val="2E2E2E"/>
        </w:rPr>
        <w:t>el</w:t>
      </w:r>
      <w:r>
        <w:rPr>
          <w:rFonts w:ascii="Times New Roman" w:hAnsi="Times New Roman"/>
          <w:color w:val="2E2E2E"/>
          <w:spacing w:val="19"/>
        </w:rPr>
        <w:t> </w:t>
      </w:r>
      <w:r>
        <w:rPr>
          <w:rFonts w:ascii="Times New Roman" w:hAnsi="Times New Roman"/>
          <w:color w:val="2E2E2E"/>
        </w:rPr>
        <w:t>que</w:t>
      </w:r>
      <w:r>
        <w:rPr>
          <w:rFonts w:ascii="Times New Roman" w:hAnsi="Times New Roman"/>
          <w:color w:val="2E2E2E"/>
          <w:spacing w:val="19"/>
        </w:rPr>
        <w:t> </w:t>
      </w:r>
      <w:r>
        <w:rPr>
          <w:rFonts w:ascii="Times New Roman" w:hAnsi="Times New Roman"/>
          <w:color w:val="2E2E2E"/>
        </w:rPr>
        <w:t>se</w:t>
      </w:r>
      <w:r>
        <w:rPr>
          <w:rFonts w:ascii="Times New Roman" w:hAnsi="Times New Roman"/>
          <w:color w:val="2E2E2E"/>
          <w:spacing w:val="19"/>
        </w:rPr>
        <w:t> </w:t>
      </w:r>
      <w:r>
        <w:rPr>
          <w:rFonts w:ascii="Times New Roman" w:hAnsi="Times New Roman"/>
          <w:color w:val="2E2E2E"/>
        </w:rPr>
        <w:t>emiten</w:t>
      </w:r>
      <w:r>
        <w:rPr>
          <w:rFonts w:ascii="Times New Roman" w:hAnsi="Times New Roman"/>
          <w:color w:val="2E2E2E"/>
          <w:spacing w:val="19"/>
        </w:rPr>
        <w:t> </w:t>
      </w:r>
      <w:r>
        <w:rPr>
          <w:rFonts w:ascii="Times New Roman" w:hAnsi="Times New Roman"/>
          <w:color w:val="2E2E2E"/>
        </w:rPr>
        <w:t>las</w:t>
      </w:r>
      <w:r>
        <w:rPr>
          <w:rFonts w:ascii="Times New Roman" w:hAnsi="Times New Roman"/>
          <w:color w:val="2E2E2E"/>
          <w:spacing w:val="19"/>
        </w:rPr>
        <w:t> </w:t>
      </w:r>
      <w:r>
        <w:rPr>
          <w:rFonts w:ascii="Times New Roman" w:hAnsi="Times New Roman"/>
          <w:color w:val="2E2E2E"/>
        </w:rPr>
        <w:t>Reglas</w:t>
      </w:r>
      <w:r>
        <w:rPr>
          <w:rFonts w:ascii="Times New Roman" w:hAnsi="Times New Roman"/>
          <w:color w:val="2E2E2E"/>
          <w:spacing w:val="19"/>
        </w:rPr>
        <w:t> </w:t>
      </w:r>
      <w:r>
        <w:rPr>
          <w:rFonts w:ascii="Times New Roman" w:hAnsi="Times New Roman"/>
          <w:color w:val="2E2E2E"/>
        </w:rPr>
        <w:t>de</w:t>
      </w:r>
      <w:r>
        <w:rPr>
          <w:rFonts w:ascii="Times New Roman" w:hAnsi="Times New Roman"/>
          <w:color w:val="2E2E2E"/>
          <w:spacing w:val="19"/>
        </w:rPr>
        <w:t> </w:t>
      </w:r>
      <w:r>
        <w:rPr>
          <w:rFonts w:ascii="Times New Roman" w:hAnsi="Times New Roman"/>
          <w:color w:val="2E2E2E"/>
        </w:rPr>
        <w:t>Operación</w:t>
      </w:r>
      <w:r>
        <w:rPr>
          <w:rFonts w:ascii="Times New Roman" w:hAnsi="Times New Roman"/>
          <w:color w:val="2E2E2E"/>
          <w:spacing w:val="19"/>
        </w:rPr>
        <w:t> </w:t>
      </w:r>
      <w:r>
        <w:rPr>
          <w:rFonts w:ascii="Times New Roman" w:hAnsi="Times New Roman"/>
          <w:color w:val="2E2E2E"/>
        </w:rPr>
        <w:t>del</w:t>
      </w:r>
      <w:r>
        <w:rPr>
          <w:rFonts w:ascii="Times New Roman" w:hAnsi="Times New Roman"/>
          <w:color w:val="2E2E2E"/>
          <w:spacing w:val="19"/>
        </w:rPr>
        <w:t> </w:t>
      </w:r>
      <w:r>
        <w:rPr>
          <w:rFonts w:ascii="Times New Roman" w:hAnsi="Times New Roman"/>
          <w:color w:val="2E2E2E"/>
        </w:rPr>
        <w:t>Programa</w:t>
      </w:r>
      <w:r>
        <w:rPr>
          <w:rFonts w:ascii="Times New Roman" w:hAnsi="Times New Roman"/>
          <w:color w:val="2E2E2E"/>
          <w:spacing w:val="19"/>
        </w:rPr>
        <w:t> </w:t>
      </w:r>
      <w:r>
        <w:rPr>
          <w:rFonts w:ascii="Times New Roman" w:hAnsi="Times New Roman"/>
          <w:color w:val="2E2E2E"/>
        </w:rPr>
        <w:t>para</w:t>
      </w:r>
      <w:r>
        <w:rPr>
          <w:rFonts w:ascii="Times New Roman" w:hAnsi="Times New Roman"/>
          <w:color w:val="2E2E2E"/>
          <w:spacing w:val="19"/>
        </w:rPr>
        <w:t> </w:t>
      </w:r>
      <w:r>
        <w:rPr>
          <w:rFonts w:ascii="Times New Roman" w:hAnsi="Times New Roman"/>
          <w:color w:val="2E2E2E"/>
        </w:rPr>
        <w:t>la Atención</w:t>
      </w:r>
      <w:r>
        <w:rPr>
          <w:rFonts w:ascii="Times New Roman" w:hAnsi="Times New Roman"/>
          <w:color w:val="2E2E2E"/>
          <w:spacing w:val="19"/>
        </w:rPr>
        <w:t> </w:t>
      </w:r>
      <w:r>
        <w:rPr>
          <w:rFonts w:ascii="Times New Roman" w:hAnsi="Times New Roman"/>
          <w:color w:val="2E2E2E"/>
        </w:rPr>
        <w:t>de</w:t>
      </w:r>
      <w:r>
        <w:rPr>
          <w:rFonts w:ascii="Times New Roman" w:hAnsi="Times New Roman"/>
          <w:color w:val="2E2E2E"/>
          <w:spacing w:val="19"/>
        </w:rPr>
        <w:t> </w:t>
      </w:r>
      <w:r>
        <w:rPr>
          <w:rFonts w:ascii="Times New Roman" w:hAnsi="Times New Roman"/>
          <w:color w:val="2E2E2E"/>
        </w:rPr>
        <w:t>Planteles</w:t>
      </w:r>
      <w:r>
        <w:rPr>
          <w:rFonts w:ascii="Times New Roman" w:hAnsi="Times New Roman"/>
          <w:color w:val="2E2E2E"/>
          <w:spacing w:val="19"/>
        </w:rPr>
        <w:t> </w:t>
      </w:r>
      <w:r>
        <w:rPr>
          <w:rFonts w:ascii="Times New Roman" w:hAnsi="Times New Roman"/>
          <w:color w:val="2E2E2E"/>
        </w:rPr>
        <w:t>Públicos</w:t>
      </w:r>
      <w:r>
        <w:rPr>
          <w:rFonts w:ascii="Times New Roman" w:hAnsi="Times New Roman"/>
          <w:color w:val="2E2E2E"/>
          <w:spacing w:val="19"/>
        </w:rPr>
        <w:t> </w:t>
      </w:r>
      <w:r>
        <w:rPr>
          <w:rFonts w:ascii="Times New Roman" w:hAnsi="Times New Roman"/>
          <w:color w:val="2E2E2E"/>
        </w:rPr>
        <w:t>de Educación Media Superior con Estudiantes con Discapacidad para el ejercicio fiscal 2024.</w:t>
      </w:r>
    </w:p>
    <w:p>
      <w:pPr>
        <w:pStyle w:val="BodyText"/>
        <w:spacing w:line="30" w:lineRule="exact" w:before="0"/>
        <w:ind w:left="115" w:right="0" w:firstLine="0"/>
        <w:jc w:val="left"/>
        <w:rPr>
          <w:rFonts w:ascii="Times New Roman"/>
          <w:sz w:val="2"/>
        </w:rPr>
      </w:pPr>
      <w:r>
        <w:rPr>
          <w:rFonts w:ascii="Times New Roman"/>
          <w:position w:val="0"/>
          <w:sz w:val="2"/>
        </w:rPr>
        <mc:AlternateContent>
          <mc:Choice Requires="wps">
            <w:drawing>
              <wp:inline distT="0" distB="0" distL="0" distR="0">
                <wp:extent cx="6619875" cy="19050"/>
                <wp:effectExtent l="0" t="0" r="0" b="0"/>
                <wp:docPr id="5" name="Group 5"/>
                <wp:cNvGraphicFramePr>
                  <a:graphicFrameLocks/>
                </wp:cNvGraphicFramePr>
                <a:graphic>
                  <a:graphicData uri="http://schemas.microsoft.com/office/word/2010/wordprocessingGroup">
                    <wpg:wgp>
                      <wpg:cNvPr id="5" name="Group 5"/>
                      <wpg:cNvGrpSpPr/>
                      <wpg:grpSpPr>
                        <a:xfrm>
                          <a:off x="0" y="0"/>
                          <a:ext cx="6619875" cy="19050"/>
                          <a:chExt cx="6619875" cy="19050"/>
                        </a:xfrm>
                      </wpg:grpSpPr>
                      <wps:wsp>
                        <wps:cNvPr id="6" name="Graphic 6"/>
                        <wps:cNvSpPr/>
                        <wps:spPr>
                          <a:xfrm>
                            <a:off x="0" y="0"/>
                            <a:ext cx="6619875" cy="19050"/>
                          </a:xfrm>
                          <a:custGeom>
                            <a:avLst/>
                            <a:gdLst/>
                            <a:ahLst/>
                            <a:cxnLst/>
                            <a:rect l="l" t="t" r="r" b="b"/>
                            <a:pathLst>
                              <a:path w="6619875" h="19050">
                                <a:moveTo>
                                  <a:pt x="6619874" y="19049"/>
                                </a:moveTo>
                                <a:lnTo>
                                  <a:pt x="0" y="19049"/>
                                </a:lnTo>
                                <a:lnTo>
                                  <a:pt x="0" y="0"/>
                                </a:lnTo>
                                <a:lnTo>
                                  <a:pt x="6619874" y="0"/>
                                </a:lnTo>
                                <a:lnTo>
                                  <a:pt x="6619874" y="1904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21.25pt;height:1.5pt;mso-position-horizontal-relative:char;mso-position-vertical-relative:line" id="docshapegroup5" coordorigin="0,0" coordsize="10425,30">
                <v:rect style="position:absolute;left:0;top:0;width:10425;height:30" id="docshape6" filled="true" fillcolor="#000000" stroked="false">
                  <v:fill type="solid"/>
                </v:rect>
              </v:group>
            </w:pict>
          </mc:Fallback>
        </mc:AlternateContent>
      </w:r>
      <w:r>
        <w:rPr>
          <w:rFonts w:ascii="Times New Roman"/>
          <w:position w:val="0"/>
          <w:sz w:val="2"/>
        </w:rPr>
      </w:r>
    </w:p>
    <w:p>
      <w:pPr>
        <w:pStyle w:val="BodyText"/>
        <w:spacing w:before="11"/>
        <w:ind w:left="0" w:right="0" w:firstLine="0"/>
        <w:jc w:val="left"/>
        <w:rPr>
          <w:rFonts w:ascii="Times New Roman"/>
          <w:b/>
          <w:sz w:val="10"/>
        </w:rPr>
      </w:pPr>
      <w:r>
        <w:rPr/>
        <mc:AlternateContent>
          <mc:Choice Requires="wps">
            <w:drawing>
              <wp:anchor distT="0" distB="0" distL="0" distR="0" allowOverlap="1" layoutInCell="1" locked="0" behindDoc="1" simplePos="0" relativeHeight="487588352">
                <wp:simplePos x="0" y="0"/>
                <wp:positionH relativeFrom="page">
                  <wp:posOffset>619124</wp:posOffset>
                </wp:positionH>
                <wp:positionV relativeFrom="paragraph">
                  <wp:posOffset>95249</wp:posOffset>
                </wp:positionV>
                <wp:extent cx="661987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619875" cy="9525"/>
                        </a:xfrm>
                        <a:custGeom>
                          <a:avLst/>
                          <a:gdLst/>
                          <a:ahLst/>
                          <a:cxnLst/>
                          <a:rect l="l" t="t" r="r" b="b"/>
                          <a:pathLst>
                            <a:path w="6619875" h="9525">
                              <a:moveTo>
                                <a:pt x="6619874" y="9524"/>
                              </a:moveTo>
                              <a:lnTo>
                                <a:pt x="0" y="9524"/>
                              </a:lnTo>
                              <a:lnTo>
                                <a:pt x="0" y="0"/>
                              </a:lnTo>
                              <a:lnTo>
                                <a:pt x="6619874" y="0"/>
                              </a:lnTo>
                              <a:lnTo>
                                <a:pt x="661987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749996pt;margin-top:7.499999pt;width:521.249959pt;height:.75pt;mso-position-horizontal-relative:page;mso-position-vertical-relative:paragraph;z-index:-15728128;mso-wrap-distance-left:0;mso-wrap-distance-right:0" id="docshape7" filled="true" fillcolor="#000000" stroked="false">
                <v:fill type="solid"/>
                <w10:wrap type="topAndBottom"/>
              </v:rect>
            </w:pict>
          </mc:Fallback>
        </mc:AlternateContent>
      </w:r>
    </w:p>
    <w:p>
      <w:pPr>
        <w:spacing w:before="0"/>
        <w:ind w:left="114" w:right="0" w:firstLine="0"/>
        <w:jc w:val="left"/>
        <w:rPr>
          <w:rFonts w:ascii="Arial" w:hAnsi="Arial"/>
          <w:b/>
          <w:sz w:val="18"/>
        </w:rPr>
      </w:pPr>
      <w:r>
        <w:rPr>
          <w:rFonts w:ascii="Arial" w:hAnsi="Arial"/>
          <w:b/>
          <w:color w:val="2E2E2E"/>
          <w:sz w:val="18"/>
        </w:rPr>
        <w:t>Al margen un sello con el Escudo Nacional, que dice: Estados Unidos Mexicanos.- Secretaría de Educación </w:t>
      </w:r>
      <w:r>
        <w:rPr>
          <w:rFonts w:ascii="Arial" w:hAnsi="Arial"/>
          <w:b/>
          <w:color w:val="2E2E2E"/>
          <w:spacing w:val="-2"/>
          <w:sz w:val="18"/>
        </w:rPr>
        <w:t>Pública.</w:t>
      </w:r>
    </w:p>
    <w:p>
      <w:pPr>
        <w:pStyle w:val="BodyText"/>
        <w:spacing w:line="242" w:lineRule="auto" w:before="104"/>
      </w:pPr>
      <w:r>
        <w:rPr>
          <w:color w:val="2E2E2E"/>
        </w:rPr>
        <w:t>LETICIA</w:t>
      </w:r>
      <w:r>
        <w:rPr>
          <w:color w:val="2E2E2E"/>
          <w:spacing w:val="-2"/>
        </w:rPr>
        <w:t> </w:t>
      </w:r>
      <w:r>
        <w:rPr>
          <w:color w:val="2E2E2E"/>
        </w:rPr>
        <w:t>RAMÍREZ</w:t>
      </w:r>
      <w:r>
        <w:rPr>
          <w:color w:val="2E2E2E"/>
          <w:spacing w:val="-2"/>
        </w:rPr>
        <w:t> </w:t>
      </w:r>
      <w:r>
        <w:rPr>
          <w:color w:val="2E2E2E"/>
        </w:rPr>
        <w:t>AMAYA, Secretaria de Educación Pública, con fundamento en los artículos 3o. de la Constitución Política de los Estados Unidos Mexicanos; 38 de la Ley Orgánica de la Administración Pública Federal; 75 y 77 de la Ley Federal de Presupuesto y Responsabilidad Hacendaria; 1, 3, fracción XXI y penúltimo párrafo, 22, 23, 28, 29, 34, 35, 37 y</w:t>
      </w:r>
      <w:r>
        <w:rPr>
          <w:color w:val="2E2E2E"/>
          <w:spacing w:val="-6"/>
        </w:rPr>
        <w:t> </w:t>
      </w:r>
      <w:r>
        <w:rPr>
          <w:color w:val="2E2E2E"/>
        </w:rPr>
        <w:t>Anexos 14, 17, 18</w:t>
      </w:r>
      <w:r>
        <w:rPr>
          <w:color w:val="2E2E2E"/>
          <w:spacing w:val="40"/>
        </w:rPr>
        <w:t> </w:t>
      </w:r>
      <w:r>
        <w:rPr>
          <w:color w:val="2E2E2E"/>
        </w:rPr>
        <w:t>y 25 del Presupuesto de Egresos de la Federación para el ejercicio fiscal 2024; 176 del Reglamento de la Ley Federal </w:t>
      </w:r>
      <w:r>
        <w:rPr>
          <w:color w:val="2E2E2E"/>
        </w:rPr>
        <w:t>de Presupuesto y Responsabilidad Hacendaria; 1, 4 y 5 del Reglamento Interior de la Secretaría de Educación Pública, y</w:t>
      </w:r>
    </w:p>
    <w:p>
      <w:pPr>
        <w:pStyle w:val="Heading1"/>
        <w:spacing w:before="110"/>
        <w:ind w:right="935"/>
        <w:jc w:val="center"/>
      </w:pPr>
      <w:r>
        <w:rPr>
          <w:color w:val="2E2E2E"/>
          <w:spacing w:val="-2"/>
        </w:rPr>
        <w:t>CONSIDERANDO</w:t>
      </w:r>
    </w:p>
    <w:p>
      <w:pPr>
        <w:pStyle w:val="BodyText"/>
        <w:spacing w:line="242" w:lineRule="auto"/>
        <w:ind w:right="117"/>
      </w:pPr>
      <w:r>
        <w:rPr>
          <w:color w:val="2E2E2E"/>
        </w:rPr>
        <w:t>Qué</w:t>
      </w:r>
      <w:r>
        <w:rPr>
          <w:color w:val="2E2E2E"/>
          <w:spacing w:val="-2"/>
        </w:rPr>
        <w:t> </w:t>
      </w:r>
      <w:r>
        <w:rPr>
          <w:color w:val="2E2E2E"/>
        </w:rPr>
        <w:t>el</w:t>
      </w:r>
      <w:r>
        <w:rPr>
          <w:color w:val="2E2E2E"/>
          <w:spacing w:val="-2"/>
        </w:rPr>
        <w:t> </w:t>
      </w:r>
      <w:r>
        <w:rPr>
          <w:color w:val="2E2E2E"/>
        </w:rPr>
        <w:t>artículo</w:t>
      </w:r>
      <w:r>
        <w:rPr>
          <w:color w:val="2E2E2E"/>
          <w:spacing w:val="-2"/>
        </w:rPr>
        <w:t> </w:t>
      </w:r>
      <w:r>
        <w:rPr>
          <w:color w:val="2E2E2E"/>
        </w:rPr>
        <w:t>77</w:t>
      </w:r>
      <w:r>
        <w:rPr>
          <w:color w:val="2E2E2E"/>
          <w:spacing w:val="-2"/>
        </w:rPr>
        <w:t> </w:t>
      </w:r>
      <w:r>
        <w:rPr>
          <w:color w:val="2E2E2E"/>
        </w:rPr>
        <w:t>de</w:t>
      </w:r>
      <w:r>
        <w:rPr>
          <w:color w:val="2E2E2E"/>
          <w:spacing w:val="-2"/>
        </w:rPr>
        <w:t> </w:t>
      </w:r>
      <w:r>
        <w:rPr>
          <w:color w:val="2E2E2E"/>
        </w:rPr>
        <w:t>la</w:t>
      </w:r>
      <w:r>
        <w:rPr>
          <w:color w:val="2E2E2E"/>
          <w:spacing w:val="-2"/>
        </w:rPr>
        <w:t> </w:t>
      </w:r>
      <w:r>
        <w:rPr>
          <w:color w:val="2E2E2E"/>
        </w:rPr>
        <w:t>Ley</w:t>
      </w:r>
      <w:r>
        <w:rPr>
          <w:color w:val="2E2E2E"/>
          <w:spacing w:val="-2"/>
        </w:rPr>
        <w:t> </w:t>
      </w:r>
      <w:r>
        <w:rPr>
          <w:color w:val="2E2E2E"/>
        </w:rPr>
        <w:t>Federal</w:t>
      </w:r>
      <w:r>
        <w:rPr>
          <w:color w:val="2E2E2E"/>
          <w:spacing w:val="-2"/>
        </w:rPr>
        <w:t> </w:t>
      </w:r>
      <w:r>
        <w:rPr>
          <w:color w:val="2E2E2E"/>
        </w:rPr>
        <w:t>de</w:t>
      </w:r>
      <w:r>
        <w:rPr>
          <w:color w:val="2E2E2E"/>
          <w:spacing w:val="-2"/>
        </w:rPr>
        <w:t> </w:t>
      </w:r>
      <w:r>
        <w:rPr>
          <w:color w:val="2E2E2E"/>
        </w:rPr>
        <w:t>Presupuesto</w:t>
      </w:r>
      <w:r>
        <w:rPr>
          <w:color w:val="2E2E2E"/>
          <w:spacing w:val="-2"/>
        </w:rPr>
        <w:t> </w:t>
      </w:r>
      <w:r>
        <w:rPr>
          <w:color w:val="2E2E2E"/>
        </w:rPr>
        <w:t>y</w:t>
      </w:r>
      <w:r>
        <w:rPr>
          <w:color w:val="2E2E2E"/>
          <w:spacing w:val="-2"/>
        </w:rPr>
        <w:t> </w:t>
      </w:r>
      <w:r>
        <w:rPr>
          <w:color w:val="2E2E2E"/>
        </w:rPr>
        <w:t>Responsabilidad</w:t>
      </w:r>
      <w:r>
        <w:rPr>
          <w:color w:val="2E2E2E"/>
          <w:spacing w:val="-2"/>
        </w:rPr>
        <w:t> </w:t>
      </w:r>
      <w:r>
        <w:rPr>
          <w:color w:val="2E2E2E"/>
        </w:rPr>
        <w:t>Hacendaria</w:t>
      </w:r>
      <w:r>
        <w:rPr>
          <w:color w:val="2E2E2E"/>
          <w:spacing w:val="-2"/>
        </w:rPr>
        <w:t> </w:t>
      </w:r>
      <w:r>
        <w:rPr>
          <w:color w:val="2E2E2E"/>
        </w:rPr>
        <w:t>dispone</w:t>
      </w:r>
      <w:r>
        <w:rPr>
          <w:color w:val="2E2E2E"/>
          <w:spacing w:val="-2"/>
        </w:rPr>
        <w:t> </w:t>
      </w:r>
      <w:r>
        <w:rPr>
          <w:color w:val="2E2E2E"/>
        </w:rPr>
        <w:t>que</w:t>
      </w:r>
      <w:r>
        <w:rPr>
          <w:color w:val="2E2E2E"/>
          <w:spacing w:val="-2"/>
        </w:rPr>
        <w:t> </w:t>
      </w:r>
      <w:r>
        <w:rPr>
          <w:color w:val="2E2E2E"/>
        </w:rPr>
        <w:t>la</w:t>
      </w:r>
      <w:r>
        <w:rPr>
          <w:color w:val="2E2E2E"/>
          <w:spacing w:val="-2"/>
        </w:rPr>
        <w:t> </w:t>
      </w:r>
      <w:r>
        <w:rPr>
          <w:color w:val="2E2E2E"/>
        </w:rPr>
        <w:t>Cámara</w:t>
      </w:r>
      <w:r>
        <w:rPr>
          <w:color w:val="2E2E2E"/>
          <w:spacing w:val="-2"/>
        </w:rPr>
        <w:t> </w:t>
      </w:r>
      <w:r>
        <w:rPr>
          <w:color w:val="2E2E2E"/>
        </w:rPr>
        <w:t>de</w:t>
      </w:r>
      <w:r>
        <w:rPr>
          <w:color w:val="2E2E2E"/>
          <w:spacing w:val="-2"/>
        </w:rPr>
        <w:t> </w:t>
      </w:r>
      <w:r>
        <w:rPr>
          <w:color w:val="2E2E2E"/>
        </w:rPr>
        <w:t>Diputados</w:t>
      </w:r>
      <w:r>
        <w:rPr>
          <w:color w:val="2E2E2E"/>
          <w:spacing w:val="-2"/>
        </w:rPr>
        <w:t> </w:t>
      </w:r>
      <w:r>
        <w:rPr>
          <w:color w:val="2E2E2E"/>
        </w:rPr>
        <w:t>en</w:t>
      </w:r>
      <w:r>
        <w:rPr>
          <w:color w:val="2E2E2E"/>
          <w:spacing w:val="-2"/>
        </w:rPr>
        <w:t> </w:t>
      </w:r>
      <w:r>
        <w:rPr>
          <w:color w:val="2E2E2E"/>
        </w:rPr>
        <w:t>el Presupuesto de Egresos, señalará los programas a través de los cuales se otorguen subsidios, que deberán sujetarse a reglas de operación con el objeto de asegurar que la aplicación de los recursos públicos se realice con eficiencia, eficacia, economía, honradez y transparencia, así como los criterios generales aplicables a las mismas;</w:t>
      </w:r>
    </w:p>
    <w:p>
      <w:pPr>
        <w:pStyle w:val="BodyText"/>
        <w:spacing w:line="242" w:lineRule="auto"/>
      </w:pPr>
      <w:r>
        <w:rPr>
          <w:color w:val="2E2E2E"/>
        </w:rPr>
        <w:t>Qué, asimismo, el referido precepto prevé que las dependencias y las entidades, a través de sus respectivas dependencias coordinadoras de sector, serán responsables de emitir las Reglas de Operación respecto de los programas que inicien su operación en el ejercicio fiscal siguiente, previa autorización presupuestaria de la Secretaría de Hacienda y Crédito </w:t>
      </w:r>
      <w:r>
        <w:rPr>
          <w:color w:val="2E2E2E"/>
        </w:rPr>
        <w:t>Público (SHCP) y dictamen de la Comisión Nacional de Mejora Regulatoria (CONAMER);</w:t>
      </w:r>
    </w:p>
    <w:p>
      <w:pPr>
        <w:pStyle w:val="BodyText"/>
        <w:spacing w:line="242" w:lineRule="auto" w:before="109"/>
      </w:pPr>
      <w:r>
        <w:rPr>
          <w:color w:val="2E2E2E"/>
        </w:rPr>
        <w:t>Qué el Presupuesto de Egresos de la Federación para el ejercicio fiscal 2024, establece en sus artículos 3, fracción XXI y </w:t>
      </w:r>
      <w:r>
        <w:rPr>
          <w:color w:val="2E2E2E"/>
        </w:rPr>
        <w:t>28, primer párrafo que los programas que deberán sujetarse a Reglas de Operación son aquéllos señalados en su</w:t>
      </w:r>
      <w:r>
        <w:rPr>
          <w:color w:val="2E2E2E"/>
          <w:spacing w:val="-3"/>
        </w:rPr>
        <w:t> </w:t>
      </w:r>
      <w:r>
        <w:rPr>
          <w:color w:val="2E2E2E"/>
        </w:rPr>
        <w:t>Anexo 25;</w:t>
      </w:r>
    </w:p>
    <w:p>
      <w:pPr>
        <w:pStyle w:val="BodyText"/>
        <w:spacing w:line="242" w:lineRule="auto" w:before="107"/>
        <w:ind w:right="117"/>
      </w:pPr>
      <w:r>
        <w:rPr>
          <w:color w:val="2E2E2E"/>
        </w:rPr>
        <w:t>Qué las Reglas de Operación a que se refiere el presente</w:t>
      </w:r>
      <w:r>
        <w:rPr>
          <w:color w:val="2E2E2E"/>
          <w:spacing w:val="-4"/>
        </w:rPr>
        <w:t> </w:t>
      </w:r>
      <w:r>
        <w:rPr>
          <w:color w:val="2E2E2E"/>
        </w:rPr>
        <w:t>Acuerdo, cuentan con la autorización presupuestaria de la SHCP y con el dictamen de la CONAMER, y</w:t>
      </w:r>
    </w:p>
    <w:p>
      <w:pPr>
        <w:pStyle w:val="BodyText"/>
        <w:spacing w:before="92"/>
        <w:ind w:left="402" w:right="0" w:firstLine="0"/>
        <w:jc w:val="left"/>
      </w:pPr>
      <w:r>
        <w:rPr>
          <w:color w:val="2E2E2E"/>
        </w:rPr>
        <w:t>Qué</w:t>
      </w:r>
      <w:r>
        <w:rPr>
          <w:color w:val="2E2E2E"/>
          <w:spacing w:val="-1"/>
        </w:rPr>
        <w:t> </w:t>
      </w:r>
      <w:r>
        <w:rPr>
          <w:color w:val="2E2E2E"/>
        </w:rPr>
        <w:t>en</w:t>
      </w:r>
      <w:r>
        <w:rPr>
          <w:color w:val="2E2E2E"/>
          <w:spacing w:val="-1"/>
        </w:rPr>
        <w:t> </w:t>
      </w:r>
      <w:r>
        <w:rPr>
          <w:color w:val="2E2E2E"/>
        </w:rPr>
        <w:t>cumplimiento</w:t>
      </w:r>
      <w:r>
        <w:rPr>
          <w:color w:val="2E2E2E"/>
          <w:spacing w:val="-1"/>
        </w:rPr>
        <w:t> </w:t>
      </w:r>
      <w:r>
        <w:rPr>
          <w:color w:val="2E2E2E"/>
        </w:rPr>
        <w:t>de</w:t>
      </w:r>
      <w:r>
        <w:rPr>
          <w:color w:val="2E2E2E"/>
          <w:spacing w:val="-1"/>
        </w:rPr>
        <w:t> </w:t>
      </w:r>
      <w:r>
        <w:rPr>
          <w:color w:val="2E2E2E"/>
        </w:rPr>
        <w:t>lo</w:t>
      </w:r>
      <w:r>
        <w:rPr>
          <w:color w:val="2E2E2E"/>
          <w:spacing w:val="-1"/>
        </w:rPr>
        <w:t> </w:t>
      </w:r>
      <w:r>
        <w:rPr>
          <w:color w:val="2E2E2E"/>
        </w:rPr>
        <w:t>anterior, he</w:t>
      </w:r>
      <w:r>
        <w:rPr>
          <w:color w:val="2E2E2E"/>
          <w:spacing w:val="-1"/>
        </w:rPr>
        <w:t> </w:t>
      </w:r>
      <w:r>
        <w:rPr>
          <w:color w:val="2E2E2E"/>
        </w:rPr>
        <w:t>tenido</w:t>
      </w:r>
      <w:r>
        <w:rPr>
          <w:color w:val="2E2E2E"/>
          <w:spacing w:val="-1"/>
        </w:rPr>
        <w:t> </w:t>
      </w:r>
      <w:r>
        <w:rPr>
          <w:color w:val="2E2E2E"/>
        </w:rPr>
        <w:t>a</w:t>
      </w:r>
      <w:r>
        <w:rPr>
          <w:color w:val="2E2E2E"/>
          <w:spacing w:val="-1"/>
        </w:rPr>
        <w:t> </w:t>
      </w:r>
      <w:r>
        <w:rPr>
          <w:color w:val="2E2E2E"/>
        </w:rPr>
        <w:t>bien</w:t>
      </w:r>
      <w:r>
        <w:rPr>
          <w:color w:val="2E2E2E"/>
          <w:spacing w:val="-1"/>
        </w:rPr>
        <w:t> </w:t>
      </w:r>
      <w:r>
        <w:rPr>
          <w:color w:val="2E2E2E"/>
        </w:rPr>
        <w:t>expedir</w:t>
      </w:r>
      <w:r>
        <w:rPr>
          <w:color w:val="2E2E2E"/>
          <w:spacing w:val="-1"/>
        </w:rPr>
        <w:t> </w:t>
      </w:r>
      <w:r>
        <w:rPr>
          <w:color w:val="2E2E2E"/>
        </w:rPr>
        <w:t>el </w:t>
      </w:r>
      <w:r>
        <w:rPr>
          <w:color w:val="2E2E2E"/>
          <w:spacing w:val="-2"/>
        </w:rPr>
        <w:t>siguiente:</w:t>
      </w:r>
    </w:p>
    <w:p>
      <w:pPr>
        <w:pStyle w:val="Heading1"/>
        <w:spacing w:line="261" w:lineRule="auto" w:before="109"/>
        <w:ind w:right="935"/>
        <w:jc w:val="center"/>
      </w:pPr>
      <w:r>
        <w:rPr>
          <w:color w:val="2E2E2E"/>
        </w:rPr>
        <w:t>ACUERDO</w:t>
      </w:r>
      <w:r>
        <w:rPr>
          <w:color w:val="2E2E2E"/>
          <w:spacing w:val="-6"/>
        </w:rPr>
        <w:t> </w:t>
      </w:r>
      <w:r>
        <w:rPr>
          <w:color w:val="2E2E2E"/>
        </w:rPr>
        <w:t>NÚMERO</w:t>
      </w:r>
      <w:r>
        <w:rPr>
          <w:color w:val="2E2E2E"/>
          <w:spacing w:val="-3"/>
        </w:rPr>
        <w:t> </w:t>
      </w:r>
      <w:r>
        <w:rPr>
          <w:color w:val="2E2E2E"/>
        </w:rPr>
        <w:t>19/12/23</w:t>
      </w:r>
      <w:r>
        <w:rPr>
          <w:color w:val="2E2E2E"/>
          <w:spacing w:val="-3"/>
        </w:rPr>
        <w:t> </w:t>
      </w:r>
      <w:r>
        <w:rPr>
          <w:color w:val="2E2E2E"/>
        </w:rPr>
        <w:t>POR</w:t>
      </w:r>
      <w:r>
        <w:rPr>
          <w:color w:val="2E2E2E"/>
          <w:spacing w:val="-3"/>
        </w:rPr>
        <w:t> </w:t>
      </w:r>
      <w:r>
        <w:rPr>
          <w:color w:val="2E2E2E"/>
        </w:rPr>
        <w:t>EL</w:t>
      </w:r>
      <w:r>
        <w:rPr>
          <w:color w:val="2E2E2E"/>
          <w:spacing w:val="-12"/>
        </w:rPr>
        <w:t> </w:t>
      </w:r>
      <w:r>
        <w:rPr>
          <w:color w:val="2E2E2E"/>
        </w:rPr>
        <w:t>QUE</w:t>
      </w:r>
      <w:r>
        <w:rPr>
          <w:color w:val="2E2E2E"/>
          <w:spacing w:val="-3"/>
        </w:rPr>
        <w:t> </w:t>
      </w:r>
      <w:r>
        <w:rPr>
          <w:color w:val="2E2E2E"/>
        </w:rPr>
        <w:t>SE</w:t>
      </w:r>
      <w:r>
        <w:rPr>
          <w:color w:val="2E2E2E"/>
          <w:spacing w:val="-3"/>
        </w:rPr>
        <w:t> </w:t>
      </w:r>
      <w:r>
        <w:rPr>
          <w:color w:val="2E2E2E"/>
        </w:rPr>
        <w:t>EMITEN</w:t>
      </w:r>
      <w:r>
        <w:rPr>
          <w:color w:val="2E2E2E"/>
          <w:spacing w:val="-3"/>
        </w:rPr>
        <w:t> </w:t>
      </w:r>
      <w:r>
        <w:rPr>
          <w:color w:val="2E2E2E"/>
        </w:rPr>
        <w:t>LAS</w:t>
      </w:r>
      <w:r>
        <w:rPr>
          <w:color w:val="2E2E2E"/>
          <w:spacing w:val="-3"/>
        </w:rPr>
        <w:t> </w:t>
      </w:r>
      <w:r>
        <w:rPr>
          <w:color w:val="2E2E2E"/>
        </w:rPr>
        <w:t>REGLAS</w:t>
      </w:r>
      <w:r>
        <w:rPr>
          <w:color w:val="2E2E2E"/>
          <w:spacing w:val="-3"/>
        </w:rPr>
        <w:t> </w:t>
      </w:r>
      <w:r>
        <w:rPr>
          <w:color w:val="2E2E2E"/>
        </w:rPr>
        <w:t>DE</w:t>
      </w:r>
      <w:r>
        <w:rPr>
          <w:color w:val="2E2E2E"/>
          <w:spacing w:val="-3"/>
        </w:rPr>
        <w:t> </w:t>
      </w:r>
      <w:r>
        <w:rPr>
          <w:color w:val="2E2E2E"/>
        </w:rPr>
        <w:t>OPERACIÓN</w:t>
      </w:r>
      <w:r>
        <w:rPr>
          <w:color w:val="2E2E2E"/>
          <w:spacing w:val="-3"/>
        </w:rPr>
        <w:t> </w:t>
      </w:r>
      <w:r>
        <w:rPr>
          <w:color w:val="2E2E2E"/>
        </w:rPr>
        <w:t>DEL</w:t>
      </w:r>
      <w:r>
        <w:rPr>
          <w:color w:val="2E2E2E"/>
          <w:spacing w:val="-12"/>
        </w:rPr>
        <w:t> </w:t>
      </w:r>
      <w:r>
        <w:rPr>
          <w:color w:val="2E2E2E"/>
        </w:rPr>
        <w:t>PROGRAMA PARA LA</w:t>
      </w:r>
      <w:r>
        <w:rPr>
          <w:color w:val="2E2E2E"/>
          <w:spacing w:val="-12"/>
        </w:rPr>
        <w:t> </w:t>
      </w:r>
      <w:r>
        <w:rPr>
          <w:color w:val="2E2E2E"/>
        </w:rPr>
        <w:t>ATENCIÓN DE PLANTELES PÚBLICOS DE EDUCACIÓN MEDIA SUPERIOR CON ESTUDIANTES CON DISCAPACIDAD PARA EL EJERCICIO FISCAL 2024</w:t>
      </w:r>
    </w:p>
    <w:p>
      <w:pPr>
        <w:pStyle w:val="BodyText"/>
        <w:spacing w:line="242" w:lineRule="auto" w:before="102"/>
      </w:pPr>
      <w:r>
        <w:rPr>
          <w:rFonts w:ascii="Arial" w:hAnsi="Arial"/>
          <w:b/>
          <w:color w:val="2E2E2E"/>
        </w:rPr>
        <w:t>ÚNICO. </w:t>
      </w:r>
      <w:r>
        <w:rPr>
          <w:color w:val="2E2E2E"/>
        </w:rPr>
        <w:t>Se emiten las Reglas de Operación del Programa Para la Atención de Planteles Públicos de Educación </w:t>
      </w:r>
      <w:r>
        <w:rPr>
          <w:color w:val="2E2E2E"/>
        </w:rPr>
        <w:t>Media Superior con Estudiantes con Discapacidad para el ejercicio fiscal 2024, las cuales se detallan en el</w:t>
      </w:r>
      <w:r>
        <w:rPr>
          <w:color w:val="2E2E2E"/>
          <w:spacing w:val="-7"/>
        </w:rPr>
        <w:t> </w:t>
      </w:r>
      <w:r>
        <w:rPr>
          <w:color w:val="2E2E2E"/>
        </w:rPr>
        <w:t>Anexo del presente</w:t>
      </w:r>
      <w:r>
        <w:rPr>
          <w:color w:val="2E2E2E"/>
          <w:spacing w:val="-7"/>
        </w:rPr>
        <w:t> </w:t>
      </w:r>
      <w:r>
        <w:rPr>
          <w:color w:val="2E2E2E"/>
        </w:rPr>
        <w:t>Acuerdo.</w:t>
      </w:r>
    </w:p>
    <w:p>
      <w:pPr>
        <w:pStyle w:val="Heading1"/>
        <w:ind w:right="935"/>
        <w:jc w:val="center"/>
      </w:pPr>
      <w:r>
        <w:rPr>
          <w:color w:val="2E2E2E"/>
          <w:spacing w:val="-2"/>
        </w:rPr>
        <w:t>TRANSITORIO</w:t>
      </w:r>
    </w:p>
    <w:p>
      <w:pPr>
        <w:pStyle w:val="BodyText"/>
        <w:spacing w:before="122"/>
        <w:ind w:left="402" w:right="0" w:firstLine="0"/>
        <w:jc w:val="left"/>
      </w:pPr>
      <w:r>
        <w:rPr>
          <w:rFonts w:ascii="Arial" w:hAnsi="Arial"/>
          <w:b/>
          <w:color w:val="2E2E2E"/>
        </w:rPr>
        <w:t>ÚNICO.- </w:t>
      </w:r>
      <w:r>
        <w:rPr>
          <w:color w:val="2E2E2E"/>
        </w:rPr>
        <w:t>El presente</w:t>
      </w:r>
      <w:r>
        <w:rPr>
          <w:color w:val="2E2E2E"/>
          <w:spacing w:val="-10"/>
        </w:rPr>
        <w:t> </w:t>
      </w:r>
      <w:r>
        <w:rPr>
          <w:color w:val="2E2E2E"/>
        </w:rPr>
        <w:t>Acuerdo entrará en vigor el 1 de enero de </w:t>
      </w:r>
      <w:r>
        <w:rPr>
          <w:color w:val="2E2E2E"/>
          <w:spacing w:val="-2"/>
        </w:rPr>
        <w:t>2024.</w:t>
      </w:r>
    </w:p>
    <w:p>
      <w:pPr>
        <w:pStyle w:val="BodyText"/>
        <w:ind w:left="402" w:right="0" w:firstLine="0"/>
        <w:jc w:val="left"/>
      </w:pPr>
      <w:r>
        <w:rPr>
          <w:color w:val="2E2E2E"/>
        </w:rPr>
        <w:t>Ciudad de México, 19 de diciembre de 2023.- Secretaria de Educación Pública, </w:t>
      </w:r>
      <w:r>
        <w:rPr>
          <w:rFonts w:ascii="Arial" w:hAnsi="Arial"/>
          <w:b/>
          <w:color w:val="2E2E2E"/>
        </w:rPr>
        <w:t>Leticia Ramírez</w:t>
      </w:r>
      <w:r>
        <w:rPr>
          <w:rFonts w:ascii="Arial" w:hAnsi="Arial"/>
          <w:b/>
          <w:color w:val="2E2E2E"/>
          <w:spacing w:val="-7"/>
        </w:rPr>
        <w:t> </w:t>
      </w:r>
      <w:r>
        <w:rPr>
          <w:rFonts w:ascii="Arial" w:hAnsi="Arial"/>
          <w:b/>
          <w:color w:val="2E2E2E"/>
        </w:rPr>
        <w:t>Amaya</w:t>
      </w:r>
      <w:r>
        <w:rPr>
          <w:color w:val="2E2E2E"/>
        </w:rPr>
        <w:t>.- </w:t>
      </w:r>
      <w:r>
        <w:rPr>
          <w:color w:val="2E2E2E"/>
          <w:spacing w:val="-2"/>
        </w:rPr>
        <w:t>Rúbrica.</w:t>
      </w:r>
    </w:p>
    <w:p>
      <w:pPr>
        <w:spacing w:line="261" w:lineRule="auto" w:before="109"/>
        <w:ind w:left="932" w:right="935" w:firstLine="0"/>
        <w:jc w:val="center"/>
        <w:rPr>
          <w:rFonts w:ascii="Times New Roman" w:hAnsi="Times New Roman"/>
          <w:b/>
          <w:sz w:val="18"/>
        </w:rPr>
      </w:pPr>
      <w:r>
        <w:rPr>
          <w:rFonts w:ascii="Times New Roman" w:hAnsi="Times New Roman"/>
          <w:b/>
          <w:color w:val="2E2E2E"/>
          <w:sz w:val="18"/>
        </w:rPr>
        <w:t>REGLAS</w:t>
      </w:r>
      <w:r>
        <w:rPr>
          <w:rFonts w:ascii="Times New Roman" w:hAnsi="Times New Roman"/>
          <w:b/>
          <w:color w:val="2E2E2E"/>
          <w:spacing w:val="-6"/>
          <w:sz w:val="18"/>
        </w:rPr>
        <w:t> </w:t>
      </w:r>
      <w:r>
        <w:rPr>
          <w:rFonts w:ascii="Times New Roman" w:hAnsi="Times New Roman"/>
          <w:b/>
          <w:color w:val="2E2E2E"/>
          <w:sz w:val="18"/>
        </w:rPr>
        <w:t>DE</w:t>
      </w:r>
      <w:r>
        <w:rPr>
          <w:rFonts w:ascii="Times New Roman" w:hAnsi="Times New Roman"/>
          <w:b/>
          <w:color w:val="2E2E2E"/>
          <w:spacing w:val="-3"/>
          <w:sz w:val="18"/>
        </w:rPr>
        <w:t> </w:t>
      </w:r>
      <w:r>
        <w:rPr>
          <w:rFonts w:ascii="Times New Roman" w:hAnsi="Times New Roman"/>
          <w:b/>
          <w:color w:val="2E2E2E"/>
          <w:sz w:val="18"/>
        </w:rPr>
        <w:t>OPERACIÓN</w:t>
      </w:r>
      <w:r>
        <w:rPr>
          <w:rFonts w:ascii="Times New Roman" w:hAnsi="Times New Roman"/>
          <w:b/>
          <w:color w:val="2E2E2E"/>
          <w:spacing w:val="-3"/>
          <w:sz w:val="18"/>
        </w:rPr>
        <w:t> </w:t>
      </w:r>
      <w:r>
        <w:rPr>
          <w:rFonts w:ascii="Times New Roman" w:hAnsi="Times New Roman"/>
          <w:b/>
          <w:color w:val="2E2E2E"/>
          <w:sz w:val="18"/>
        </w:rPr>
        <w:t>DEL</w:t>
      </w:r>
      <w:r>
        <w:rPr>
          <w:rFonts w:ascii="Times New Roman" w:hAnsi="Times New Roman"/>
          <w:b/>
          <w:color w:val="2E2E2E"/>
          <w:spacing w:val="-12"/>
          <w:sz w:val="18"/>
        </w:rPr>
        <w:t> </w:t>
      </w:r>
      <w:r>
        <w:rPr>
          <w:rFonts w:ascii="Times New Roman" w:hAnsi="Times New Roman"/>
          <w:b/>
          <w:color w:val="2E2E2E"/>
          <w:sz w:val="18"/>
        </w:rPr>
        <w:t>PROGRAMA</w:t>
      </w:r>
      <w:r>
        <w:rPr>
          <w:rFonts w:ascii="Times New Roman" w:hAnsi="Times New Roman"/>
          <w:b/>
          <w:color w:val="2E2E2E"/>
          <w:spacing w:val="-11"/>
          <w:sz w:val="18"/>
        </w:rPr>
        <w:t> </w:t>
      </w:r>
      <w:r>
        <w:rPr>
          <w:rFonts w:ascii="Times New Roman" w:hAnsi="Times New Roman"/>
          <w:b/>
          <w:color w:val="2E2E2E"/>
          <w:sz w:val="18"/>
        </w:rPr>
        <w:t>PARA</w:t>
      </w:r>
      <w:r>
        <w:rPr>
          <w:rFonts w:ascii="Times New Roman" w:hAnsi="Times New Roman"/>
          <w:b/>
          <w:color w:val="2E2E2E"/>
          <w:spacing w:val="-11"/>
          <w:sz w:val="18"/>
        </w:rPr>
        <w:t> </w:t>
      </w:r>
      <w:r>
        <w:rPr>
          <w:rFonts w:ascii="Times New Roman" w:hAnsi="Times New Roman"/>
          <w:b/>
          <w:color w:val="2E2E2E"/>
          <w:sz w:val="18"/>
        </w:rPr>
        <w:t>LA</w:t>
      </w:r>
      <w:r>
        <w:rPr>
          <w:rFonts w:ascii="Times New Roman" w:hAnsi="Times New Roman"/>
          <w:b/>
          <w:color w:val="2E2E2E"/>
          <w:spacing w:val="-20"/>
          <w:sz w:val="18"/>
        </w:rPr>
        <w:t> </w:t>
      </w:r>
      <w:r>
        <w:rPr>
          <w:rFonts w:ascii="Times New Roman" w:hAnsi="Times New Roman"/>
          <w:b/>
          <w:color w:val="2E2E2E"/>
          <w:sz w:val="18"/>
        </w:rPr>
        <w:t>ATENCIÓN</w:t>
      </w:r>
      <w:r>
        <w:rPr>
          <w:rFonts w:ascii="Times New Roman" w:hAnsi="Times New Roman"/>
          <w:b/>
          <w:color w:val="2E2E2E"/>
          <w:spacing w:val="-3"/>
          <w:sz w:val="18"/>
        </w:rPr>
        <w:t> </w:t>
      </w:r>
      <w:r>
        <w:rPr>
          <w:rFonts w:ascii="Times New Roman" w:hAnsi="Times New Roman"/>
          <w:b/>
          <w:color w:val="2E2E2E"/>
          <w:sz w:val="18"/>
        </w:rPr>
        <w:t>DE</w:t>
      </w:r>
      <w:r>
        <w:rPr>
          <w:rFonts w:ascii="Times New Roman" w:hAnsi="Times New Roman"/>
          <w:b/>
          <w:color w:val="2E2E2E"/>
          <w:spacing w:val="-3"/>
          <w:sz w:val="18"/>
        </w:rPr>
        <w:t> </w:t>
      </w:r>
      <w:r>
        <w:rPr>
          <w:rFonts w:ascii="Times New Roman" w:hAnsi="Times New Roman"/>
          <w:b/>
          <w:color w:val="2E2E2E"/>
          <w:sz w:val="18"/>
        </w:rPr>
        <w:t>PLANTELES</w:t>
      </w:r>
      <w:r>
        <w:rPr>
          <w:rFonts w:ascii="Times New Roman" w:hAnsi="Times New Roman"/>
          <w:b/>
          <w:color w:val="2E2E2E"/>
          <w:spacing w:val="-3"/>
          <w:sz w:val="18"/>
        </w:rPr>
        <w:t> </w:t>
      </w:r>
      <w:r>
        <w:rPr>
          <w:rFonts w:ascii="Times New Roman" w:hAnsi="Times New Roman"/>
          <w:b/>
          <w:color w:val="2E2E2E"/>
          <w:sz w:val="18"/>
        </w:rPr>
        <w:t>PÚBLICOS</w:t>
      </w:r>
      <w:r>
        <w:rPr>
          <w:rFonts w:ascii="Times New Roman" w:hAnsi="Times New Roman"/>
          <w:b/>
          <w:color w:val="2E2E2E"/>
          <w:spacing w:val="-3"/>
          <w:sz w:val="18"/>
        </w:rPr>
        <w:t> </w:t>
      </w:r>
      <w:r>
        <w:rPr>
          <w:rFonts w:ascii="Times New Roman" w:hAnsi="Times New Roman"/>
          <w:b/>
          <w:color w:val="2E2E2E"/>
          <w:sz w:val="18"/>
        </w:rPr>
        <w:t>DE EDUCACIÓN</w:t>
      </w:r>
      <w:r>
        <w:rPr>
          <w:rFonts w:ascii="Times New Roman" w:hAnsi="Times New Roman"/>
          <w:b/>
          <w:color w:val="2E2E2E"/>
          <w:spacing w:val="-12"/>
          <w:sz w:val="18"/>
        </w:rPr>
        <w:t> </w:t>
      </w:r>
      <w:r>
        <w:rPr>
          <w:rFonts w:ascii="Times New Roman" w:hAnsi="Times New Roman"/>
          <w:b/>
          <w:color w:val="2E2E2E"/>
          <w:sz w:val="18"/>
        </w:rPr>
        <w:t>MEDIA</w:t>
      </w:r>
      <w:r>
        <w:rPr>
          <w:rFonts w:ascii="Times New Roman" w:hAnsi="Times New Roman"/>
          <w:b/>
          <w:color w:val="2E2E2E"/>
          <w:spacing w:val="-11"/>
          <w:sz w:val="18"/>
        </w:rPr>
        <w:t> </w:t>
      </w:r>
      <w:r>
        <w:rPr>
          <w:rFonts w:ascii="Times New Roman" w:hAnsi="Times New Roman"/>
          <w:b/>
          <w:color w:val="2E2E2E"/>
          <w:sz w:val="18"/>
        </w:rPr>
        <w:t>SUPERIOR</w:t>
      </w:r>
      <w:r>
        <w:rPr>
          <w:rFonts w:ascii="Times New Roman" w:hAnsi="Times New Roman"/>
          <w:b/>
          <w:color w:val="2E2E2E"/>
          <w:spacing w:val="-11"/>
          <w:sz w:val="18"/>
        </w:rPr>
        <w:t> </w:t>
      </w:r>
      <w:r>
        <w:rPr>
          <w:rFonts w:ascii="Times New Roman" w:hAnsi="Times New Roman"/>
          <w:b/>
          <w:color w:val="2E2E2E"/>
          <w:sz w:val="18"/>
        </w:rPr>
        <w:t>CON</w:t>
      </w:r>
      <w:r>
        <w:rPr>
          <w:rFonts w:ascii="Times New Roman" w:hAnsi="Times New Roman"/>
          <w:b/>
          <w:color w:val="2E2E2E"/>
          <w:spacing w:val="-11"/>
          <w:sz w:val="18"/>
        </w:rPr>
        <w:t> </w:t>
      </w:r>
      <w:r>
        <w:rPr>
          <w:rFonts w:ascii="Times New Roman" w:hAnsi="Times New Roman"/>
          <w:b/>
          <w:color w:val="2E2E2E"/>
          <w:sz w:val="18"/>
        </w:rPr>
        <w:t>ESTUDIANTES</w:t>
      </w:r>
      <w:r>
        <w:rPr>
          <w:rFonts w:ascii="Times New Roman" w:hAnsi="Times New Roman"/>
          <w:b/>
          <w:color w:val="2E2E2E"/>
          <w:spacing w:val="-11"/>
          <w:sz w:val="18"/>
        </w:rPr>
        <w:t> </w:t>
      </w:r>
      <w:r>
        <w:rPr>
          <w:rFonts w:ascii="Times New Roman" w:hAnsi="Times New Roman"/>
          <w:b/>
          <w:color w:val="2E2E2E"/>
          <w:sz w:val="18"/>
        </w:rPr>
        <w:t>CON</w:t>
      </w:r>
      <w:r>
        <w:rPr>
          <w:rFonts w:ascii="Times New Roman" w:hAnsi="Times New Roman"/>
          <w:b/>
          <w:color w:val="2E2E2E"/>
          <w:spacing w:val="-8"/>
          <w:sz w:val="18"/>
        </w:rPr>
        <w:t> </w:t>
      </w:r>
      <w:r>
        <w:rPr>
          <w:rFonts w:ascii="Times New Roman" w:hAnsi="Times New Roman"/>
          <w:b/>
          <w:color w:val="2E2E2E"/>
          <w:sz w:val="18"/>
        </w:rPr>
        <w:t>DISCAPACIDAD</w:t>
      </w:r>
      <w:r>
        <w:rPr>
          <w:rFonts w:ascii="Times New Roman" w:hAnsi="Times New Roman"/>
          <w:b/>
          <w:color w:val="2E2E2E"/>
          <w:spacing w:val="-8"/>
          <w:sz w:val="18"/>
        </w:rPr>
        <w:t> </w:t>
      </w:r>
      <w:r>
        <w:rPr>
          <w:rFonts w:ascii="Times New Roman" w:hAnsi="Times New Roman"/>
          <w:b/>
          <w:color w:val="2E2E2E"/>
          <w:sz w:val="18"/>
        </w:rPr>
        <w:t>PARA</w:t>
      </w:r>
      <w:r>
        <w:rPr>
          <w:rFonts w:ascii="Times New Roman" w:hAnsi="Times New Roman"/>
          <w:b/>
          <w:color w:val="2E2E2E"/>
          <w:spacing w:val="-12"/>
          <w:sz w:val="18"/>
        </w:rPr>
        <w:t> </w:t>
      </w:r>
      <w:r>
        <w:rPr>
          <w:rFonts w:ascii="Times New Roman" w:hAnsi="Times New Roman"/>
          <w:b/>
          <w:color w:val="2E2E2E"/>
          <w:sz w:val="18"/>
        </w:rPr>
        <w:t>EL</w:t>
      </w:r>
      <w:r>
        <w:rPr>
          <w:rFonts w:ascii="Times New Roman" w:hAnsi="Times New Roman"/>
          <w:b/>
          <w:color w:val="2E2E2E"/>
          <w:spacing w:val="-11"/>
          <w:sz w:val="18"/>
        </w:rPr>
        <w:t> </w:t>
      </w:r>
      <w:r>
        <w:rPr>
          <w:rFonts w:ascii="Times New Roman" w:hAnsi="Times New Roman"/>
          <w:b/>
          <w:color w:val="2E2E2E"/>
          <w:sz w:val="18"/>
        </w:rPr>
        <w:t>EJERCICIO FISCAL</w:t>
      </w:r>
      <w:r>
        <w:rPr>
          <w:rFonts w:ascii="Times New Roman" w:hAnsi="Times New Roman"/>
          <w:b/>
          <w:color w:val="2E2E2E"/>
          <w:spacing w:val="-12"/>
          <w:sz w:val="18"/>
        </w:rPr>
        <w:t> </w:t>
      </w:r>
      <w:r>
        <w:rPr>
          <w:rFonts w:ascii="Times New Roman" w:hAnsi="Times New Roman"/>
          <w:b/>
          <w:color w:val="2E2E2E"/>
          <w:sz w:val="18"/>
        </w:rPr>
        <w:t>2024</w:t>
      </w:r>
    </w:p>
    <w:p>
      <w:pPr>
        <w:spacing w:line="331" w:lineRule="auto" w:before="87"/>
        <w:ind w:left="402" w:right="9293" w:firstLine="0"/>
        <w:jc w:val="left"/>
        <w:rPr>
          <w:rFonts w:ascii="Arial"/>
          <w:b/>
          <w:sz w:val="18"/>
        </w:rPr>
      </w:pPr>
      <w:r>
        <w:rPr>
          <w:rFonts w:ascii="Arial"/>
          <w:b/>
          <w:color w:val="2E2E2E"/>
          <w:spacing w:val="-2"/>
          <w:sz w:val="18"/>
        </w:rPr>
        <w:t>INDICE GLOSARIO</w:t>
      </w:r>
    </w:p>
    <w:p>
      <w:pPr>
        <w:pStyle w:val="ListParagraph"/>
        <w:numPr>
          <w:ilvl w:val="0"/>
          <w:numId w:val="1"/>
        </w:numPr>
        <w:tabs>
          <w:tab w:pos="831" w:val="left" w:leader="none"/>
        </w:tabs>
        <w:spacing w:line="240" w:lineRule="auto" w:before="14" w:after="0"/>
        <w:ind w:left="831" w:right="0" w:hanging="428"/>
        <w:jc w:val="left"/>
        <w:rPr>
          <w:rFonts w:ascii="Arial" w:hAnsi="Arial"/>
          <w:b/>
          <w:color w:val="2E2E2E"/>
          <w:sz w:val="18"/>
        </w:rPr>
      </w:pPr>
      <w:r>
        <w:rPr>
          <w:rFonts w:ascii="Arial" w:hAnsi="Arial"/>
          <w:b/>
          <w:color w:val="2E2E2E"/>
          <w:spacing w:val="-2"/>
          <w:sz w:val="18"/>
        </w:rPr>
        <w:t>INTRODUCCIÓN</w:t>
      </w:r>
    </w:p>
    <w:p>
      <w:pPr>
        <w:pStyle w:val="ListParagraph"/>
        <w:numPr>
          <w:ilvl w:val="0"/>
          <w:numId w:val="1"/>
        </w:numPr>
        <w:tabs>
          <w:tab w:pos="831" w:val="left" w:leader="none"/>
        </w:tabs>
        <w:spacing w:line="240" w:lineRule="auto" w:before="93" w:after="0"/>
        <w:ind w:left="831" w:right="0" w:hanging="428"/>
        <w:jc w:val="left"/>
        <w:rPr>
          <w:rFonts w:ascii="Arial"/>
          <w:b/>
          <w:color w:val="2E2E2E"/>
          <w:sz w:val="18"/>
        </w:rPr>
      </w:pPr>
      <w:r>
        <w:rPr>
          <w:rFonts w:ascii="Arial"/>
          <w:b/>
          <w:color w:val="2E2E2E"/>
          <w:spacing w:val="-2"/>
          <w:sz w:val="18"/>
        </w:rPr>
        <w:t>OBJETIVOS</w:t>
      </w:r>
    </w:p>
    <w:p>
      <w:pPr>
        <w:pStyle w:val="ListParagraph"/>
        <w:numPr>
          <w:ilvl w:val="1"/>
          <w:numId w:val="1"/>
        </w:numPr>
        <w:tabs>
          <w:tab w:pos="1300" w:val="left" w:leader="none"/>
        </w:tabs>
        <w:spacing w:line="240" w:lineRule="auto" w:before="93" w:after="0"/>
        <w:ind w:left="1300" w:right="0" w:hanging="466"/>
        <w:jc w:val="left"/>
        <w:rPr>
          <w:sz w:val="18"/>
        </w:rPr>
      </w:pPr>
      <w:r>
        <w:rPr>
          <w:spacing w:val="-2"/>
          <w:sz w:val="18"/>
        </w:rPr>
        <w:t>General</w:t>
      </w:r>
    </w:p>
    <w:p>
      <w:pPr>
        <w:pStyle w:val="ListParagraph"/>
        <w:numPr>
          <w:ilvl w:val="1"/>
          <w:numId w:val="1"/>
        </w:numPr>
        <w:tabs>
          <w:tab w:pos="1300" w:val="left" w:leader="none"/>
        </w:tabs>
        <w:spacing w:line="240" w:lineRule="auto" w:before="93" w:after="0"/>
        <w:ind w:left="1300" w:right="0" w:hanging="466"/>
        <w:jc w:val="left"/>
        <w:rPr>
          <w:sz w:val="18"/>
        </w:rPr>
      </w:pPr>
      <w:r>
        <w:rPr>
          <w:spacing w:val="-2"/>
          <w:sz w:val="18"/>
        </w:rPr>
        <w:t>Específicos</w:t>
      </w:r>
    </w:p>
    <w:p>
      <w:pPr>
        <w:pStyle w:val="Heading1"/>
        <w:numPr>
          <w:ilvl w:val="0"/>
          <w:numId w:val="1"/>
        </w:numPr>
        <w:tabs>
          <w:tab w:pos="831" w:val="left" w:leader="none"/>
        </w:tabs>
        <w:spacing w:line="240" w:lineRule="auto" w:before="93" w:after="0"/>
        <w:ind w:left="831" w:right="0" w:hanging="428"/>
        <w:jc w:val="left"/>
        <w:rPr>
          <w:rFonts w:ascii="Arial"/>
          <w:color w:val="2E2E2E"/>
        </w:rPr>
      </w:pPr>
      <w:r>
        <w:rPr>
          <w:rFonts w:ascii="Arial"/>
          <w:color w:val="2E2E2E"/>
          <w:spacing w:val="-2"/>
        </w:rPr>
        <w:t>LINEAMIENTOS</w:t>
      </w:r>
    </w:p>
    <w:p>
      <w:pPr>
        <w:pStyle w:val="ListParagraph"/>
        <w:numPr>
          <w:ilvl w:val="1"/>
          <w:numId w:val="1"/>
        </w:numPr>
        <w:tabs>
          <w:tab w:pos="1300" w:val="left" w:leader="none"/>
        </w:tabs>
        <w:spacing w:line="240" w:lineRule="auto" w:before="93" w:after="0"/>
        <w:ind w:left="1300" w:right="0" w:hanging="466"/>
        <w:jc w:val="left"/>
        <w:rPr>
          <w:sz w:val="18"/>
        </w:rPr>
      </w:pPr>
      <w:r>
        <w:rPr>
          <w:spacing w:val="-2"/>
          <w:sz w:val="18"/>
        </w:rPr>
        <w:t>Cobertura</w:t>
      </w:r>
    </w:p>
    <w:p>
      <w:pPr>
        <w:pStyle w:val="ListParagraph"/>
        <w:numPr>
          <w:ilvl w:val="1"/>
          <w:numId w:val="1"/>
        </w:numPr>
        <w:tabs>
          <w:tab w:pos="1300" w:val="left" w:leader="none"/>
        </w:tabs>
        <w:spacing w:line="240" w:lineRule="auto" w:before="93" w:after="0"/>
        <w:ind w:left="1300" w:right="0" w:hanging="466"/>
        <w:jc w:val="left"/>
        <w:rPr>
          <w:sz w:val="18"/>
        </w:rPr>
      </w:pPr>
      <w:r>
        <w:rPr>
          <w:sz w:val="18"/>
        </w:rPr>
        <w:t>Población </w:t>
      </w:r>
      <w:r>
        <w:rPr>
          <w:spacing w:val="-2"/>
          <w:sz w:val="18"/>
        </w:rPr>
        <w:t>objetivo</w:t>
      </w:r>
    </w:p>
    <w:p>
      <w:pPr>
        <w:pStyle w:val="ListParagraph"/>
        <w:numPr>
          <w:ilvl w:val="1"/>
          <w:numId w:val="1"/>
        </w:numPr>
        <w:tabs>
          <w:tab w:pos="1300" w:val="left" w:leader="none"/>
        </w:tabs>
        <w:spacing w:line="240" w:lineRule="auto" w:before="93" w:after="0"/>
        <w:ind w:left="1300" w:right="0" w:hanging="466"/>
        <w:jc w:val="left"/>
        <w:rPr>
          <w:sz w:val="18"/>
        </w:rPr>
      </w:pPr>
      <w:r>
        <w:rPr>
          <w:spacing w:val="-2"/>
          <w:sz w:val="18"/>
        </w:rPr>
        <w:t>Beneficiarios/as</w:t>
      </w:r>
    </w:p>
    <w:p>
      <w:pPr>
        <w:pStyle w:val="ListParagraph"/>
        <w:numPr>
          <w:ilvl w:val="2"/>
          <w:numId w:val="1"/>
        </w:numPr>
        <w:tabs>
          <w:tab w:pos="2054" w:val="left" w:leader="none"/>
        </w:tabs>
        <w:spacing w:line="240" w:lineRule="auto" w:before="93" w:after="0"/>
        <w:ind w:left="2054" w:right="0" w:hanging="673"/>
        <w:jc w:val="left"/>
        <w:rPr>
          <w:sz w:val="18"/>
        </w:rPr>
      </w:pPr>
      <w:r>
        <w:rPr>
          <w:spacing w:val="-2"/>
          <w:sz w:val="18"/>
        </w:rPr>
        <w:t>Requisitos</w:t>
      </w:r>
    </w:p>
    <w:p>
      <w:pPr>
        <w:pStyle w:val="ListParagraph"/>
        <w:numPr>
          <w:ilvl w:val="2"/>
          <w:numId w:val="1"/>
        </w:numPr>
        <w:tabs>
          <w:tab w:pos="2054" w:val="left" w:leader="none"/>
        </w:tabs>
        <w:spacing w:line="240" w:lineRule="auto" w:before="93" w:after="0"/>
        <w:ind w:left="2054" w:right="0" w:hanging="673"/>
        <w:jc w:val="left"/>
        <w:rPr>
          <w:sz w:val="18"/>
        </w:rPr>
      </w:pPr>
      <w:r>
        <w:rPr>
          <w:sz w:val="18"/>
        </w:rPr>
        <w:t>Procedimiento de </w:t>
      </w:r>
      <w:r>
        <w:rPr>
          <w:spacing w:val="-2"/>
          <w:sz w:val="18"/>
        </w:rPr>
        <w:t>selección</w:t>
      </w:r>
    </w:p>
    <w:p>
      <w:pPr>
        <w:pStyle w:val="ListParagraph"/>
        <w:numPr>
          <w:ilvl w:val="1"/>
          <w:numId w:val="1"/>
        </w:numPr>
        <w:tabs>
          <w:tab w:pos="1300" w:val="left" w:leader="none"/>
        </w:tabs>
        <w:spacing w:line="240" w:lineRule="auto" w:before="93" w:after="0"/>
        <w:ind w:left="1300" w:right="0" w:hanging="466"/>
        <w:jc w:val="left"/>
        <w:rPr>
          <w:sz w:val="18"/>
        </w:rPr>
      </w:pPr>
      <w:r>
        <w:rPr>
          <w:sz w:val="18"/>
        </w:rPr>
        <w:t>Características de los apoyos (tipo y </w:t>
      </w:r>
      <w:r>
        <w:rPr>
          <w:spacing w:val="-2"/>
          <w:sz w:val="18"/>
        </w:rPr>
        <w:t>monto)</w:t>
      </w:r>
    </w:p>
    <w:p>
      <w:pPr>
        <w:pStyle w:val="ListParagraph"/>
        <w:numPr>
          <w:ilvl w:val="2"/>
          <w:numId w:val="1"/>
        </w:numPr>
        <w:tabs>
          <w:tab w:pos="2054" w:val="left" w:leader="none"/>
        </w:tabs>
        <w:spacing w:line="240" w:lineRule="auto" w:before="78" w:after="0"/>
        <w:ind w:left="2054" w:right="0" w:hanging="673"/>
        <w:jc w:val="left"/>
        <w:rPr>
          <w:sz w:val="18"/>
        </w:rPr>
      </w:pPr>
      <w:r>
        <w:rPr>
          <w:sz w:val="18"/>
        </w:rPr>
        <w:t>Devengos, aplicación y reintegro de los </w:t>
      </w:r>
      <w:r>
        <w:rPr>
          <w:spacing w:val="-2"/>
          <w:sz w:val="18"/>
        </w:rPr>
        <w:t>recursos</w:t>
      </w:r>
    </w:p>
    <w:p>
      <w:pPr>
        <w:pStyle w:val="ListParagraph"/>
        <w:numPr>
          <w:ilvl w:val="3"/>
          <w:numId w:val="1"/>
        </w:numPr>
        <w:tabs>
          <w:tab w:pos="2982" w:val="left" w:leader="none"/>
        </w:tabs>
        <w:spacing w:line="240" w:lineRule="auto" w:before="93" w:after="0"/>
        <w:ind w:left="2982" w:right="0" w:hanging="878"/>
        <w:jc w:val="left"/>
        <w:rPr>
          <w:sz w:val="18"/>
        </w:rPr>
      </w:pPr>
      <w:r>
        <w:rPr>
          <w:spacing w:val="-2"/>
          <w:sz w:val="18"/>
        </w:rPr>
        <w:t>Devengos</w:t>
      </w:r>
    </w:p>
    <w:p>
      <w:pPr>
        <w:pStyle w:val="ListParagraph"/>
        <w:numPr>
          <w:ilvl w:val="3"/>
          <w:numId w:val="1"/>
        </w:numPr>
        <w:tabs>
          <w:tab w:pos="2982" w:val="left" w:leader="none"/>
        </w:tabs>
        <w:spacing w:line="240" w:lineRule="auto" w:before="93" w:after="0"/>
        <w:ind w:left="2982" w:right="0" w:hanging="878"/>
        <w:jc w:val="left"/>
        <w:rPr>
          <w:sz w:val="18"/>
        </w:rPr>
      </w:pPr>
      <w:r>
        <w:rPr>
          <w:spacing w:val="-2"/>
          <w:sz w:val="18"/>
        </w:rPr>
        <w:t>Aplicación</w:t>
      </w:r>
    </w:p>
    <w:p>
      <w:pPr>
        <w:spacing w:after="0" w:line="240" w:lineRule="auto"/>
        <w:jc w:val="left"/>
        <w:rPr>
          <w:sz w:val="18"/>
        </w:rPr>
        <w:sectPr>
          <w:headerReference w:type="default" r:id="rId5"/>
          <w:footerReference w:type="default" r:id="rId6"/>
          <w:type w:val="continuous"/>
          <w:pgSz w:w="12240" w:h="15840"/>
          <w:pgMar w:header="269" w:footer="260" w:top="460" w:bottom="440" w:left="860" w:right="720"/>
          <w:pgNumType w:start="1"/>
        </w:sectPr>
      </w:pPr>
    </w:p>
    <w:p>
      <w:pPr>
        <w:pStyle w:val="ListParagraph"/>
        <w:numPr>
          <w:ilvl w:val="3"/>
          <w:numId w:val="1"/>
        </w:numPr>
        <w:tabs>
          <w:tab w:pos="2982" w:val="left" w:leader="none"/>
        </w:tabs>
        <w:spacing w:line="240" w:lineRule="auto" w:before="97" w:after="0"/>
        <w:ind w:left="2982" w:right="0" w:hanging="878"/>
        <w:jc w:val="left"/>
        <w:rPr>
          <w:sz w:val="18"/>
        </w:rPr>
      </w:pPr>
      <w:r>
        <w:rPr>
          <w:spacing w:val="-2"/>
          <w:sz w:val="18"/>
        </w:rPr>
        <w:t>Reintegros</w:t>
      </w:r>
    </w:p>
    <w:p>
      <w:pPr>
        <w:pStyle w:val="ListParagraph"/>
        <w:numPr>
          <w:ilvl w:val="1"/>
          <w:numId w:val="1"/>
        </w:numPr>
        <w:tabs>
          <w:tab w:pos="1300" w:val="left" w:leader="none"/>
        </w:tabs>
        <w:spacing w:line="240" w:lineRule="auto" w:before="93" w:after="0"/>
        <w:ind w:left="1300" w:right="0" w:hanging="466"/>
        <w:jc w:val="left"/>
        <w:rPr>
          <w:sz w:val="18"/>
        </w:rPr>
      </w:pPr>
      <w:r>
        <w:rPr>
          <w:sz w:val="18"/>
        </w:rPr>
        <w:t>Derechos, obligaciones y causas de incumplimiento, suspensión, cancelación o reintegro de los </w:t>
      </w:r>
      <w:r>
        <w:rPr>
          <w:spacing w:val="-2"/>
          <w:sz w:val="18"/>
        </w:rPr>
        <w:t>recursos</w:t>
      </w:r>
    </w:p>
    <w:p>
      <w:pPr>
        <w:pStyle w:val="ListParagraph"/>
        <w:numPr>
          <w:ilvl w:val="1"/>
          <w:numId w:val="1"/>
        </w:numPr>
        <w:tabs>
          <w:tab w:pos="1300" w:val="left" w:leader="none"/>
        </w:tabs>
        <w:spacing w:line="240" w:lineRule="auto" w:before="78" w:after="0"/>
        <w:ind w:left="1300" w:right="0" w:hanging="466"/>
        <w:jc w:val="left"/>
        <w:rPr>
          <w:sz w:val="18"/>
        </w:rPr>
      </w:pPr>
      <w:r>
        <w:rPr>
          <w:spacing w:val="-2"/>
          <w:sz w:val="18"/>
        </w:rPr>
        <w:t>Participantes</w:t>
      </w:r>
    </w:p>
    <w:p>
      <w:pPr>
        <w:pStyle w:val="ListParagraph"/>
        <w:numPr>
          <w:ilvl w:val="2"/>
          <w:numId w:val="1"/>
        </w:numPr>
        <w:tabs>
          <w:tab w:pos="2054" w:val="left" w:leader="none"/>
        </w:tabs>
        <w:spacing w:line="240" w:lineRule="auto" w:before="93" w:after="0"/>
        <w:ind w:left="2054" w:right="0" w:hanging="673"/>
        <w:jc w:val="left"/>
        <w:rPr>
          <w:sz w:val="18"/>
        </w:rPr>
      </w:pPr>
      <w:r>
        <w:rPr>
          <w:sz w:val="18"/>
        </w:rPr>
        <w:t>Instancia(s) </w:t>
      </w:r>
      <w:r>
        <w:rPr>
          <w:spacing w:val="-2"/>
          <w:sz w:val="18"/>
        </w:rPr>
        <w:t>ejecutora(s)</w:t>
      </w:r>
    </w:p>
    <w:p>
      <w:pPr>
        <w:pStyle w:val="ListParagraph"/>
        <w:numPr>
          <w:ilvl w:val="2"/>
          <w:numId w:val="1"/>
        </w:numPr>
        <w:tabs>
          <w:tab w:pos="2054" w:val="left" w:leader="none"/>
        </w:tabs>
        <w:spacing w:line="240" w:lineRule="auto" w:before="93" w:after="0"/>
        <w:ind w:left="2054" w:right="0" w:hanging="673"/>
        <w:jc w:val="left"/>
        <w:rPr>
          <w:sz w:val="18"/>
        </w:rPr>
      </w:pPr>
      <w:r>
        <w:rPr>
          <w:sz w:val="18"/>
        </w:rPr>
        <w:t>Instancia(s) </w:t>
      </w:r>
      <w:r>
        <w:rPr>
          <w:spacing w:val="-2"/>
          <w:sz w:val="18"/>
        </w:rPr>
        <w:t>normativa(s)</w:t>
      </w:r>
    </w:p>
    <w:p>
      <w:pPr>
        <w:pStyle w:val="ListParagraph"/>
        <w:numPr>
          <w:ilvl w:val="1"/>
          <w:numId w:val="1"/>
        </w:numPr>
        <w:tabs>
          <w:tab w:pos="1300" w:val="left" w:leader="none"/>
        </w:tabs>
        <w:spacing w:line="240" w:lineRule="auto" w:before="78" w:after="0"/>
        <w:ind w:left="1300" w:right="0" w:hanging="466"/>
        <w:jc w:val="left"/>
        <w:rPr>
          <w:sz w:val="18"/>
        </w:rPr>
      </w:pPr>
      <w:r>
        <w:rPr>
          <w:sz w:val="18"/>
        </w:rPr>
        <w:t>Coordinación </w:t>
      </w:r>
      <w:r>
        <w:rPr>
          <w:spacing w:val="-2"/>
          <w:sz w:val="18"/>
        </w:rPr>
        <w:t>institucional</w:t>
      </w:r>
    </w:p>
    <w:p>
      <w:pPr>
        <w:pStyle w:val="Heading1"/>
        <w:numPr>
          <w:ilvl w:val="0"/>
          <w:numId w:val="1"/>
        </w:numPr>
        <w:tabs>
          <w:tab w:pos="831" w:val="left" w:leader="none"/>
        </w:tabs>
        <w:spacing w:line="240" w:lineRule="auto" w:before="93" w:after="0"/>
        <w:ind w:left="831" w:right="0" w:hanging="428"/>
        <w:jc w:val="left"/>
        <w:rPr>
          <w:rFonts w:ascii="Arial" w:hAnsi="Arial"/>
          <w:color w:val="2E2E2E"/>
        </w:rPr>
      </w:pPr>
      <w:r>
        <w:rPr>
          <w:rFonts w:ascii="Arial" w:hAnsi="Arial"/>
          <w:color w:val="2E2E2E"/>
          <w:spacing w:val="-2"/>
        </w:rPr>
        <w:t>OPERACIÓN</w:t>
      </w:r>
    </w:p>
    <w:p>
      <w:pPr>
        <w:pStyle w:val="ListParagraph"/>
        <w:numPr>
          <w:ilvl w:val="1"/>
          <w:numId w:val="1"/>
        </w:numPr>
        <w:tabs>
          <w:tab w:pos="1300" w:val="left" w:leader="none"/>
        </w:tabs>
        <w:spacing w:line="240" w:lineRule="auto" w:before="93" w:after="0"/>
        <w:ind w:left="1300" w:right="0" w:hanging="466"/>
        <w:jc w:val="left"/>
        <w:rPr>
          <w:sz w:val="18"/>
        </w:rPr>
      </w:pPr>
      <w:r>
        <w:rPr>
          <w:spacing w:val="-2"/>
          <w:sz w:val="18"/>
        </w:rPr>
        <w:t>Proceso</w:t>
      </w:r>
    </w:p>
    <w:p>
      <w:pPr>
        <w:pStyle w:val="ListParagraph"/>
        <w:numPr>
          <w:ilvl w:val="1"/>
          <w:numId w:val="1"/>
        </w:numPr>
        <w:tabs>
          <w:tab w:pos="1300" w:val="left" w:leader="none"/>
        </w:tabs>
        <w:spacing w:line="240" w:lineRule="auto" w:before="93" w:after="0"/>
        <w:ind w:left="1300" w:right="0" w:hanging="466"/>
        <w:jc w:val="left"/>
        <w:rPr>
          <w:sz w:val="18"/>
        </w:rPr>
      </w:pPr>
      <w:r>
        <w:rPr>
          <w:spacing w:val="-2"/>
          <w:sz w:val="18"/>
        </w:rPr>
        <w:t>Ejecución</w:t>
      </w:r>
    </w:p>
    <w:p>
      <w:pPr>
        <w:pStyle w:val="ListParagraph"/>
        <w:numPr>
          <w:ilvl w:val="2"/>
          <w:numId w:val="1"/>
        </w:numPr>
        <w:tabs>
          <w:tab w:pos="2054" w:val="left" w:leader="none"/>
        </w:tabs>
        <w:spacing w:line="240" w:lineRule="auto" w:before="93" w:after="0"/>
        <w:ind w:left="2054" w:right="0" w:hanging="673"/>
        <w:jc w:val="left"/>
        <w:rPr>
          <w:sz w:val="18"/>
        </w:rPr>
      </w:pPr>
      <w:r>
        <w:rPr>
          <w:sz w:val="18"/>
        </w:rPr>
        <w:t>Avance</w:t>
      </w:r>
      <w:r>
        <w:rPr>
          <w:spacing w:val="-2"/>
          <w:sz w:val="18"/>
        </w:rPr>
        <w:t> </w:t>
      </w:r>
      <w:r>
        <w:rPr>
          <w:sz w:val="18"/>
        </w:rPr>
        <w:t>físico</w:t>
      </w:r>
      <w:r>
        <w:rPr>
          <w:spacing w:val="-1"/>
          <w:sz w:val="18"/>
        </w:rPr>
        <w:t> </w:t>
      </w:r>
      <w:r>
        <w:rPr>
          <w:sz w:val="18"/>
        </w:rPr>
        <w:t>y</w:t>
      </w:r>
      <w:r>
        <w:rPr>
          <w:spacing w:val="-1"/>
          <w:sz w:val="18"/>
        </w:rPr>
        <w:t> </w:t>
      </w:r>
      <w:r>
        <w:rPr>
          <w:spacing w:val="-2"/>
          <w:sz w:val="18"/>
        </w:rPr>
        <w:t>financiero</w:t>
      </w:r>
    </w:p>
    <w:p>
      <w:pPr>
        <w:pStyle w:val="ListParagraph"/>
        <w:numPr>
          <w:ilvl w:val="2"/>
          <w:numId w:val="1"/>
        </w:numPr>
        <w:tabs>
          <w:tab w:pos="2054" w:val="left" w:leader="none"/>
        </w:tabs>
        <w:spacing w:line="240" w:lineRule="auto" w:before="93" w:after="0"/>
        <w:ind w:left="2054" w:right="0" w:hanging="673"/>
        <w:jc w:val="left"/>
        <w:rPr>
          <w:sz w:val="18"/>
        </w:rPr>
      </w:pPr>
      <w:r>
        <w:rPr>
          <w:sz w:val="18"/>
        </w:rPr>
        <w:t>Acta de entrega-</w:t>
      </w:r>
      <w:r>
        <w:rPr>
          <w:spacing w:val="-2"/>
          <w:sz w:val="18"/>
        </w:rPr>
        <w:t>recepción</w:t>
      </w:r>
    </w:p>
    <w:p>
      <w:pPr>
        <w:pStyle w:val="ListParagraph"/>
        <w:numPr>
          <w:ilvl w:val="2"/>
          <w:numId w:val="1"/>
        </w:numPr>
        <w:tabs>
          <w:tab w:pos="2054" w:val="left" w:leader="none"/>
        </w:tabs>
        <w:spacing w:line="240" w:lineRule="auto" w:before="93" w:after="0"/>
        <w:ind w:left="2054" w:right="0" w:hanging="673"/>
        <w:jc w:val="left"/>
        <w:rPr>
          <w:sz w:val="18"/>
        </w:rPr>
      </w:pPr>
      <w:r>
        <w:rPr>
          <w:sz w:val="18"/>
        </w:rPr>
        <w:t>Cierre de </w:t>
      </w:r>
      <w:r>
        <w:rPr>
          <w:spacing w:val="-2"/>
          <w:sz w:val="18"/>
        </w:rPr>
        <w:t>ejercicio</w:t>
      </w:r>
    </w:p>
    <w:p>
      <w:pPr>
        <w:pStyle w:val="Heading1"/>
        <w:numPr>
          <w:ilvl w:val="0"/>
          <w:numId w:val="1"/>
        </w:numPr>
        <w:tabs>
          <w:tab w:pos="831" w:val="left" w:leader="none"/>
        </w:tabs>
        <w:spacing w:line="240" w:lineRule="auto" w:before="93" w:after="0"/>
        <w:ind w:left="831" w:right="0" w:hanging="428"/>
        <w:jc w:val="left"/>
        <w:rPr>
          <w:rFonts w:ascii="Arial" w:hAnsi="Arial"/>
          <w:color w:val="2E2E2E"/>
        </w:rPr>
      </w:pPr>
      <w:r>
        <w:rPr>
          <w:rFonts w:ascii="Arial" w:hAnsi="Arial"/>
          <w:color w:val="2E2E2E"/>
        </w:rPr>
        <w:t>AUDITORÍA,</w:t>
      </w:r>
      <w:r>
        <w:rPr>
          <w:rFonts w:ascii="Arial" w:hAnsi="Arial"/>
          <w:color w:val="2E2E2E"/>
          <w:spacing w:val="-2"/>
        </w:rPr>
        <w:t> </w:t>
      </w:r>
      <w:r>
        <w:rPr>
          <w:rFonts w:ascii="Arial" w:hAnsi="Arial"/>
          <w:color w:val="2E2E2E"/>
        </w:rPr>
        <w:t>CONTROL</w:t>
      </w:r>
      <w:r>
        <w:rPr>
          <w:rFonts w:ascii="Arial" w:hAnsi="Arial"/>
          <w:color w:val="2E2E2E"/>
          <w:spacing w:val="-8"/>
        </w:rPr>
        <w:t> </w:t>
      </w:r>
      <w:r>
        <w:rPr>
          <w:rFonts w:ascii="Arial" w:hAnsi="Arial"/>
          <w:color w:val="2E2E2E"/>
        </w:rPr>
        <w:t>Y</w:t>
      </w:r>
      <w:r>
        <w:rPr>
          <w:rFonts w:ascii="Arial" w:hAnsi="Arial"/>
          <w:color w:val="2E2E2E"/>
          <w:spacing w:val="-5"/>
        </w:rPr>
        <w:t> </w:t>
      </w:r>
      <w:r>
        <w:rPr>
          <w:rFonts w:ascii="Arial" w:hAnsi="Arial"/>
          <w:color w:val="2E2E2E"/>
          <w:spacing w:val="-2"/>
        </w:rPr>
        <w:t>SEGUIMIENTO</w:t>
      </w:r>
    </w:p>
    <w:p>
      <w:pPr>
        <w:pStyle w:val="ListParagraph"/>
        <w:numPr>
          <w:ilvl w:val="0"/>
          <w:numId w:val="1"/>
        </w:numPr>
        <w:tabs>
          <w:tab w:pos="831" w:val="left" w:leader="none"/>
        </w:tabs>
        <w:spacing w:line="240" w:lineRule="auto" w:before="93" w:after="0"/>
        <w:ind w:left="831" w:right="0" w:hanging="428"/>
        <w:jc w:val="left"/>
        <w:rPr>
          <w:rFonts w:ascii="Arial" w:hAnsi="Arial"/>
          <w:b/>
          <w:color w:val="2E2E2E"/>
          <w:sz w:val="18"/>
        </w:rPr>
      </w:pPr>
      <w:r>
        <w:rPr>
          <w:rFonts w:ascii="Arial" w:hAnsi="Arial"/>
          <w:b/>
          <w:color w:val="2E2E2E"/>
          <w:spacing w:val="-2"/>
          <w:sz w:val="18"/>
        </w:rPr>
        <w:t>EVALUACIÓN</w:t>
      </w:r>
    </w:p>
    <w:p>
      <w:pPr>
        <w:pStyle w:val="ListParagraph"/>
        <w:numPr>
          <w:ilvl w:val="1"/>
          <w:numId w:val="1"/>
        </w:numPr>
        <w:tabs>
          <w:tab w:pos="1300" w:val="left" w:leader="none"/>
        </w:tabs>
        <w:spacing w:line="240" w:lineRule="auto" w:before="93" w:after="0"/>
        <w:ind w:left="1300" w:right="0" w:hanging="466"/>
        <w:jc w:val="left"/>
        <w:rPr>
          <w:sz w:val="18"/>
        </w:rPr>
      </w:pPr>
      <w:r>
        <w:rPr>
          <w:spacing w:val="-2"/>
          <w:sz w:val="18"/>
        </w:rPr>
        <w:t>Interna</w:t>
      </w:r>
    </w:p>
    <w:p>
      <w:pPr>
        <w:pStyle w:val="ListParagraph"/>
        <w:numPr>
          <w:ilvl w:val="1"/>
          <w:numId w:val="1"/>
        </w:numPr>
        <w:tabs>
          <w:tab w:pos="1300" w:val="left" w:leader="none"/>
        </w:tabs>
        <w:spacing w:line="240" w:lineRule="auto" w:before="93" w:after="0"/>
        <w:ind w:left="1300" w:right="0" w:hanging="466"/>
        <w:jc w:val="left"/>
        <w:rPr>
          <w:sz w:val="18"/>
        </w:rPr>
      </w:pPr>
      <w:r>
        <w:rPr>
          <w:spacing w:val="-2"/>
          <w:sz w:val="18"/>
        </w:rPr>
        <w:t>Externa</w:t>
      </w:r>
    </w:p>
    <w:p>
      <w:pPr>
        <w:pStyle w:val="ListParagraph"/>
        <w:numPr>
          <w:ilvl w:val="1"/>
          <w:numId w:val="1"/>
        </w:numPr>
        <w:tabs>
          <w:tab w:pos="1300" w:val="left" w:leader="none"/>
        </w:tabs>
        <w:spacing w:line="240" w:lineRule="auto" w:before="93" w:after="0"/>
        <w:ind w:left="1300" w:right="0" w:hanging="466"/>
        <w:jc w:val="left"/>
        <w:rPr>
          <w:sz w:val="18"/>
        </w:rPr>
      </w:pPr>
      <w:r>
        <w:rPr>
          <w:spacing w:val="-2"/>
          <w:sz w:val="18"/>
        </w:rPr>
        <w:t>Indicadores</w:t>
      </w:r>
    </w:p>
    <w:p>
      <w:pPr>
        <w:pStyle w:val="Heading1"/>
        <w:numPr>
          <w:ilvl w:val="0"/>
          <w:numId w:val="1"/>
        </w:numPr>
        <w:tabs>
          <w:tab w:pos="831" w:val="left" w:leader="none"/>
        </w:tabs>
        <w:spacing w:line="240" w:lineRule="auto" w:before="93" w:after="0"/>
        <w:ind w:left="831" w:right="0" w:hanging="428"/>
        <w:jc w:val="left"/>
        <w:rPr>
          <w:rFonts w:ascii="Arial"/>
          <w:color w:val="2E2E2E"/>
        </w:rPr>
      </w:pPr>
      <w:r>
        <w:rPr>
          <w:rFonts w:ascii="Arial"/>
          <w:color w:val="2E2E2E"/>
          <w:spacing w:val="-2"/>
        </w:rPr>
        <w:t>TRANSPARENCIA</w:t>
      </w:r>
    </w:p>
    <w:p>
      <w:pPr>
        <w:pStyle w:val="ListParagraph"/>
        <w:numPr>
          <w:ilvl w:val="1"/>
          <w:numId w:val="1"/>
        </w:numPr>
        <w:tabs>
          <w:tab w:pos="1300" w:val="left" w:leader="none"/>
        </w:tabs>
        <w:spacing w:line="240" w:lineRule="auto" w:before="93" w:after="0"/>
        <w:ind w:left="1300" w:right="0" w:hanging="466"/>
        <w:jc w:val="left"/>
        <w:rPr>
          <w:sz w:val="18"/>
        </w:rPr>
      </w:pPr>
      <w:r>
        <w:rPr>
          <w:spacing w:val="-2"/>
          <w:sz w:val="18"/>
        </w:rPr>
        <w:t>Difusión</w:t>
      </w:r>
    </w:p>
    <w:p>
      <w:pPr>
        <w:pStyle w:val="ListParagraph"/>
        <w:numPr>
          <w:ilvl w:val="1"/>
          <w:numId w:val="1"/>
        </w:numPr>
        <w:tabs>
          <w:tab w:pos="1300" w:val="left" w:leader="none"/>
        </w:tabs>
        <w:spacing w:line="240" w:lineRule="auto" w:before="93" w:after="0"/>
        <w:ind w:left="1300" w:right="0" w:hanging="466"/>
        <w:jc w:val="left"/>
        <w:rPr>
          <w:sz w:val="18"/>
        </w:rPr>
      </w:pPr>
      <w:r>
        <w:rPr>
          <w:sz w:val="18"/>
        </w:rPr>
        <w:t>Contraloría </w:t>
      </w:r>
      <w:r>
        <w:rPr>
          <w:spacing w:val="-2"/>
          <w:sz w:val="18"/>
        </w:rPr>
        <w:t>social</w:t>
      </w:r>
    </w:p>
    <w:p>
      <w:pPr>
        <w:pStyle w:val="Heading1"/>
        <w:numPr>
          <w:ilvl w:val="0"/>
          <w:numId w:val="1"/>
        </w:numPr>
        <w:tabs>
          <w:tab w:pos="831" w:val="left" w:leader="none"/>
        </w:tabs>
        <w:spacing w:line="331" w:lineRule="auto" w:before="93" w:after="0"/>
        <w:ind w:left="402" w:right="7802" w:firstLine="0"/>
        <w:jc w:val="left"/>
        <w:rPr>
          <w:rFonts w:ascii="Arial"/>
        </w:rPr>
      </w:pPr>
      <w:r>
        <w:rPr>
          <w:rFonts w:ascii="Arial"/>
          <w:color w:val="2E2E2E"/>
        </w:rPr>
        <w:t>QUEJAS</w:t>
      </w:r>
      <w:r>
        <w:rPr>
          <w:rFonts w:ascii="Arial"/>
          <w:color w:val="2E2E2E"/>
          <w:spacing w:val="-15"/>
        </w:rPr>
        <w:t> </w:t>
      </w:r>
      <w:r>
        <w:rPr>
          <w:rFonts w:ascii="Arial"/>
          <w:color w:val="2E2E2E"/>
        </w:rPr>
        <w:t>Y</w:t>
      </w:r>
      <w:r>
        <w:rPr>
          <w:rFonts w:ascii="Arial"/>
          <w:color w:val="2E2E2E"/>
          <w:spacing w:val="-12"/>
        </w:rPr>
        <w:t> </w:t>
      </w:r>
      <w:r>
        <w:rPr>
          <w:rFonts w:ascii="Arial"/>
          <w:color w:val="2E2E2E"/>
        </w:rPr>
        <w:t>DENUNCIAS </w:t>
      </w:r>
      <w:r>
        <w:rPr>
          <w:rFonts w:ascii="Arial"/>
          <w:color w:val="2E2E2E"/>
          <w:spacing w:val="-2"/>
        </w:rPr>
        <w:t>ANEXOS</w:t>
      </w:r>
    </w:p>
    <w:p>
      <w:pPr>
        <w:pStyle w:val="BodyText"/>
        <w:tabs>
          <w:tab w:pos="1497" w:val="left" w:leader="none"/>
        </w:tabs>
        <w:spacing w:line="348" w:lineRule="auto" w:before="14"/>
        <w:ind w:left="402" w:right="6759" w:firstLine="0"/>
        <w:jc w:val="left"/>
      </w:pPr>
      <w:r>
        <w:rPr/>
        <w:t>Anexo 1a</w:t>
        <w:tab/>
        <w:t>Modelo de Convocatoria Anexo 1b</w:t>
        <w:tab/>
        <w:t>Modelo</w:t>
      </w:r>
      <w:r>
        <w:rPr>
          <w:spacing w:val="-13"/>
        </w:rPr>
        <w:t> </w:t>
      </w:r>
      <w:r>
        <w:rPr/>
        <w:t>de</w:t>
      </w:r>
      <w:r>
        <w:rPr>
          <w:spacing w:val="-12"/>
        </w:rPr>
        <w:t> </w:t>
      </w:r>
      <w:r>
        <w:rPr/>
        <w:t>Carta</w:t>
      </w:r>
      <w:r>
        <w:rPr>
          <w:spacing w:val="-13"/>
        </w:rPr>
        <w:t> </w:t>
      </w:r>
      <w:r>
        <w:rPr/>
        <w:t>Compromiso</w:t>
      </w:r>
    </w:p>
    <w:p>
      <w:pPr>
        <w:pStyle w:val="BodyText"/>
        <w:tabs>
          <w:tab w:pos="1486" w:val="left" w:leader="none"/>
        </w:tabs>
        <w:spacing w:line="348" w:lineRule="auto" w:before="0"/>
        <w:ind w:left="402" w:right="3520" w:firstLine="0"/>
        <w:jc w:val="left"/>
      </w:pPr>
      <w:r>
        <w:rPr/>
        <w:t>Anexo 1c</w:t>
        <w:tab/>
        <w:t>Modelo</w:t>
      </w:r>
      <w:r>
        <w:rPr>
          <w:spacing w:val="-6"/>
        </w:rPr>
        <w:t> </w:t>
      </w:r>
      <w:r>
        <w:rPr/>
        <w:t>de</w:t>
      </w:r>
      <w:r>
        <w:rPr>
          <w:spacing w:val="-6"/>
        </w:rPr>
        <w:t> </w:t>
      </w:r>
      <w:r>
        <w:rPr/>
        <w:t>Convenio</w:t>
      </w:r>
      <w:r>
        <w:rPr>
          <w:spacing w:val="-6"/>
        </w:rPr>
        <w:t> </w:t>
      </w:r>
      <w:r>
        <w:rPr/>
        <w:t>de</w:t>
      </w:r>
      <w:r>
        <w:rPr>
          <w:spacing w:val="-6"/>
        </w:rPr>
        <w:t> </w:t>
      </w:r>
      <w:r>
        <w:rPr/>
        <w:t>Colaboración</w:t>
      </w:r>
      <w:r>
        <w:rPr>
          <w:spacing w:val="-6"/>
        </w:rPr>
        <w:t> </w:t>
      </w:r>
      <w:r>
        <w:rPr/>
        <w:t>para</w:t>
      </w:r>
      <w:r>
        <w:rPr>
          <w:spacing w:val="-6"/>
        </w:rPr>
        <w:t> </w:t>
      </w:r>
      <w:r>
        <w:rPr/>
        <w:t>la</w:t>
      </w:r>
      <w:r>
        <w:rPr>
          <w:spacing w:val="-6"/>
        </w:rPr>
        <w:t> </w:t>
      </w:r>
      <w:r>
        <w:rPr/>
        <w:t>operación</w:t>
      </w:r>
      <w:r>
        <w:rPr>
          <w:spacing w:val="-6"/>
        </w:rPr>
        <w:t> </w:t>
      </w:r>
      <w:r>
        <w:rPr/>
        <w:t>del</w:t>
      </w:r>
      <w:r>
        <w:rPr>
          <w:spacing w:val="-6"/>
        </w:rPr>
        <w:t> </w:t>
      </w:r>
      <w:r>
        <w:rPr/>
        <w:t>PAPPEMS Anexo 1d</w:t>
        <w:tab/>
      </w:r>
      <w:r>
        <w:rPr>
          <w:spacing w:val="-33"/>
        </w:rPr>
        <w:t> </w:t>
      </w:r>
      <w:r>
        <w:rPr/>
        <w:t>Diagrama de Flujo</w:t>
      </w:r>
    </w:p>
    <w:p>
      <w:pPr>
        <w:pStyle w:val="BodyText"/>
        <w:tabs>
          <w:tab w:pos="1497" w:val="left" w:leader="none"/>
        </w:tabs>
        <w:spacing w:line="207" w:lineRule="exact" w:before="0"/>
        <w:ind w:left="402" w:right="0" w:firstLine="0"/>
        <w:jc w:val="left"/>
      </w:pPr>
      <w:r>
        <w:rPr/>
        <w:t>Anexo </w:t>
      </w:r>
      <w:r>
        <w:rPr>
          <w:spacing w:val="-5"/>
        </w:rPr>
        <w:t>1e</w:t>
      </w:r>
      <w:r>
        <w:rPr/>
        <w:tab/>
        <w:t>Modelo de Informe de avances trimestrales físico-</w:t>
      </w:r>
      <w:r>
        <w:rPr>
          <w:spacing w:val="-2"/>
        </w:rPr>
        <w:t>presupuestarios</w:t>
      </w:r>
    </w:p>
    <w:p>
      <w:pPr>
        <w:pStyle w:val="Heading1"/>
        <w:spacing w:before="78"/>
        <w:ind w:right="935"/>
        <w:jc w:val="center"/>
        <w:rPr>
          <w:rFonts w:ascii="Arial"/>
        </w:rPr>
      </w:pPr>
      <w:r>
        <w:rPr>
          <w:rFonts w:ascii="Arial"/>
          <w:spacing w:val="-2"/>
        </w:rPr>
        <w:t>GLOSARIO</w:t>
      </w:r>
    </w:p>
    <w:p>
      <w:pPr>
        <w:pStyle w:val="BodyText"/>
        <w:ind w:left="402" w:right="0" w:firstLine="0"/>
      </w:pPr>
      <w:r>
        <w:rPr/>
        <w:t>Para efectos de las presentes Reglas de Operación, se entenderá </w:t>
      </w:r>
      <w:r>
        <w:rPr>
          <w:spacing w:val="-4"/>
        </w:rPr>
        <w:t>por:</w:t>
      </w:r>
    </w:p>
    <w:p>
      <w:pPr>
        <w:spacing w:line="242" w:lineRule="auto" w:before="93"/>
        <w:ind w:left="114" w:right="118" w:firstLine="287"/>
        <w:jc w:val="both"/>
        <w:rPr>
          <w:sz w:val="18"/>
        </w:rPr>
      </w:pPr>
      <w:r>
        <w:rPr>
          <w:rFonts w:ascii="Arial" w:hAnsi="Arial"/>
          <w:b/>
          <w:sz w:val="18"/>
        </w:rPr>
        <w:t>Autoridad Educativa Federal de la Ciudad de México (AEFCM).- </w:t>
      </w:r>
      <w:r>
        <w:rPr>
          <w:sz w:val="18"/>
        </w:rPr>
        <w:t>órgano desconcentrado con autonomía técnica y </w:t>
      </w:r>
      <w:r>
        <w:rPr>
          <w:sz w:val="18"/>
        </w:rPr>
        <w:t>de gestión, cuyo objetivo es satisfacer la demanda de educación.</w:t>
      </w:r>
    </w:p>
    <w:p>
      <w:pPr>
        <w:pStyle w:val="BodyText"/>
        <w:spacing w:line="242" w:lineRule="auto" w:before="2"/>
        <w:ind w:right="117"/>
      </w:pPr>
      <w:r>
        <w:rPr>
          <w:rFonts w:ascii="Arial" w:hAnsi="Arial"/>
          <w:b/>
        </w:rPr>
        <w:t>Administración Pública Federal (APF).- </w:t>
      </w:r>
      <w:r>
        <w:rPr/>
        <w:t>La Oficina de la Presidencia de la República, las Secretarías de Estado, la Consejería Jurídica del Ejecutivo Federal y los Órganos Reguladores Coordinados integran la Administración Pública</w:t>
      </w:r>
      <w:r>
        <w:rPr>
          <w:spacing w:val="40"/>
        </w:rPr>
        <w:t> </w:t>
      </w:r>
      <w:r>
        <w:rPr/>
        <w:t>Centralizada. Los organismos descentralizados, las empresas de participación estatal, las instituciones nacionales de crédito, </w:t>
      </w:r>
      <w:r>
        <w:rPr/>
        <w:t>las organizaciones</w:t>
      </w:r>
      <w:r>
        <w:rPr>
          <w:spacing w:val="-2"/>
        </w:rPr>
        <w:t> </w:t>
      </w:r>
      <w:r>
        <w:rPr/>
        <w:t>auxiliares</w:t>
      </w:r>
      <w:r>
        <w:rPr>
          <w:spacing w:val="-2"/>
        </w:rPr>
        <w:t> </w:t>
      </w:r>
      <w:r>
        <w:rPr/>
        <w:t>nacionales</w:t>
      </w:r>
      <w:r>
        <w:rPr>
          <w:spacing w:val="-2"/>
        </w:rPr>
        <w:t> </w:t>
      </w:r>
      <w:r>
        <w:rPr/>
        <w:t>de</w:t>
      </w:r>
      <w:r>
        <w:rPr>
          <w:spacing w:val="-2"/>
        </w:rPr>
        <w:t> </w:t>
      </w:r>
      <w:r>
        <w:rPr/>
        <w:t>crédito,</w:t>
      </w:r>
      <w:r>
        <w:rPr>
          <w:spacing w:val="-2"/>
        </w:rPr>
        <w:t> </w:t>
      </w:r>
      <w:r>
        <w:rPr/>
        <w:t>las</w:t>
      </w:r>
      <w:r>
        <w:rPr>
          <w:spacing w:val="-2"/>
        </w:rPr>
        <w:t> </w:t>
      </w:r>
      <w:r>
        <w:rPr/>
        <w:t>instituciones</w:t>
      </w:r>
      <w:r>
        <w:rPr>
          <w:spacing w:val="-2"/>
        </w:rPr>
        <w:t> </w:t>
      </w:r>
      <w:r>
        <w:rPr/>
        <w:t>nacionales</w:t>
      </w:r>
      <w:r>
        <w:rPr>
          <w:spacing w:val="-2"/>
        </w:rPr>
        <w:t> </w:t>
      </w:r>
      <w:r>
        <w:rPr/>
        <w:t>de</w:t>
      </w:r>
      <w:r>
        <w:rPr>
          <w:spacing w:val="-2"/>
        </w:rPr>
        <w:t> </w:t>
      </w:r>
      <w:r>
        <w:rPr/>
        <w:t>seguros</w:t>
      </w:r>
      <w:r>
        <w:rPr>
          <w:spacing w:val="-2"/>
        </w:rPr>
        <w:t> </w:t>
      </w:r>
      <w:r>
        <w:rPr/>
        <w:t>y</w:t>
      </w:r>
      <w:r>
        <w:rPr>
          <w:spacing w:val="-2"/>
        </w:rPr>
        <w:t> </w:t>
      </w:r>
      <w:r>
        <w:rPr/>
        <w:t>de</w:t>
      </w:r>
      <w:r>
        <w:rPr>
          <w:spacing w:val="-2"/>
        </w:rPr>
        <w:t> </w:t>
      </w:r>
      <w:r>
        <w:rPr/>
        <w:t>fianzas</w:t>
      </w:r>
      <w:r>
        <w:rPr>
          <w:spacing w:val="-2"/>
        </w:rPr>
        <w:t> </w:t>
      </w:r>
      <w:r>
        <w:rPr/>
        <w:t>y</w:t>
      </w:r>
      <w:r>
        <w:rPr>
          <w:spacing w:val="-2"/>
        </w:rPr>
        <w:t> </w:t>
      </w:r>
      <w:r>
        <w:rPr/>
        <w:t>los</w:t>
      </w:r>
      <w:r>
        <w:rPr>
          <w:spacing w:val="-2"/>
        </w:rPr>
        <w:t> </w:t>
      </w:r>
      <w:r>
        <w:rPr/>
        <w:t>fideicomisos,</w:t>
      </w:r>
      <w:r>
        <w:rPr>
          <w:spacing w:val="-2"/>
        </w:rPr>
        <w:t> </w:t>
      </w:r>
      <w:r>
        <w:rPr/>
        <w:t>componen la administración pública paraestatal.</w:t>
      </w:r>
    </w:p>
    <w:p>
      <w:pPr>
        <w:pStyle w:val="BodyText"/>
        <w:spacing w:line="242" w:lineRule="auto" w:before="109"/>
        <w:ind w:right="117"/>
      </w:pPr>
      <w:r>
        <w:rPr>
          <w:rFonts w:ascii="Arial" w:hAnsi="Arial"/>
          <w:b/>
        </w:rPr>
        <w:t>Agenda 2030 para el Desarrollo Sostenible.- </w:t>
      </w:r>
      <w:r>
        <w:rPr/>
        <w:t>Es un plan de acción en favor de las personas, el planeta y la </w:t>
      </w:r>
      <w:r>
        <w:rPr/>
        <w:t>prosperidad. También tiene por objeto fortalecer la paz universal dentro de un concepto más amplio de la libertad. Se reconoce que la erradicación</w:t>
      </w:r>
      <w:r>
        <w:rPr>
          <w:spacing w:val="-2"/>
        </w:rPr>
        <w:t> </w:t>
      </w:r>
      <w:r>
        <w:rPr/>
        <w:t>de</w:t>
      </w:r>
      <w:r>
        <w:rPr>
          <w:spacing w:val="-2"/>
        </w:rPr>
        <w:t> </w:t>
      </w:r>
      <w:r>
        <w:rPr/>
        <w:t>la</w:t>
      </w:r>
      <w:r>
        <w:rPr>
          <w:spacing w:val="-2"/>
        </w:rPr>
        <w:t> </w:t>
      </w:r>
      <w:r>
        <w:rPr/>
        <w:t>pobreza</w:t>
      </w:r>
      <w:r>
        <w:rPr>
          <w:spacing w:val="-2"/>
        </w:rPr>
        <w:t> </w:t>
      </w:r>
      <w:r>
        <w:rPr/>
        <w:t>en</w:t>
      </w:r>
      <w:r>
        <w:rPr>
          <w:spacing w:val="-2"/>
        </w:rPr>
        <w:t> </w:t>
      </w:r>
      <w:r>
        <w:rPr/>
        <w:t>todas</w:t>
      </w:r>
      <w:r>
        <w:rPr>
          <w:spacing w:val="-2"/>
        </w:rPr>
        <w:t> </w:t>
      </w:r>
      <w:r>
        <w:rPr/>
        <w:t>sus</w:t>
      </w:r>
      <w:r>
        <w:rPr>
          <w:spacing w:val="-2"/>
        </w:rPr>
        <w:t> </w:t>
      </w:r>
      <w:r>
        <w:rPr/>
        <w:t>formas</w:t>
      </w:r>
      <w:r>
        <w:rPr>
          <w:spacing w:val="-2"/>
        </w:rPr>
        <w:t> </w:t>
      </w:r>
      <w:r>
        <w:rPr/>
        <w:t>y</w:t>
      </w:r>
      <w:r>
        <w:rPr>
          <w:spacing w:val="-2"/>
        </w:rPr>
        <w:t> </w:t>
      </w:r>
      <w:r>
        <w:rPr/>
        <w:t>dimensiones,</w:t>
      </w:r>
      <w:r>
        <w:rPr>
          <w:spacing w:val="-2"/>
        </w:rPr>
        <w:t> </w:t>
      </w:r>
      <w:r>
        <w:rPr/>
        <w:t>incluida</w:t>
      </w:r>
      <w:r>
        <w:rPr>
          <w:spacing w:val="-2"/>
        </w:rPr>
        <w:t> </w:t>
      </w:r>
      <w:r>
        <w:rPr/>
        <w:t>la</w:t>
      </w:r>
      <w:r>
        <w:rPr>
          <w:spacing w:val="-2"/>
        </w:rPr>
        <w:t> </w:t>
      </w:r>
      <w:r>
        <w:rPr/>
        <w:t>pobreza</w:t>
      </w:r>
      <w:r>
        <w:rPr>
          <w:spacing w:val="-2"/>
        </w:rPr>
        <w:t> </w:t>
      </w:r>
      <w:r>
        <w:rPr/>
        <w:t>extrema,</w:t>
      </w:r>
      <w:r>
        <w:rPr>
          <w:spacing w:val="-2"/>
        </w:rPr>
        <w:t> </w:t>
      </w:r>
      <w:r>
        <w:rPr/>
        <w:t>es</w:t>
      </w:r>
      <w:r>
        <w:rPr>
          <w:spacing w:val="-2"/>
        </w:rPr>
        <w:t> </w:t>
      </w:r>
      <w:r>
        <w:rPr/>
        <w:t>el</w:t>
      </w:r>
      <w:r>
        <w:rPr>
          <w:spacing w:val="-2"/>
        </w:rPr>
        <w:t> </w:t>
      </w:r>
      <w:r>
        <w:rPr/>
        <w:t>mayor</w:t>
      </w:r>
      <w:r>
        <w:rPr>
          <w:spacing w:val="-2"/>
        </w:rPr>
        <w:t> </w:t>
      </w:r>
      <w:r>
        <w:rPr/>
        <w:t>desafío</w:t>
      </w:r>
      <w:r>
        <w:rPr>
          <w:spacing w:val="-2"/>
        </w:rPr>
        <w:t> </w:t>
      </w:r>
      <w:r>
        <w:rPr/>
        <w:t>a</w:t>
      </w:r>
      <w:r>
        <w:rPr>
          <w:spacing w:val="-2"/>
        </w:rPr>
        <w:t> </w:t>
      </w:r>
      <w:r>
        <w:rPr/>
        <w:t>que</w:t>
      </w:r>
      <w:r>
        <w:rPr>
          <w:spacing w:val="-2"/>
        </w:rPr>
        <w:t> </w:t>
      </w:r>
      <w:r>
        <w:rPr/>
        <w:t>se</w:t>
      </w:r>
      <w:r>
        <w:rPr>
          <w:spacing w:val="-2"/>
        </w:rPr>
        <w:t> </w:t>
      </w:r>
      <w:r>
        <w:rPr/>
        <w:t>enfrenta el mundo y constituye un requisito indispensable para el desarrollo sostenible.</w:t>
      </w:r>
    </w:p>
    <w:p>
      <w:pPr>
        <w:pStyle w:val="BodyText"/>
        <w:spacing w:line="242" w:lineRule="auto" w:before="109"/>
      </w:pPr>
      <w:r>
        <w:rPr>
          <w:rFonts w:ascii="Arial" w:hAnsi="Arial"/>
          <w:b/>
        </w:rPr>
        <w:t>Ajustes razonables.- </w:t>
      </w:r>
      <w:r>
        <w:rPr/>
        <w:t>Las modificaciones y adaptaciones necesarias y adecuadas en la infraestructura y los servicios, que al realizarlas no impongan una carga desproporcionada o afecten derechos de terceros, que se aplican cuando se requieran en un caso particular, para garantizar que las personas gocen o ejerzan sus derechos en igualdad de condiciones con las demás.</w:t>
      </w:r>
    </w:p>
    <w:p>
      <w:pPr>
        <w:pStyle w:val="BodyText"/>
        <w:spacing w:line="242" w:lineRule="auto"/>
      </w:pPr>
      <w:r>
        <w:rPr>
          <w:rFonts w:ascii="Arial" w:hAnsi="Arial"/>
          <w:b/>
        </w:rPr>
        <w:t>Apoyo</w:t>
      </w:r>
      <w:r>
        <w:rPr>
          <w:rFonts w:ascii="Arial" w:hAnsi="Arial"/>
          <w:b/>
          <w:spacing w:val="-1"/>
        </w:rPr>
        <w:t> </w:t>
      </w:r>
      <w:r>
        <w:rPr>
          <w:rFonts w:ascii="Arial" w:hAnsi="Arial"/>
          <w:b/>
        </w:rPr>
        <w:t>financiero</w:t>
      </w:r>
      <w:r>
        <w:rPr/>
        <w:t>.-</w:t>
      </w:r>
      <w:r>
        <w:rPr>
          <w:spacing w:val="-11"/>
        </w:rPr>
        <w:t> </w:t>
      </w:r>
      <w:r>
        <w:rPr/>
        <w:t>Apoyo</w:t>
      </w:r>
      <w:r>
        <w:rPr>
          <w:spacing w:val="-1"/>
        </w:rPr>
        <w:t> </w:t>
      </w:r>
      <w:r>
        <w:rPr/>
        <w:t>en</w:t>
      </w:r>
      <w:r>
        <w:rPr>
          <w:spacing w:val="-1"/>
        </w:rPr>
        <w:t> </w:t>
      </w:r>
      <w:r>
        <w:rPr/>
        <w:t>recursos</w:t>
      </w:r>
      <w:r>
        <w:rPr>
          <w:spacing w:val="-1"/>
        </w:rPr>
        <w:t> </w:t>
      </w:r>
      <w:r>
        <w:rPr/>
        <w:t>monetarios</w:t>
      </w:r>
      <w:r>
        <w:rPr>
          <w:spacing w:val="-1"/>
        </w:rPr>
        <w:t> </w:t>
      </w:r>
      <w:r>
        <w:rPr/>
        <w:t>que</w:t>
      </w:r>
      <w:r>
        <w:rPr>
          <w:spacing w:val="-1"/>
        </w:rPr>
        <w:t> </w:t>
      </w:r>
      <w:r>
        <w:rPr/>
        <w:t>se</w:t>
      </w:r>
      <w:r>
        <w:rPr>
          <w:spacing w:val="-1"/>
        </w:rPr>
        <w:t> </w:t>
      </w:r>
      <w:r>
        <w:rPr/>
        <w:t>entrega</w:t>
      </w:r>
      <w:r>
        <w:rPr>
          <w:spacing w:val="-1"/>
        </w:rPr>
        <w:t> </w:t>
      </w:r>
      <w:r>
        <w:rPr/>
        <w:t>a</w:t>
      </w:r>
      <w:r>
        <w:rPr>
          <w:spacing w:val="-1"/>
        </w:rPr>
        <w:t> </w:t>
      </w:r>
      <w:r>
        <w:rPr/>
        <w:t>las</w:t>
      </w:r>
      <w:r>
        <w:rPr>
          <w:spacing w:val="-1"/>
        </w:rPr>
        <w:t> </w:t>
      </w:r>
      <w:r>
        <w:rPr/>
        <w:t>Entidades</w:t>
      </w:r>
      <w:r>
        <w:rPr>
          <w:spacing w:val="-1"/>
        </w:rPr>
        <w:t> </w:t>
      </w:r>
      <w:r>
        <w:rPr/>
        <w:t>Federativas</w:t>
      </w:r>
      <w:r>
        <w:rPr>
          <w:spacing w:val="-1"/>
        </w:rPr>
        <w:t> </w:t>
      </w:r>
      <w:r>
        <w:rPr/>
        <w:t>para</w:t>
      </w:r>
      <w:r>
        <w:rPr>
          <w:spacing w:val="-1"/>
        </w:rPr>
        <w:t> </w:t>
      </w:r>
      <w:r>
        <w:rPr/>
        <w:t>que los</w:t>
      </w:r>
      <w:r>
        <w:rPr>
          <w:spacing w:val="-1"/>
        </w:rPr>
        <w:t> </w:t>
      </w:r>
      <w:r>
        <w:rPr/>
        <w:t>planteles</w:t>
      </w:r>
      <w:r>
        <w:rPr>
          <w:spacing w:val="-1"/>
        </w:rPr>
        <w:t> </w:t>
      </w:r>
      <w:r>
        <w:rPr/>
        <w:t>públicos beneficiarios del Programa que manifestaron su interés en aplicarlo en el desarrollo de un Proyecto para el</w:t>
      </w:r>
      <w:r>
        <w:rPr>
          <w:spacing w:val="-8"/>
        </w:rPr>
        <w:t> </w:t>
      </w:r>
      <w:r>
        <w:rPr/>
        <w:t>Avance en la</w:t>
      </w:r>
      <w:r>
        <w:rPr>
          <w:spacing w:val="-8"/>
        </w:rPr>
        <w:t> </w:t>
      </w:r>
      <w:r>
        <w:rPr/>
        <w:t>Atención de la Educación Media Superior para Estudiantes con Discapacidad.</w:t>
      </w:r>
    </w:p>
    <w:p>
      <w:pPr>
        <w:spacing w:line="242" w:lineRule="auto" w:before="93"/>
        <w:ind w:left="114" w:right="118" w:firstLine="287"/>
        <w:jc w:val="both"/>
        <w:rPr>
          <w:sz w:val="18"/>
        </w:rPr>
      </w:pPr>
      <w:r>
        <w:rPr>
          <w:rFonts w:ascii="Arial" w:hAnsi="Arial"/>
          <w:b/>
          <w:color w:val="2E2E2E"/>
          <w:sz w:val="18"/>
        </w:rPr>
        <w:t>Autoridad Educativa Federal de la Ciudad de México (AEFCM)</w:t>
      </w:r>
      <w:r>
        <w:rPr>
          <w:color w:val="2E2E2E"/>
          <w:sz w:val="18"/>
        </w:rPr>
        <w:t>.- órgano desconcentrado con autonomía técnica y </w:t>
      </w:r>
      <w:r>
        <w:rPr>
          <w:color w:val="2E2E2E"/>
          <w:sz w:val="18"/>
        </w:rPr>
        <w:t>de gestión, cuyo objetivo es satisfacer la demanda de educación.</w:t>
      </w:r>
    </w:p>
    <w:p>
      <w:pPr>
        <w:pStyle w:val="BodyText"/>
        <w:spacing w:line="242" w:lineRule="auto" w:before="107"/>
      </w:pPr>
      <w:r>
        <w:rPr>
          <w:rFonts w:ascii="Arial" w:hAnsi="Arial"/>
          <w:b/>
        </w:rPr>
        <w:t>Autoridad Educativa Local (AEL).- </w:t>
      </w:r>
      <w:r>
        <w:rPr/>
        <w:t>La persona titular de la Secretaría de Educación o dependencia o entidad homóloga en cada uno de los Estados de la Federación, que cuente con atribuciones para el desempeño de la función social educativa.</w:t>
      </w:r>
    </w:p>
    <w:p>
      <w:pPr>
        <w:pStyle w:val="BodyText"/>
        <w:spacing w:line="242" w:lineRule="auto" w:before="107"/>
      </w:pPr>
      <w:r>
        <w:rPr>
          <w:rFonts w:ascii="Arial" w:hAnsi="Arial"/>
          <w:b/>
        </w:rPr>
        <w:t>Auditoría Superior de la Federación (ASF).- </w:t>
      </w:r>
      <w:r>
        <w:rPr/>
        <w:t>La</w:t>
      </w:r>
      <w:r>
        <w:rPr>
          <w:spacing w:val="-5"/>
        </w:rPr>
        <w:t> </w:t>
      </w:r>
      <w:r>
        <w:rPr/>
        <w:t>Auditoría Superior de la Federación es el órgano técnico de fiscalización de la Cámara de Diputados que tiene a su cargo la fiscalización superior, así como las demás funciones que expresamente </w:t>
      </w:r>
      <w:r>
        <w:rPr/>
        <w:t>le encomienden la Constitución Política de los Estados Unidos Mexicanos, la Ley de Fiscalización y Rendición de Cuentas de la Federación y demás ordenamientos legales aplicables.</w:t>
      </w:r>
    </w:p>
    <w:p>
      <w:pPr>
        <w:spacing w:after="0" w:line="242" w:lineRule="auto"/>
        <w:sectPr>
          <w:pgSz w:w="12240" w:h="15840"/>
          <w:pgMar w:header="269" w:footer="260" w:top="460" w:bottom="440" w:left="860" w:right="720"/>
        </w:sectPr>
      </w:pPr>
    </w:p>
    <w:p>
      <w:pPr>
        <w:pStyle w:val="BodyText"/>
        <w:spacing w:line="242" w:lineRule="auto" w:before="82"/>
        <w:ind w:right="117"/>
      </w:pPr>
      <w:r>
        <w:rPr>
          <w:rFonts w:ascii="Arial" w:hAnsi="Arial"/>
          <w:b/>
        </w:rPr>
        <w:t>Avance físico y financiero.- </w:t>
      </w:r>
      <w:r>
        <w:rPr/>
        <w:t>Documento que realiza la AEL, para informar de manera trimestral a la Instancia normativa el avance del ejercicio presupuestario detallando la aplicación del recurso ministrado y ejercido, así como el cumplimiento de </w:t>
      </w:r>
      <w:r>
        <w:rPr/>
        <w:t>las acciones comprometidas.</w:t>
      </w:r>
    </w:p>
    <w:p>
      <w:pPr>
        <w:pStyle w:val="BodyText"/>
        <w:spacing w:line="242" w:lineRule="auto"/>
      </w:pPr>
      <w:r>
        <w:rPr>
          <w:rFonts w:ascii="Arial" w:hAnsi="Arial"/>
          <w:b/>
        </w:rPr>
        <w:t>Carta Compromiso.- </w:t>
      </w:r>
      <w:r>
        <w:rPr/>
        <w:t>Documento dirigido a la/el Titular de la Subsecretaría de Educación Media Superior adscrita a </w:t>
      </w:r>
      <w:r>
        <w:rPr/>
        <w:t>la Secretaría de Educación Pública de la</w:t>
      </w:r>
      <w:r>
        <w:rPr>
          <w:spacing w:val="-1"/>
        </w:rPr>
        <w:t> </w:t>
      </w:r>
      <w:r>
        <w:rPr/>
        <w:t>APF, mediante el cual el Titular de la Secretaría de Educación u homólogo de la Entidad, expresa su voluntad de participar en el PAPPEMS, así como el compromiso para firmar el Convenio respectivo y realizar las acciones correspondientes, bajo los términos y condiciones establecidos en las presentes Reglas de Operación.</w:t>
      </w:r>
    </w:p>
    <w:p>
      <w:pPr>
        <w:spacing w:line="242" w:lineRule="auto" w:before="94"/>
        <w:ind w:left="114" w:right="118" w:firstLine="287"/>
        <w:jc w:val="both"/>
        <w:rPr>
          <w:sz w:val="18"/>
        </w:rPr>
      </w:pPr>
      <w:r>
        <w:rPr>
          <w:rFonts w:ascii="Arial" w:hAnsi="Arial"/>
          <w:b/>
          <w:sz w:val="18"/>
        </w:rPr>
        <w:t>Centros de Atención para Estudiantes con Discapacidad (CAED).-</w:t>
      </w:r>
      <w:r>
        <w:rPr>
          <w:sz w:val="18"/>
        </w:rPr>
        <w:t>: Centros educativos en los que se imparte bachillerato general en la modalidad no escolarizada; opción educativa de certificación por evaluaciones parciales.</w:t>
      </w:r>
    </w:p>
    <w:p>
      <w:pPr>
        <w:pStyle w:val="BodyText"/>
        <w:spacing w:line="242" w:lineRule="auto" w:before="107"/>
      </w:pPr>
      <w:r>
        <w:rPr>
          <w:rFonts w:ascii="Arial" w:hAnsi="Arial"/>
          <w:b/>
          <w:color w:val="2E2E2E"/>
        </w:rPr>
        <w:t>Certificado de Discapacidad</w:t>
      </w:r>
      <w:r>
        <w:rPr>
          <w:color w:val="2E2E2E"/>
        </w:rPr>
        <w:t>.- Documento oficial expedido por una institución gubernamental de salud que acredita </w:t>
      </w:r>
      <w:r>
        <w:rPr>
          <w:color w:val="2E2E2E"/>
        </w:rPr>
        <w:t>la condición y el grado de discapacidad de una persona, proporcionando información detallada sobre la discapacidad y sus implicaciones en la vida diaria de la persona.</w:t>
      </w:r>
    </w:p>
    <w:p>
      <w:pPr>
        <w:pStyle w:val="BodyText"/>
        <w:spacing w:line="242" w:lineRule="auto" w:before="107"/>
      </w:pPr>
      <w:r>
        <w:rPr>
          <w:rFonts w:ascii="Arial" w:hAnsi="Arial"/>
          <w:b/>
        </w:rPr>
        <w:t>Clave de Centro de Trabajo.- </w:t>
      </w:r>
      <w:r>
        <w:rPr/>
        <w:t>Es la clave de identificación de cada escuela, centro administrativo, biblioteca o centro de</w:t>
      </w:r>
      <w:r>
        <w:rPr>
          <w:spacing w:val="40"/>
        </w:rPr>
        <w:t> </w:t>
      </w:r>
      <w:r>
        <w:rPr/>
        <w:t>apoyo a la educación. Se construye de acuerdo con los atributos que tiene: entidad federativa, sostenimiento, tipo y </w:t>
      </w:r>
      <w:r>
        <w:rPr/>
        <w:t>nivel educativo, es la llave de entrada al Catálogo de Centros de Trabajo.</w:t>
      </w:r>
    </w:p>
    <w:p>
      <w:pPr>
        <w:pStyle w:val="BodyText"/>
        <w:spacing w:line="242" w:lineRule="auto"/>
      </w:pPr>
      <w:r>
        <w:rPr>
          <w:rFonts w:ascii="Arial" w:hAnsi="Arial"/>
          <w:b/>
        </w:rPr>
        <w:t>Comité</w:t>
      </w:r>
      <w:r>
        <w:rPr>
          <w:rFonts w:ascii="Arial" w:hAnsi="Arial"/>
          <w:b/>
          <w:spacing w:val="-1"/>
        </w:rPr>
        <w:t> </w:t>
      </w:r>
      <w:r>
        <w:rPr>
          <w:rFonts w:ascii="Arial" w:hAnsi="Arial"/>
          <w:b/>
        </w:rPr>
        <w:t>de</w:t>
      </w:r>
      <w:r>
        <w:rPr>
          <w:rFonts w:ascii="Arial" w:hAnsi="Arial"/>
          <w:b/>
          <w:spacing w:val="-1"/>
        </w:rPr>
        <w:t> </w:t>
      </w:r>
      <w:r>
        <w:rPr>
          <w:rFonts w:ascii="Arial" w:hAnsi="Arial"/>
          <w:b/>
        </w:rPr>
        <w:t>Contraloría</w:t>
      </w:r>
      <w:r>
        <w:rPr>
          <w:rFonts w:ascii="Arial" w:hAnsi="Arial"/>
          <w:b/>
          <w:spacing w:val="-1"/>
        </w:rPr>
        <w:t> </w:t>
      </w:r>
      <w:r>
        <w:rPr>
          <w:rFonts w:ascii="Arial" w:hAnsi="Arial"/>
          <w:b/>
        </w:rPr>
        <w:t>Social.-</w:t>
      </w:r>
      <w:r>
        <w:rPr>
          <w:rFonts w:ascii="Arial" w:hAnsi="Arial"/>
          <w:b/>
          <w:spacing w:val="-1"/>
        </w:rPr>
        <w:t> </w:t>
      </w:r>
      <w:r>
        <w:rPr/>
        <w:t>A</w:t>
      </w:r>
      <w:r>
        <w:rPr>
          <w:spacing w:val="-11"/>
        </w:rPr>
        <w:t> </w:t>
      </w:r>
      <w:r>
        <w:rPr/>
        <w:t>las</w:t>
      </w:r>
      <w:r>
        <w:rPr>
          <w:spacing w:val="-1"/>
        </w:rPr>
        <w:t> </w:t>
      </w:r>
      <w:r>
        <w:rPr/>
        <w:t>contralorías</w:t>
      </w:r>
      <w:r>
        <w:rPr>
          <w:spacing w:val="-1"/>
        </w:rPr>
        <w:t> </w:t>
      </w:r>
      <w:r>
        <w:rPr/>
        <w:t>sociales</w:t>
      </w:r>
      <w:r>
        <w:rPr>
          <w:spacing w:val="-1"/>
        </w:rPr>
        <w:t> </w:t>
      </w:r>
      <w:r>
        <w:rPr/>
        <w:t>a</w:t>
      </w:r>
      <w:r>
        <w:rPr>
          <w:spacing w:val="-1"/>
        </w:rPr>
        <w:t> </w:t>
      </w:r>
      <w:r>
        <w:rPr/>
        <w:t>que</w:t>
      </w:r>
      <w:r>
        <w:rPr>
          <w:spacing w:val="-1"/>
        </w:rPr>
        <w:t> </w:t>
      </w:r>
      <w:r>
        <w:rPr/>
        <w:t>se</w:t>
      </w:r>
      <w:r>
        <w:rPr>
          <w:spacing w:val="-1"/>
        </w:rPr>
        <w:t> </w:t>
      </w:r>
      <w:r>
        <w:rPr/>
        <w:t>refiere</w:t>
      </w:r>
      <w:r>
        <w:rPr>
          <w:spacing w:val="-1"/>
        </w:rPr>
        <w:t> </w:t>
      </w:r>
      <w:r>
        <w:rPr/>
        <w:t>el</w:t>
      </w:r>
      <w:r>
        <w:rPr>
          <w:spacing w:val="-1"/>
        </w:rPr>
        <w:t> </w:t>
      </w:r>
      <w:r>
        <w:rPr/>
        <w:t>artículo</w:t>
      </w:r>
      <w:r>
        <w:rPr>
          <w:spacing w:val="-1"/>
        </w:rPr>
        <w:t> </w:t>
      </w:r>
      <w:r>
        <w:rPr/>
        <w:t>67</w:t>
      </w:r>
      <w:r>
        <w:rPr>
          <w:spacing w:val="-1"/>
        </w:rPr>
        <w:t> </w:t>
      </w:r>
      <w:r>
        <w:rPr/>
        <w:t>del</w:t>
      </w:r>
      <w:r>
        <w:rPr>
          <w:spacing w:val="-1"/>
        </w:rPr>
        <w:t> </w:t>
      </w:r>
      <w:r>
        <w:rPr/>
        <w:t>Reglamento</w:t>
      </w:r>
      <w:r>
        <w:rPr>
          <w:spacing w:val="-1"/>
        </w:rPr>
        <w:t> </w:t>
      </w:r>
      <w:r>
        <w:rPr/>
        <w:t>de</w:t>
      </w:r>
      <w:r>
        <w:rPr>
          <w:spacing w:val="-1"/>
        </w:rPr>
        <w:t> </w:t>
      </w:r>
      <w:r>
        <w:rPr/>
        <w:t>la</w:t>
      </w:r>
      <w:r>
        <w:rPr>
          <w:spacing w:val="-1"/>
        </w:rPr>
        <w:t> </w:t>
      </w:r>
      <w:r>
        <w:rPr/>
        <w:t>Ley</w:t>
      </w:r>
      <w:r>
        <w:rPr>
          <w:spacing w:val="-1"/>
        </w:rPr>
        <w:t> </w:t>
      </w:r>
      <w:r>
        <w:rPr/>
        <w:t>General</w:t>
      </w:r>
      <w:r>
        <w:rPr>
          <w:spacing w:val="-1"/>
        </w:rPr>
        <w:t> </w:t>
      </w:r>
      <w:r>
        <w:rPr/>
        <w:t>de Desarrollo Social, que son las formas de organización social constituidas por las/os beneficiaria/os de los programas de desarrollo social a cargo de las dependencias y entidades de la</w:t>
      </w:r>
      <w:r>
        <w:rPr>
          <w:spacing w:val="-6"/>
        </w:rPr>
        <w:t> </w:t>
      </w:r>
      <w:r>
        <w:rPr/>
        <w:t>APF, para el seguimiento, supervisión y vigilancia de la ejecución de dichos programas, del cumplimiento de las metas y acciones comprometidas en éstos, así como de la correcta aplicación de los recursos asignados a los mismos.</w:t>
      </w:r>
    </w:p>
    <w:p>
      <w:pPr>
        <w:spacing w:line="242" w:lineRule="auto" w:before="95"/>
        <w:ind w:left="114" w:right="118" w:firstLine="287"/>
        <w:jc w:val="both"/>
        <w:rPr>
          <w:sz w:val="18"/>
        </w:rPr>
      </w:pPr>
      <w:r>
        <w:rPr>
          <w:rFonts w:ascii="Arial" w:hAnsi="Arial"/>
          <w:b/>
          <w:sz w:val="18"/>
        </w:rPr>
        <w:t>Comprobante Fiscal Digital por Internet o Factura Electrónica (CFDI).- </w:t>
      </w:r>
      <w:r>
        <w:rPr>
          <w:sz w:val="18"/>
        </w:rPr>
        <w:t>Comprobante de una transacción que debe de cumplir con los requisitos que marca el artículo 29-A</w:t>
      </w:r>
      <w:r>
        <w:rPr>
          <w:spacing w:val="-1"/>
          <w:sz w:val="18"/>
        </w:rPr>
        <w:t> </w:t>
      </w:r>
      <w:r>
        <w:rPr>
          <w:sz w:val="18"/>
        </w:rPr>
        <w:t>del Código Fiscal de la Federación.</w:t>
      </w:r>
    </w:p>
    <w:p>
      <w:pPr>
        <w:pStyle w:val="BodyText"/>
        <w:spacing w:line="242" w:lineRule="auto" w:before="107"/>
      </w:pPr>
      <w:r>
        <w:rPr>
          <w:rFonts w:ascii="Arial" w:hAnsi="Arial"/>
          <w:b/>
        </w:rPr>
        <w:t>Contraloría Social.- </w:t>
      </w:r>
      <w:r>
        <w:rPr/>
        <w:t>Es el mecanismo de las personas beneficiarias para que de manera organizada verifiquen </w:t>
      </w:r>
      <w:r>
        <w:rPr/>
        <w:t>el cumplimiento de las metas y la correcta aplicación de los recursos públicos asignados a los programas de desarrollo social.</w:t>
      </w:r>
    </w:p>
    <w:p>
      <w:pPr>
        <w:pStyle w:val="BodyText"/>
        <w:spacing w:line="242" w:lineRule="auto" w:before="107"/>
        <w:ind w:right="117"/>
      </w:pPr>
      <w:r>
        <w:rPr>
          <w:rFonts w:ascii="Arial" w:hAnsi="Arial"/>
          <w:b/>
        </w:rPr>
        <w:t>Convenio de Colaboración.- </w:t>
      </w:r>
      <w:r>
        <w:rPr/>
        <w:t>Instrumento jurídico a través del cual la Secretaría de Educación Pública de la APF, </w:t>
      </w:r>
      <w:r>
        <w:rPr/>
        <w:t>por conducto de la Subsecretaría de Educación Media Superior, acuerda con las AEL, entre otros aspectos, los derechos y obligaciones a cargo de cada uno de ellos, la operación y la entrega de subsidios del Programa para el ejercicio fiscal 2024, en el marco de lo establecido en las presentes Reglas de Operación.</w:t>
      </w:r>
    </w:p>
    <w:p>
      <w:pPr>
        <w:spacing w:line="242" w:lineRule="auto" w:before="94"/>
        <w:ind w:left="114" w:right="118" w:firstLine="287"/>
        <w:jc w:val="both"/>
        <w:rPr>
          <w:sz w:val="18"/>
        </w:rPr>
      </w:pPr>
      <w:r>
        <w:rPr>
          <w:rFonts w:ascii="Arial" w:hAnsi="Arial"/>
          <w:b/>
          <w:sz w:val="18"/>
        </w:rPr>
        <w:t>Coordinación Sectorial de Planeación y</w:t>
      </w:r>
      <w:r>
        <w:rPr>
          <w:rFonts w:ascii="Arial" w:hAnsi="Arial"/>
          <w:b/>
          <w:spacing w:val="-1"/>
          <w:sz w:val="18"/>
        </w:rPr>
        <w:t> </w:t>
      </w:r>
      <w:r>
        <w:rPr>
          <w:rFonts w:ascii="Arial" w:hAnsi="Arial"/>
          <w:b/>
          <w:sz w:val="18"/>
        </w:rPr>
        <w:t>Administración (CSPyA).- </w:t>
      </w:r>
      <w:r>
        <w:rPr>
          <w:sz w:val="18"/>
        </w:rPr>
        <w:t>Coordinación Sectorial de Planeación y</w:t>
      </w:r>
      <w:r>
        <w:rPr>
          <w:spacing w:val="-4"/>
          <w:sz w:val="18"/>
        </w:rPr>
        <w:t> </w:t>
      </w:r>
      <w:r>
        <w:rPr>
          <w:sz w:val="18"/>
        </w:rPr>
        <w:t>Administración adscrita a la Subsecretaría de Educación Media Superior de la Secretaría de Educación Pública de la</w:t>
      </w:r>
      <w:r>
        <w:rPr>
          <w:spacing w:val="-3"/>
          <w:sz w:val="18"/>
        </w:rPr>
        <w:t> </w:t>
      </w:r>
      <w:r>
        <w:rPr>
          <w:sz w:val="18"/>
        </w:rPr>
        <w:t>APF.</w:t>
      </w:r>
    </w:p>
    <w:p>
      <w:pPr>
        <w:pStyle w:val="BodyText"/>
        <w:spacing w:line="242" w:lineRule="auto" w:before="106"/>
      </w:pPr>
      <w:r>
        <w:rPr>
          <w:rFonts w:ascii="Arial" w:hAnsi="Arial"/>
          <w:b/>
        </w:rPr>
        <w:t>Cuenta bancaria productiva específica.- </w:t>
      </w:r>
      <w:r>
        <w:rPr/>
        <w:t>Es la cuenta bancaria que apertura las entidades federativas exclusivamente </w:t>
      </w:r>
      <w:r>
        <w:rPr/>
        <w:t>para la recepción, administración y ejercicio de los subsidios del Programa Atención de Planteles Públicos de Educación Media Superior con estudiantes con discapacidad.</w:t>
      </w:r>
    </w:p>
    <w:p>
      <w:pPr>
        <w:pStyle w:val="BodyText"/>
        <w:spacing w:line="242" w:lineRule="auto"/>
        <w:ind w:right="117"/>
      </w:pPr>
      <w:r>
        <w:rPr>
          <w:rFonts w:ascii="Arial" w:hAnsi="Arial"/>
          <w:b/>
        </w:rPr>
        <w:t>Diario Oficial de la Federación (DOF).- </w:t>
      </w:r>
      <w:r>
        <w:rPr/>
        <w:t>El Diario Oficial de la Federación es el órgano del Gobierno Constitucional de los Estados Unidos Mexicanos, de carácter permanente e interés público, cuya función consiste en publicar en el territorio </w:t>
      </w:r>
      <w:r>
        <w:rPr/>
        <w:t>nacional, las leyes, decretos, reglamentos, acuerdos, circulares, órdenes y demás actos, expedidos por los Poderes de la Federación y los Órganos Constitucionales Autónomos, en sus respectivos ámbitos de competencia, a fin de que éstos sean aplicados y observados debidamente.</w:t>
      </w:r>
    </w:p>
    <w:p>
      <w:pPr>
        <w:pStyle w:val="BodyText"/>
        <w:spacing w:line="242" w:lineRule="auto" w:before="110"/>
        <w:ind w:right="117"/>
      </w:pPr>
      <w:r>
        <w:rPr>
          <w:rFonts w:ascii="Arial" w:hAnsi="Arial"/>
          <w:b/>
        </w:rPr>
        <w:t>Discriminación.- </w:t>
      </w:r>
      <w:r>
        <w:rPr/>
        <w:t>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w:t>
      </w:r>
      <w:r>
        <w:rPr>
          <w:spacing w:val="40"/>
        </w:rPr>
        <w:t> </w:t>
      </w:r>
      <w:r>
        <w:rPr/>
        <w:t>el origen étnico o nacional, el color de piel, la cultura, el sexo, el género, la edad, las discapacidades, la condición </w:t>
      </w:r>
      <w:r>
        <w:rPr/>
        <w:t>social, económica, de salud o jurídica, la religión, la apariencia física, las características genéticas, la situación migratoria, el embarazo,</w:t>
      </w:r>
      <w:r>
        <w:rPr>
          <w:spacing w:val="40"/>
        </w:rPr>
        <w:t> </w:t>
      </w:r>
      <w:r>
        <w:rPr/>
        <w:t>la lengua, las opiniones, las preferencias sexuales, la identidad o filiación política, el estado civil, la situación familiar, las responsabilidades familiares, el idioma, los antecedentes penales o cualquier otro motivo.</w:t>
      </w:r>
    </w:p>
    <w:p>
      <w:pPr>
        <w:pStyle w:val="BodyText"/>
        <w:spacing w:line="242" w:lineRule="auto" w:before="97"/>
      </w:pPr>
      <w:r>
        <w:rPr>
          <w:rFonts w:ascii="Arial" w:hAnsi="Arial"/>
          <w:b/>
        </w:rPr>
        <w:t>Educación</w:t>
      </w:r>
      <w:r>
        <w:rPr>
          <w:rFonts w:ascii="Arial" w:hAnsi="Arial"/>
          <w:b/>
          <w:spacing w:val="-3"/>
        </w:rPr>
        <w:t> </w:t>
      </w:r>
      <w:r>
        <w:rPr>
          <w:rFonts w:ascii="Arial" w:hAnsi="Arial"/>
          <w:b/>
        </w:rPr>
        <w:t>Media</w:t>
      </w:r>
      <w:r>
        <w:rPr>
          <w:rFonts w:ascii="Arial" w:hAnsi="Arial"/>
          <w:b/>
          <w:spacing w:val="-3"/>
        </w:rPr>
        <w:t> </w:t>
      </w:r>
      <w:r>
        <w:rPr>
          <w:rFonts w:ascii="Arial" w:hAnsi="Arial"/>
          <w:b/>
        </w:rPr>
        <w:t>Superior</w:t>
      </w:r>
      <w:r>
        <w:rPr>
          <w:rFonts w:ascii="Arial" w:hAnsi="Arial"/>
          <w:b/>
          <w:spacing w:val="-3"/>
        </w:rPr>
        <w:t> </w:t>
      </w:r>
      <w:r>
        <w:rPr>
          <w:rFonts w:ascii="Arial" w:hAnsi="Arial"/>
          <w:b/>
        </w:rPr>
        <w:t>(EMS).-</w:t>
      </w:r>
      <w:r>
        <w:rPr>
          <w:rFonts w:ascii="Arial" w:hAnsi="Arial"/>
          <w:b/>
          <w:spacing w:val="-3"/>
        </w:rPr>
        <w:t> </w:t>
      </w:r>
      <w:r>
        <w:rPr/>
        <w:t>Tipo</w:t>
      </w:r>
      <w:r>
        <w:rPr>
          <w:spacing w:val="-3"/>
        </w:rPr>
        <w:t> </w:t>
      </w:r>
      <w:r>
        <w:rPr/>
        <w:t>educativo</w:t>
      </w:r>
      <w:r>
        <w:rPr>
          <w:spacing w:val="-3"/>
        </w:rPr>
        <w:t> </w:t>
      </w:r>
      <w:r>
        <w:rPr/>
        <w:t>que</w:t>
      </w:r>
      <w:r>
        <w:rPr>
          <w:spacing w:val="-3"/>
        </w:rPr>
        <w:t> </w:t>
      </w:r>
      <w:r>
        <w:rPr/>
        <w:t>comprende</w:t>
      </w:r>
      <w:r>
        <w:rPr>
          <w:spacing w:val="-3"/>
        </w:rPr>
        <w:t> </w:t>
      </w:r>
      <w:r>
        <w:rPr/>
        <w:t>los</w:t>
      </w:r>
      <w:r>
        <w:rPr>
          <w:spacing w:val="-3"/>
        </w:rPr>
        <w:t> </w:t>
      </w:r>
      <w:r>
        <w:rPr/>
        <w:t>niveles</w:t>
      </w:r>
      <w:r>
        <w:rPr>
          <w:spacing w:val="-3"/>
        </w:rPr>
        <w:t> </w:t>
      </w:r>
      <w:r>
        <w:rPr/>
        <w:t>de</w:t>
      </w:r>
      <w:r>
        <w:rPr>
          <w:spacing w:val="-3"/>
        </w:rPr>
        <w:t> </w:t>
      </w:r>
      <w:r>
        <w:rPr/>
        <w:t>bachillerato,</w:t>
      </w:r>
      <w:r>
        <w:rPr>
          <w:spacing w:val="-3"/>
        </w:rPr>
        <w:t> </w:t>
      </w:r>
      <w:r>
        <w:rPr/>
        <w:t>de</w:t>
      </w:r>
      <w:r>
        <w:rPr>
          <w:spacing w:val="-3"/>
        </w:rPr>
        <w:t> </w:t>
      </w:r>
      <w:r>
        <w:rPr/>
        <w:t>profesional</w:t>
      </w:r>
      <w:r>
        <w:rPr>
          <w:spacing w:val="-3"/>
        </w:rPr>
        <w:t> </w:t>
      </w:r>
      <w:r>
        <w:rPr/>
        <w:t>técnico</w:t>
      </w:r>
      <w:r>
        <w:rPr>
          <w:spacing w:val="-3"/>
        </w:rPr>
        <w:t> </w:t>
      </w:r>
      <w:r>
        <w:rPr/>
        <w:t>bachiller y los equivalentes a éste, así como la educación profesional que no requiere bachillerato o sus equivalentes. Se organizará </w:t>
      </w:r>
      <w:r>
        <w:rPr/>
        <w:t>a través de un sistema que establezca un marco curricular común a nivel nacional y garantice el reconocimiento de estudios entre las opciones que ofrece este tipo educativo.</w:t>
      </w:r>
    </w:p>
    <w:p>
      <w:pPr>
        <w:spacing w:before="108"/>
        <w:ind w:left="402" w:right="0" w:firstLine="0"/>
        <w:jc w:val="left"/>
        <w:rPr>
          <w:sz w:val="18"/>
        </w:rPr>
      </w:pPr>
      <w:r>
        <w:rPr>
          <w:rFonts w:ascii="Arial" w:hAnsi="Arial"/>
          <w:b/>
          <w:sz w:val="18"/>
        </w:rPr>
        <w:t>Entidades Federativas.- </w:t>
      </w:r>
      <w:r>
        <w:rPr>
          <w:sz w:val="18"/>
        </w:rPr>
        <w:t>Los 31 Estados de la República Mexicana y la Ciudad de </w:t>
      </w:r>
      <w:r>
        <w:rPr>
          <w:spacing w:val="-2"/>
          <w:sz w:val="18"/>
        </w:rPr>
        <w:t>México.</w:t>
      </w:r>
    </w:p>
    <w:p>
      <w:pPr>
        <w:pStyle w:val="BodyText"/>
        <w:spacing w:line="242" w:lineRule="auto"/>
        <w:ind w:right="117"/>
      </w:pPr>
      <w:r>
        <w:rPr>
          <w:rFonts w:ascii="Arial" w:hAnsi="Arial"/>
          <w:b/>
        </w:rPr>
        <w:t>Equidad.- </w:t>
      </w:r>
      <w:r>
        <w:rPr/>
        <w:t>Trato diferenciado a las personas en función de sus características, cualidades y necesidades, a fin de que dispongan de iguales oportunidades en la vida social.</w:t>
      </w:r>
    </w:p>
    <w:p>
      <w:pPr>
        <w:pStyle w:val="BodyText"/>
        <w:spacing w:line="242" w:lineRule="auto" w:before="107"/>
      </w:pPr>
      <w:r>
        <w:rPr>
          <w:rFonts w:ascii="Arial" w:hAnsi="Arial"/>
          <w:b/>
        </w:rPr>
        <w:t>Equidad educativa.- </w:t>
      </w:r>
      <w:r>
        <w:rPr/>
        <w:t>Atención con mayores y mejores recursos a grupos sociales o a estudiantes en desventaja -sea esta derivada de su origen étnico, sus condiciones socioeconómicas, capacidades individuales, género, entre otras- con base en el reconocimiento de sus características, cualidades y necesidades particulares, con el fin de que alcancen el máximo desarrollo </w:t>
      </w:r>
      <w:r>
        <w:rPr/>
        <w:t>de sus potencialidades y participen en igualdad de condiciones en la vida social.</w:t>
      </w:r>
    </w:p>
    <w:p>
      <w:pPr>
        <w:pStyle w:val="BodyText"/>
        <w:spacing w:line="242" w:lineRule="auto" w:before="94"/>
      </w:pPr>
      <w:r>
        <w:rPr>
          <w:rFonts w:ascii="Arial" w:hAnsi="Arial"/>
          <w:b/>
        </w:rPr>
        <w:t>Equipamiento específico.- </w:t>
      </w:r>
      <w:r>
        <w:rPr/>
        <w:t>Acciones orientadas a la mejora en las condiciones de los planteles públicos de educación media superior y los servicios educativos que atienden a estudiantes con discapacidad; se entiende como equipo tecnológico, equipo multimedia, mobiliario o utensilios adaptados de acuerdo a la condición de las y los estudiantes.</w:t>
      </w:r>
    </w:p>
    <w:p>
      <w:pPr>
        <w:pStyle w:val="BodyText"/>
        <w:spacing w:line="242" w:lineRule="auto"/>
      </w:pPr>
      <w:r>
        <w:rPr>
          <w:rFonts w:ascii="Arial" w:hAnsi="Arial"/>
          <w:b/>
        </w:rPr>
        <w:t>Equitativa.- </w:t>
      </w:r>
      <w:r>
        <w:rPr/>
        <w:t>Criterio de la educación que favorece el pleno ejercicio del derecho a la educación de todas las personas, a partir de</w:t>
      </w:r>
      <w:r>
        <w:rPr>
          <w:spacing w:val="61"/>
        </w:rPr>
        <w:t> </w:t>
      </w:r>
      <w:r>
        <w:rPr/>
        <w:t>combatir</w:t>
      </w:r>
      <w:r>
        <w:rPr>
          <w:spacing w:val="61"/>
        </w:rPr>
        <w:t> </w:t>
      </w:r>
      <w:r>
        <w:rPr/>
        <w:t>las</w:t>
      </w:r>
      <w:r>
        <w:rPr>
          <w:spacing w:val="61"/>
        </w:rPr>
        <w:t> </w:t>
      </w:r>
      <w:r>
        <w:rPr/>
        <w:t>desigualdades</w:t>
      </w:r>
      <w:r>
        <w:rPr>
          <w:spacing w:val="61"/>
        </w:rPr>
        <w:t> </w:t>
      </w:r>
      <w:r>
        <w:rPr/>
        <w:t>socioeconómicas,</w:t>
      </w:r>
      <w:r>
        <w:rPr>
          <w:spacing w:val="61"/>
        </w:rPr>
        <w:t> </w:t>
      </w:r>
      <w:r>
        <w:rPr/>
        <w:t>regionales,</w:t>
      </w:r>
      <w:r>
        <w:rPr>
          <w:spacing w:val="61"/>
        </w:rPr>
        <w:t> </w:t>
      </w:r>
      <w:r>
        <w:rPr/>
        <w:t>de</w:t>
      </w:r>
      <w:r>
        <w:rPr>
          <w:spacing w:val="61"/>
        </w:rPr>
        <w:t> </w:t>
      </w:r>
      <w:r>
        <w:rPr/>
        <w:t>capacidades</w:t>
      </w:r>
      <w:r>
        <w:rPr>
          <w:spacing w:val="61"/>
        </w:rPr>
        <w:t> </w:t>
      </w:r>
      <w:r>
        <w:rPr/>
        <w:t>y</w:t>
      </w:r>
      <w:r>
        <w:rPr>
          <w:spacing w:val="61"/>
        </w:rPr>
        <w:t> </w:t>
      </w:r>
      <w:r>
        <w:rPr/>
        <w:t>de</w:t>
      </w:r>
      <w:r>
        <w:rPr>
          <w:spacing w:val="61"/>
        </w:rPr>
        <w:t> </w:t>
      </w:r>
      <w:r>
        <w:rPr/>
        <w:t>género,</w:t>
      </w:r>
      <w:r>
        <w:rPr>
          <w:spacing w:val="61"/>
        </w:rPr>
        <w:t> </w:t>
      </w:r>
      <w:r>
        <w:rPr/>
        <w:t>el</w:t>
      </w:r>
      <w:r>
        <w:rPr>
          <w:spacing w:val="61"/>
        </w:rPr>
        <w:t> </w:t>
      </w:r>
      <w:r>
        <w:rPr/>
        <w:t>respaldo</w:t>
      </w:r>
      <w:r>
        <w:rPr>
          <w:spacing w:val="61"/>
        </w:rPr>
        <w:t> </w:t>
      </w:r>
      <w:r>
        <w:rPr/>
        <w:t>a</w:t>
      </w:r>
      <w:r>
        <w:rPr>
          <w:spacing w:val="61"/>
        </w:rPr>
        <w:t> </w:t>
      </w:r>
      <w:r>
        <w:rPr/>
        <w:t>estudiantes</w:t>
      </w:r>
      <w:r>
        <w:rPr>
          <w:spacing w:val="61"/>
        </w:rPr>
        <w:t> </w:t>
      </w:r>
      <w:r>
        <w:rPr>
          <w:spacing w:val="-5"/>
        </w:rPr>
        <w:t>en</w:t>
      </w:r>
    </w:p>
    <w:p>
      <w:pPr>
        <w:spacing w:after="0" w:line="242" w:lineRule="auto"/>
        <w:sectPr>
          <w:pgSz w:w="12240" w:h="15840"/>
          <w:pgMar w:header="269" w:footer="260" w:top="460" w:bottom="440" w:left="860" w:right="720"/>
        </w:sectPr>
      </w:pPr>
    </w:p>
    <w:p>
      <w:pPr>
        <w:pStyle w:val="BodyText"/>
        <w:spacing w:line="242" w:lineRule="auto" w:before="82"/>
        <w:ind w:right="98" w:firstLine="0"/>
        <w:jc w:val="left"/>
      </w:pPr>
      <w:r>
        <w:rPr/>
        <w:t>condiciones de vulnerabilidad social y ofrecer a todos, una educación pertinente que asegure su acceso, tránsito, permanencia </w:t>
      </w:r>
      <w:r>
        <w:rPr/>
        <w:t>y, en su caso, egreso oportuno en los servicios educativos.</w:t>
      </w:r>
    </w:p>
    <w:p>
      <w:pPr>
        <w:pStyle w:val="BodyText"/>
        <w:spacing w:line="242" w:lineRule="auto" w:before="107"/>
      </w:pPr>
      <w:r>
        <w:rPr>
          <w:rFonts w:ascii="Arial" w:hAnsi="Arial"/>
          <w:b/>
        </w:rPr>
        <w:t>Estadística Educativa.- </w:t>
      </w:r>
      <w:r>
        <w:rPr/>
        <w:t>Censo o recuento sistematizado de la cantidad de alumnas/os, docentes y escuelas existentes en </w:t>
      </w:r>
      <w:r>
        <w:rPr/>
        <w:t>el </w:t>
      </w:r>
      <w:r>
        <w:rPr>
          <w:spacing w:val="-2"/>
        </w:rPr>
        <w:t>país.</w:t>
      </w:r>
    </w:p>
    <w:p>
      <w:pPr>
        <w:pStyle w:val="BodyText"/>
        <w:spacing w:line="242" w:lineRule="auto" w:before="92"/>
      </w:pPr>
      <w:r>
        <w:rPr>
          <w:rFonts w:ascii="Arial" w:hAnsi="Arial"/>
          <w:b/>
        </w:rPr>
        <w:t>Estudiante.- </w:t>
      </w:r>
      <w:r>
        <w:rPr/>
        <w:t>Persona matriculada que cursa el tipo medio superior, en cualquier grado de los diversos niveles, modalidades y servicios educativos públicos que se brindan como parte del Sistema Educativo Nacional.</w:t>
      </w:r>
    </w:p>
    <w:p>
      <w:pPr>
        <w:pStyle w:val="BodyText"/>
        <w:spacing w:line="242" w:lineRule="auto" w:before="107"/>
        <w:ind w:right="117"/>
      </w:pPr>
      <w:r>
        <w:rPr>
          <w:rFonts w:ascii="Arial" w:hAnsi="Arial"/>
          <w:b/>
        </w:rPr>
        <w:t>Estudiante con discapacidad.- </w:t>
      </w:r>
      <w:r>
        <w:rPr/>
        <w:t>Persona matriculada que cursa el tipo medio superior en cualquier grado de los diversos niveles, modalidades y servicios educativos públicos que se brindan como parte del Sistema Educativo Nacional, que tiene una deficiencia motriz, mental, intelectual o sensorial (auditiva o visual) de naturaleza permanente, que limita su participación y </w:t>
      </w:r>
      <w:r>
        <w:rPr/>
        <w:t>su ejercicio en una o más actividades de la vida diaria.</w:t>
      </w:r>
    </w:p>
    <w:p>
      <w:pPr>
        <w:pStyle w:val="BodyText"/>
        <w:spacing w:line="242" w:lineRule="auto"/>
        <w:ind w:right="117"/>
      </w:pPr>
      <w:r>
        <w:rPr>
          <w:rFonts w:ascii="Arial" w:hAnsi="Arial"/>
          <w:b/>
        </w:rPr>
        <w:t>Excelencia.- </w:t>
      </w:r>
      <w:r>
        <w:rPr/>
        <w:t>Criterio de la educación que se orienta al mejoramiento integral constante que promueve el máximo logro </w:t>
      </w:r>
      <w:r>
        <w:rPr/>
        <w:t>de aprendizaje de los educandos, para el desarrollo de su pensamiento crítico y el fortalecimiento de los lazos entre escuela y </w:t>
      </w:r>
      <w:r>
        <w:rPr>
          <w:spacing w:val="-2"/>
        </w:rPr>
        <w:t>comunidad.</w:t>
      </w:r>
    </w:p>
    <w:p>
      <w:pPr>
        <w:pStyle w:val="BodyText"/>
        <w:spacing w:before="3"/>
        <w:ind w:left="402" w:right="0" w:firstLine="0"/>
      </w:pPr>
      <w:r>
        <w:rPr>
          <w:rFonts w:ascii="Arial" w:hAnsi="Arial"/>
          <w:b/>
        </w:rPr>
        <w:t>Formato</w:t>
      </w:r>
      <w:r>
        <w:rPr>
          <w:rFonts w:ascii="Arial" w:hAnsi="Arial"/>
          <w:b/>
          <w:spacing w:val="-2"/>
        </w:rPr>
        <w:t> </w:t>
      </w:r>
      <w:r>
        <w:rPr>
          <w:rFonts w:ascii="Arial" w:hAnsi="Arial"/>
          <w:b/>
        </w:rPr>
        <w:t>PDF.-</w:t>
      </w:r>
      <w:r>
        <w:rPr>
          <w:rFonts w:ascii="Arial" w:hAnsi="Arial"/>
          <w:b/>
          <w:spacing w:val="-2"/>
        </w:rPr>
        <w:t> </w:t>
      </w:r>
      <w:r>
        <w:rPr/>
        <w:t>Formato</w:t>
      </w:r>
      <w:r>
        <w:rPr>
          <w:spacing w:val="-1"/>
        </w:rPr>
        <w:t> </w:t>
      </w:r>
      <w:r>
        <w:rPr/>
        <w:t>de</w:t>
      </w:r>
      <w:r>
        <w:rPr>
          <w:spacing w:val="-2"/>
        </w:rPr>
        <w:t> </w:t>
      </w:r>
      <w:r>
        <w:rPr/>
        <w:t>Documento</w:t>
      </w:r>
      <w:r>
        <w:rPr>
          <w:spacing w:val="-1"/>
        </w:rPr>
        <w:t> </w:t>
      </w:r>
      <w:r>
        <w:rPr/>
        <w:t>Portátil.</w:t>
      </w:r>
      <w:r>
        <w:rPr>
          <w:spacing w:val="-2"/>
        </w:rPr>
        <w:t> </w:t>
      </w:r>
      <w:r>
        <w:rPr/>
        <w:t>Soporte</w:t>
      </w:r>
      <w:r>
        <w:rPr>
          <w:spacing w:val="-1"/>
        </w:rPr>
        <w:t> </w:t>
      </w:r>
      <w:r>
        <w:rPr/>
        <w:t>documental</w:t>
      </w:r>
      <w:r>
        <w:rPr>
          <w:spacing w:val="-2"/>
        </w:rPr>
        <w:t> </w:t>
      </w:r>
      <w:r>
        <w:rPr/>
        <w:t>que</w:t>
      </w:r>
      <w:r>
        <w:rPr>
          <w:spacing w:val="-1"/>
        </w:rPr>
        <w:t> </w:t>
      </w:r>
      <w:r>
        <w:rPr/>
        <w:t>contiene</w:t>
      </w:r>
      <w:r>
        <w:rPr>
          <w:spacing w:val="-2"/>
        </w:rPr>
        <w:t> </w:t>
      </w:r>
      <w:r>
        <w:rPr/>
        <w:t>información</w:t>
      </w:r>
      <w:r>
        <w:rPr>
          <w:spacing w:val="-1"/>
        </w:rPr>
        <w:t> </w:t>
      </w:r>
      <w:r>
        <w:rPr/>
        <w:t>de</w:t>
      </w:r>
      <w:r>
        <w:rPr>
          <w:spacing w:val="-2"/>
        </w:rPr>
        <w:t> </w:t>
      </w:r>
      <w:r>
        <w:rPr/>
        <w:t>forma</w:t>
      </w:r>
      <w:r>
        <w:rPr>
          <w:spacing w:val="-1"/>
        </w:rPr>
        <w:t> </w:t>
      </w:r>
      <w:r>
        <w:rPr>
          <w:spacing w:val="-2"/>
        </w:rPr>
        <w:t>digital.</w:t>
      </w:r>
    </w:p>
    <w:p>
      <w:pPr>
        <w:pStyle w:val="BodyText"/>
        <w:spacing w:line="242" w:lineRule="auto"/>
        <w:ind w:right="117"/>
      </w:pPr>
      <w:r>
        <w:rPr>
          <w:rFonts w:ascii="Arial" w:hAnsi="Arial"/>
          <w:b/>
        </w:rPr>
        <w:t>Formato 911.- </w:t>
      </w:r>
      <w:r>
        <w:rPr/>
        <w:t>Instrumento que se utiliza para recabar la información sobre matrícula, docentes y características de la población estudiantil, de las escuelas de educación especial, básica, media superior y superior, supervisiones, bibliotecas </w:t>
      </w:r>
      <w:r>
        <w:rPr/>
        <w:t>y formación para el trabajo. Integra la información estadística educativa oficial en el ámbito nacional con la cual se apoyan los procesos de planeación, programación, presupuesto y asignación de recursos, evaluación y rendición de cuentas del sector educativo. Elaborado por la Dirección General de Planeación, Programación y Estadística Educativa de la SEP.</w:t>
      </w:r>
    </w:p>
    <w:p>
      <w:pPr>
        <w:pStyle w:val="BodyText"/>
        <w:spacing w:line="242" w:lineRule="auto" w:before="95"/>
        <w:ind w:right="117"/>
      </w:pPr>
      <w:r>
        <w:rPr>
          <w:rFonts w:ascii="Arial" w:hAnsi="Arial"/>
          <w:b/>
        </w:rPr>
        <w:t>Gasto comprometido.- </w:t>
      </w:r>
      <w:r>
        <w:rPr/>
        <w:t>El momento contable del gasto que refleja la aprobación por autoridad competente de un acto administrativo u otro instrumento jurídico que formaliza una relación jurídica con terceros para la adquisición de bienes y servicios o ejecución de obras. En el caso de las obras a ejecutarse o de bienes y servicios a recibirse durante varios ejercicios fiscales, el compromiso será registrado por la unidad administrativa, de la parte correspondiente que se ejecutará o recibirá, durante cada </w:t>
      </w:r>
      <w:r>
        <w:rPr>
          <w:spacing w:val="-2"/>
        </w:rPr>
        <w:t>ejercicio.</w:t>
      </w:r>
    </w:p>
    <w:p>
      <w:pPr>
        <w:pStyle w:val="BodyText"/>
        <w:spacing w:line="242" w:lineRule="auto" w:before="110"/>
      </w:pPr>
      <w:r>
        <w:rPr>
          <w:rFonts w:ascii="Arial" w:hAnsi="Arial"/>
          <w:b/>
        </w:rPr>
        <w:t>Gasto devengado.- </w:t>
      </w:r>
      <w:r>
        <w:rPr/>
        <w:t>El momento contable del gasto que refleja el reconocimiento de las obligaciones de pago por parte de </w:t>
      </w:r>
      <w:r>
        <w:rPr/>
        <w:t>los ejecutores de gasto a favor de terceros, por los compromisos o requisitos cumplidos por éstos conforme a las disposiciones aplicables, así como de las obligaciones de pago que se derivan por mandato de tratados, leyes o decretos, así como</w:t>
      </w:r>
      <w:r>
        <w:rPr>
          <w:spacing w:val="40"/>
        </w:rPr>
        <w:t> </w:t>
      </w:r>
      <w:r>
        <w:rPr/>
        <w:t>resoluciones y sentencias definitivas, y las erogaciones a que se refiere el artículo 49 de la LFPRH.</w:t>
      </w:r>
    </w:p>
    <w:p>
      <w:pPr>
        <w:pStyle w:val="BodyText"/>
        <w:spacing w:line="242" w:lineRule="auto" w:before="109"/>
        <w:ind w:right="117"/>
      </w:pPr>
      <w:r>
        <w:rPr>
          <w:rFonts w:ascii="Arial" w:hAnsi="Arial"/>
          <w:b/>
        </w:rPr>
        <w:t>Igualdad de género.- </w:t>
      </w:r>
      <w:r>
        <w:rPr/>
        <w:t>Situación en la cual mujeres y hombres acceden con las mismas posibilidades y oportunidades al </w:t>
      </w:r>
      <w:r>
        <w:rPr/>
        <w:t>uso, control y beneficio de bienes, servicios y recursos de la sociedad, así como a la toma de decisiones en todos los ámbitos de la</w:t>
      </w:r>
      <w:r>
        <w:rPr>
          <w:spacing w:val="40"/>
        </w:rPr>
        <w:t> </w:t>
      </w:r>
      <w:r>
        <w:rPr/>
        <w:t>vida social, económica, política, cultural y familiar.</w:t>
      </w:r>
    </w:p>
    <w:p>
      <w:pPr>
        <w:pStyle w:val="BodyText"/>
        <w:spacing w:line="242" w:lineRule="auto" w:before="92"/>
      </w:pPr>
      <w:r>
        <w:rPr>
          <w:rFonts w:ascii="Arial" w:hAnsi="Arial"/>
          <w:b/>
        </w:rPr>
        <w:t>Inclusiva.- </w:t>
      </w:r>
      <w:r>
        <w:rPr/>
        <w:t>Criterio de la educación que toma en cuenta las diversas capacidades, circunstancias, necesidades, estilos </w:t>
      </w:r>
      <w:r>
        <w:rPr/>
        <w:t>y</w:t>
      </w:r>
      <w:r>
        <w:rPr>
          <w:spacing w:val="40"/>
        </w:rPr>
        <w:t> </w:t>
      </w:r>
      <w:r>
        <w:rPr/>
        <w:t>ritmos de aprendizaje de los educandos, y así eliminar las distintas barreras al aprendizaje y a la participación, para lo cual adoptará medidas en favor de la accesibilidad y los ajustes razonables.</w:t>
      </w:r>
    </w:p>
    <w:p>
      <w:pPr>
        <w:pStyle w:val="BodyText"/>
        <w:spacing w:line="242" w:lineRule="auto"/>
        <w:ind w:right="117"/>
      </w:pPr>
      <w:r>
        <w:rPr>
          <w:rFonts w:ascii="Arial"/>
          <w:b/>
        </w:rPr>
        <w:t>Instancia ejecutora.- </w:t>
      </w:r>
      <w:r>
        <w:rPr/>
        <w:t>Es la encargada del ejercicio de los recursos federales y a la que se le otorga la responsabilidad de operar el programa. Para este programa son las AEL.</w:t>
      </w:r>
    </w:p>
    <w:p>
      <w:pPr>
        <w:pStyle w:val="BodyText"/>
        <w:spacing w:line="242" w:lineRule="auto" w:before="107"/>
      </w:pPr>
      <w:r>
        <w:rPr>
          <w:rFonts w:ascii="Arial" w:hAnsi="Arial"/>
          <w:b/>
        </w:rPr>
        <w:t>Instancia normativa</w:t>
      </w:r>
      <w:r>
        <w:rPr/>
        <w:t>.- Subsecretaría de Educación Media Superior, que es la unidad administrativa de la Secretaría de Educación</w:t>
      </w:r>
      <w:r>
        <w:rPr>
          <w:spacing w:val="-1"/>
        </w:rPr>
        <w:t> </w:t>
      </w:r>
      <w:r>
        <w:rPr/>
        <w:t>Pública</w:t>
      </w:r>
      <w:r>
        <w:rPr>
          <w:spacing w:val="-1"/>
        </w:rPr>
        <w:t> </w:t>
      </w:r>
      <w:r>
        <w:rPr/>
        <w:t>de</w:t>
      </w:r>
      <w:r>
        <w:rPr>
          <w:spacing w:val="-1"/>
        </w:rPr>
        <w:t> </w:t>
      </w:r>
      <w:r>
        <w:rPr/>
        <w:t>la</w:t>
      </w:r>
      <w:r>
        <w:rPr>
          <w:spacing w:val="-11"/>
        </w:rPr>
        <w:t> </w:t>
      </w:r>
      <w:r>
        <w:rPr/>
        <w:t>APF</w:t>
      </w:r>
      <w:r>
        <w:rPr>
          <w:spacing w:val="-1"/>
        </w:rPr>
        <w:t> </w:t>
      </w:r>
      <w:r>
        <w:rPr/>
        <w:t>que</w:t>
      </w:r>
      <w:r>
        <w:rPr>
          <w:spacing w:val="-1"/>
        </w:rPr>
        <w:t> </w:t>
      </w:r>
      <w:r>
        <w:rPr/>
        <w:t>tiene</w:t>
      </w:r>
      <w:r>
        <w:rPr>
          <w:spacing w:val="-1"/>
        </w:rPr>
        <w:t> </w:t>
      </w:r>
      <w:r>
        <w:rPr/>
        <w:t>a</w:t>
      </w:r>
      <w:r>
        <w:rPr>
          <w:spacing w:val="-1"/>
        </w:rPr>
        <w:t> </w:t>
      </w:r>
      <w:r>
        <w:rPr/>
        <w:t>su</w:t>
      </w:r>
      <w:r>
        <w:rPr>
          <w:spacing w:val="-1"/>
        </w:rPr>
        <w:t> </w:t>
      </w:r>
      <w:r>
        <w:rPr/>
        <w:t>cargo</w:t>
      </w:r>
      <w:r>
        <w:rPr>
          <w:spacing w:val="-1"/>
        </w:rPr>
        <w:t> </w:t>
      </w:r>
      <w:r>
        <w:rPr/>
        <w:t>el</w:t>
      </w:r>
      <w:r>
        <w:rPr>
          <w:spacing w:val="-1"/>
        </w:rPr>
        <w:t> </w:t>
      </w:r>
      <w:r>
        <w:rPr/>
        <w:t>programa</w:t>
      </w:r>
      <w:r>
        <w:rPr>
          <w:spacing w:val="-1"/>
        </w:rPr>
        <w:t> </w:t>
      </w:r>
      <w:r>
        <w:rPr/>
        <w:t>y</w:t>
      </w:r>
      <w:r>
        <w:rPr>
          <w:spacing w:val="-1"/>
        </w:rPr>
        <w:t> </w:t>
      </w:r>
      <w:r>
        <w:rPr/>
        <w:t>es</w:t>
      </w:r>
      <w:r>
        <w:rPr>
          <w:spacing w:val="-1"/>
        </w:rPr>
        <w:t> </w:t>
      </w:r>
      <w:r>
        <w:rPr/>
        <w:t>encargada</w:t>
      </w:r>
      <w:r>
        <w:rPr>
          <w:spacing w:val="-1"/>
        </w:rPr>
        <w:t> </w:t>
      </w:r>
      <w:r>
        <w:rPr/>
        <w:t>de</w:t>
      </w:r>
      <w:r>
        <w:rPr>
          <w:spacing w:val="-1"/>
        </w:rPr>
        <w:t> </w:t>
      </w:r>
      <w:r>
        <w:rPr/>
        <w:t>interpretar</w:t>
      </w:r>
      <w:r>
        <w:rPr>
          <w:spacing w:val="-1"/>
        </w:rPr>
        <w:t> </w:t>
      </w:r>
      <w:r>
        <w:rPr/>
        <w:t>las</w:t>
      </w:r>
      <w:r>
        <w:rPr>
          <w:spacing w:val="-1"/>
        </w:rPr>
        <w:t> </w:t>
      </w:r>
      <w:r>
        <w:rPr/>
        <w:t>presentes</w:t>
      </w:r>
      <w:r>
        <w:rPr>
          <w:spacing w:val="-1"/>
        </w:rPr>
        <w:t> </w:t>
      </w:r>
      <w:r>
        <w:rPr/>
        <w:t>Reglas</w:t>
      </w:r>
      <w:r>
        <w:rPr>
          <w:spacing w:val="-1"/>
        </w:rPr>
        <w:t> </w:t>
      </w:r>
      <w:r>
        <w:rPr/>
        <w:t>de</w:t>
      </w:r>
      <w:r>
        <w:rPr>
          <w:spacing w:val="-1"/>
        </w:rPr>
        <w:t> </w:t>
      </w:r>
      <w:r>
        <w:rPr/>
        <w:t>Operación</w:t>
      </w:r>
      <w:r>
        <w:rPr>
          <w:spacing w:val="-1"/>
        </w:rPr>
        <w:t> </w:t>
      </w:r>
      <w:r>
        <w:rPr/>
        <w:t>y resolver las dudas y aspectos no contemplados en las mismas, de conformidad con las disposiciones aplicables en la materia que operan el PAPPEMS.</w:t>
      </w:r>
    </w:p>
    <w:p>
      <w:pPr>
        <w:spacing w:line="242" w:lineRule="auto" w:before="109"/>
        <w:ind w:left="114" w:right="118" w:firstLine="287"/>
        <w:jc w:val="both"/>
        <w:rPr>
          <w:sz w:val="18"/>
        </w:rPr>
      </w:pPr>
      <w:r>
        <w:rPr>
          <w:rFonts w:ascii="Arial" w:hAnsi="Arial"/>
          <w:b/>
          <w:sz w:val="18"/>
        </w:rPr>
        <w:t>Ley de Disciplina Financiera de las Entidades Federativas y los Municipios (LDFEFM).- </w:t>
      </w:r>
      <w:r>
        <w:rPr>
          <w:sz w:val="18"/>
        </w:rPr>
        <w:t>Ley de orden público que </w:t>
      </w:r>
      <w:r>
        <w:rPr>
          <w:sz w:val="18"/>
        </w:rPr>
        <w:t>tiene como objeto establecer los criterios generales de responsabilidad hacendaria y financiera que regirán a las Entidades Federativas y los Municipios, así como a sus respectivos Entes Públicos, para un manejo sostenible de sus finanzas públicas.</w:t>
      </w:r>
    </w:p>
    <w:p>
      <w:pPr>
        <w:pStyle w:val="BodyText"/>
        <w:spacing w:line="242" w:lineRule="auto" w:before="93"/>
        <w:ind w:right="117"/>
      </w:pPr>
      <w:r>
        <w:rPr>
          <w:rFonts w:ascii="Arial" w:hAnsi="Arial"/>
          <w:b/>
        </w:rPr>
        <w:t>Ley Federal de Presupuesto y Responsabilidad Hacendaria (LFPRH).- </w:t>
      </w:r>
      <w:r>
        <w:rPr/>
        <w:t>Ley de orden público, que tiene por </w:t>
      </w:r>
      <w:r>
        <w:rPr/>
        <w:t>objeto reglamentar los artículos 74 fracción IV, 75, 126, 127 y 134 de la Constitución Política de los Estados Unidos Mexicanos, en materia de programación, presupuestación, aprobación, ejercicio, control y evaluación de los ingresos y egresos públicos </w:t>
      </w:r>
      <w:r>
        <w:rPr>
          <w:spacing w:val="-2"/>
        </w:rPr>
        <w:t>federales.</w:t>
      </w:r>
    </w:p>
    <w:p>
      <w:pPr>
        <w:pStyle w:val="BodyText"/>
        <w:spacing w:line="242" w:lineRule="auto" w:before="109"/>
      </w:pPr>
      <w:r>
        <w:rPr>
          <w:rFonts w:ascii="Arial" w:hAnsi="Arial"/>
          <w:b/>
        </w:rPr>
        <w:t>Material educativo de apoyo.- </w:t>
      </w:r>
      <w:r>
        <w:rPr/>
        <w:t>Es aquel utilizado con propósitos pedagógicos en el proceso educativo de las y los</w:t>
      </w:r>
      <w:r>
        <w:rPr>
          <w:spacing w:val="40"/>
        </w:rPr>
        <w:t> </w:t>
      </w:r>
      <w:r>
        <w:rPr/>
        <w:t>estudiantes con discapacidad, de manera que cada uno reciba una atención educativa con equidad y excelencia, acorde a sus capacidades, condiciones, necesidades, intereses y potencialidades.</w:t>
      </w:r>
    </w:p>
    <w:p>
      <w:pPr>
        <w:pStyle w:val="BodyText"/>
        <w:spacing w:before="107"/>
        <w:ind w:left="402" w:right="0" w:firstLine="0"/>
      </w:pPr>
      <w:r>
        <w:rPr>
          <w:rFonts w:ascii="Arial" w:hAnsi="Arial"/>
          <w:b/>
        </w:rPr>
        <w:t>Matrícula.- </w:t>
      </w:r>
      <w:r>
        <w:rPr/>
        <w:t>Conjunto de alumnas y alumnos inscritos durante un ciclo escolar en una institución o plantel </w:t>
      </w:r>
      <w:r>
        <w:rPr>
          <w:spacing w:val="-2"/>
        </w:rPr>
        <w:t>educativo.</w:t>
      </w:r>
    </w:p>
    <w:p>
      <w:pPr>
        <w:pStyle w:val="BodyText"/>
        <w:spacing w:line="242" w:lineRule="auto"/>
        <w:ind w:right="117"/>
      </w:pPr>
      <w:r>
        <w:rPr>
          <w:rFonts w:ascii="Arial" w:hAnsi="Arial"/>
          <w:b/>
        </w:rPr>
        <w:t>Matriz de Indicadores para Resultados (MIR).- </w:t>
      </w:r>
      <w:r>
        <w:rPr/>
        <w:t>Herramienta de planeación estratégica que en forma resumida, sencilla y armónica establece con claridad los objetivos del programa presupuestario y su alineación con aquellos de la planeación </w:t>
      </w:r>
      <w:r>
        <w:rPr/>
        <w:t>nacional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sobre los riesgos y contingencias que pueden afectar el desempeño del programa.</w:t>
      </w:r>
    </w:p>
    <w:p>
      <w:pPr>
        <w:pStyle w:val="BodyText"/>
        <w:spacing w:line="242" w:lineRule="auto" w:before="95"/>
      </w:pPr>
      <w:r>
        <w:rPr>
          <w:rFonts w:ascii="Arial" w:hAnsi="Arial"/>
          <w:b/>
        </w:rPr>
        <w:t>Metodología de Marco Lógico (MML).- </w:t>
      </w:r>
      <w:r>
        <w:rPr/>
        <w:t>Herramienta de planeación estratégica basada en la estructuración y solución de problemas, que permite organizar de manera sistémica y lógica los objetivos de un programa y sus relaciones de causalidad; identificar y definir los factores externos al programa que pueden influir en el cumplimiento de los objetivos; evaluar el avance en</w:t>
      </w:r>
      <w:r>
        <w:rPr>
          <w:spacing w:val="40"/>
        </w:rPr>
        <w:t> </w:t>
      </w:r>
      <w:r>
        <w:rPr/>
        <w:t>la</w:t>
      </w:r>
      <w:r>
        <w:rPr>
          <w:spacing w:val="-1"/>
        </w:rPr>
        <w:t> </w:t>
      </w:r>
      <w:r>
        <w:rPr/>
        <w:t>consecución</w:t>
      </w:r>
      <w:r>
        <w:rPr>
          <w:spacing w:val="-1"/>
        </w:rPr>
        <w:t> </w:t>
      </w:r>
      <w:r>
        <w:rPr/>
        <w:t>de</w:t>
      </w:r>
      <w:r>
        <w:rPr>
          <w:spacing w:val="-1"/>
        </w:rPr>
        <w:t> </w:t>
      </w:r>
      <w:r>
        <w:rPr/>
        <w:t>los</w:t>
      </w:r>
      <w:r>
        <w:rPr>
          <w:spacing w:val="-1"/>
        </w:rPr>
        <w:t> </w:t>
      </w:r>
      <w:r>
        <w:rPr/>
        <w:t>mismos,</w:t>
      </w:r>
      <w:r>
        <w:rPr>
          <w:spacing w:val="-1"/>
        </w:rPr>
        <w:t> </w:t>
      </w:r>
      <w:r>
        <w:rPr/>
        <w:t>así</w:t>
      </w:r>
      <w:r>
        <w:rPr>
          <w:spacing w:val="-1"/>
        </w:rPr>
        <w:t> </w:t>
      </w:r>
      <w:r>
        <w:rPr/>
        <w:t>como</w:t>
      </w:r>
      <w:r>
        <w:rPr>
          <w:spacing w:val="-1"/>
        </w:rPr>
        <w:t> </w:t>
      </w:r>
      <w:r>
        <w:rPr/>
        <w:t>examinar</w:t>
      </w:r>
      <w:r>
        <w:rPr>
          <w:spacing w:val="-1"/>
        </w:rPr>
        <w:t> </w:t>
      </w:r>
      <w:r>
        <w:rPr/>
        <w:t>el</w:t>
      </w:r>
      <w:r>
        <w:rPr>
          <w:spacing w:val="-1"/>
        </w:rPr>
        <w:t> </w:t>
      </w:r>
      <w:r>
        <w:rPr/>
        <w:t>desempeño</w:t>
      </w:r>
      <w:r>
        <w:rPr>
          <w:spacing w:val="-1"/>
        </w:rPr>
        <w:t> </w:t>
      </w:r>
      <w:r>
        <w:rPr/>
        <w:t>del</w:t>
      </w:r>
      <w:r>
        <w:rPr>
          <w:spacing w:val="-1"/>
        </w:rPr>
        <w:t> </w:t>
      </w:r>
      <w:r>
        <w:rPr/>
        <w:t>programa</w:t>
      </w:r>
      <w:r>
        <w:rPr>
          <w:spacing w:val="-1"/>
        </w:rPr>
        <w:t> </w:t>
      </w:r>
      <w:r>
        <w:rPr/>
        <w:t>en</w:t>
      </w:r>
      <w:r>
        <w:rPr>
          <w:spacing w:val="-1"/>
        </w:rPr>
        <w:t> </w:t>
      </w:r>
      <w:r>
        <w:rPr/>
        <w:t>todas</w:t>
      </w:r>
      <w:r>
        <w:rPr>
          <w:spacing w:val="-1"/>
        </w:rPr>
        <w:t> </w:t>
      </w:r>
      <w:r>
        <w:rPr/>
        <w:t>sus</w:t>
      </w:r>
      <w:r>
        <w:rPr>
          <w:spacing w:val="-1"/>
        </w:rPr>
        <w:t> </w:t>
      </w:r>
      <w:r>
        <w:rPr/>
        <w:t>etapas.</w:t>
      </w:r>
      <w:r>
        <w:rPr>
          <w:spacing w:val="-1"/>
        </w:rPr>
        <w:t> </w:t>
      </w:r>
      <w:r>
        <w:rPr/>
        <w:t>La</w:t>
      </w:r>
      <w:r>
        <w:rPr>
          <w:spacing w:val="-1"/>
        </w:rPr>
        <w:t> </w:t>
      </w:r>
      <w:r>
        <w:rPr/>
        <w:t>MML</w:t>
      </w:r>
      <w:r>
        <w:rPr>
          <w:spacing w:val="-8"/>
        </w:rPr>
        <w:t> </w:t>
      </w:r>
      <w:r>
        <w:rPr/>
        <w:t>facilita</w:t>
      </w:r>
      <w:r>
        <w:rPr>
          <w:spacing w:val="-1"/>
        </w:rPr>
        <w:t> </w:t>
      </w:r>
      <w:r>
        <w:rPr/>
        <w:t>el</w:t>
      </w:r>
      <w:r>
        <w:rPr>
          <w:spacing w:val="-1"/>
        </w:rPr>
        <w:t> </w:t>
      </w:r>
      <w:r>
        <w:rPr/>
        <w:t>proceso</w:t>
      </w:r>
      <w:r>
        <w:rPr>
          <w:spacing w:val="-1"/>
        </w:rPr>
        <w:t> </w:t>
      </w:r>
      <w:r>
        <w:rPr/>
        <w:t>de conceptualización y diseño de programas. Permite fortalecer la vinculación de la planeación con la programación.</w:t>
      </w:r>
    </w:p>
    <w:p>
      <w:pPr>
        <w:spacing w:after="0" w:line="242" w:lineRule="auto"/>
        <w:sectPr>
          <w:pgSz w:w="12240" w:h="15840"/>
          <w:pgMar w:header="269" w:footer="260" w:top="460" w:bottom="440" w:left="860" w:right="720"/>
        </w:sectPr>
      </w:pPr>
    </w:p>
    <w:p>
      <w:pPr>
        <w:pStyle w:val="BodyText"/>
        <w:spacing w:line="242" w:lineRule="auto" w:before="82"/>
        <w:ind w:right="117"/>
      </w:pPr>
      <w:r>
        <w:rPr>
          <w:rFonts w:ascii="Arial" w:hAnsi="Arial"/>
          <w:b/>
        </w:rPr>
        <w:t>Objetivos de Desarrollo Sostenible (ODS).- </w:t>
      </w:r>
      <w:r>
        <w:rPr/>
        <w:t>Son los compromisos adoptados por la Asamblea General de la </w:t>
      </w:r>
      <w:r>
        <w:rPr/>
        <w:t>Organización</w:t>
      </w:r>
      <w:r>
        <w:rPr>
          <w:spacing w:val="40"/>
        </w:rPr>
        <w:t> </w:t>
      </w:r>
      <w:r>
        <w:rPr/>
        <w:t>de las Naciones Unidas, tras más de dos años de un intenso proceso de consultas públicas y negociaciones, para guiar las acciones de la comunidad internacional hasta el 2030. Los ODS están formulados para erradicar la pobreza, promover la prosperidad y el bienestar para todos, proteger el medio ambiente y hacer frente al cambio climático a nivel mundial. En su conjunto, los 17 ODS y sus 169 metas conforman la Agenda 2030 para el Desarrollo Sostenible, son de carácter integrado e indivisible, de alcance mundial y de aplicación universal, tienen en cuenta las diferentes realidades, capacidades y niveles de desarrollo de cada país y respetan sus políticas y prioridades nacionales.</w:t>
      </w:r>
    </w:p>
    <w:p>
      <w:pPr>
        <w:spacing w:line="242" w:lineRule="auto" w:before="112"/>
        <w:ind w:left="114" w:right="118" w:firstLine="287"/>
        <w:jc w:val="both"/>
        <w:rPr>
          <w:sz w:val="18"/>
        </w:rPr>
      </w:pPr>
      <w:r>
        <w:rPr>
          <w:rFonts w:ascii="Arial" w:hAnsi="Arial"/>
          <w:b/>
          <w:sz w:val="18"/>
        </w:rPr>
        <w:t>Organismo Descentralizado.- </w:t>
      </w:r>
      <w:r>
        <w:rPr>
          <w:sz w:val="18"/>
        </w:rPr>
        <w:t>Entidad paraestatal, federal o local, con personalidad jurídica y patrimonio propio, que imparta </w:t>
      </w:r>
      <w:r>
        <w:rPr>
          <w:spacing w:val="-4"/>
          <w:sz w:val="18"/>
        </w:rPr>
        <w:t>EMS.</w:t>
      </w:r>
    </w:p>
    <w:p>
      <w:pPr>
        <w:spacing w:before="92"/>
        <w:ind w:left="402" w:right="0" w:firstLine="0"/>
        <w:jc w:val="both"/>
        <w:rPr>
          <w:sz w:val="18"/>
        </w:rPr>
      </w:pPr>
      <w:r>
        <w:rPr>
          <w:rFonts w:ascii="Arial" w:hAnsi="Arial"/>
          <w:b/>
          <w:sz w:val="18"/>
        </w:rPr>
        <w:t>Órgano Interno de Control (OIC).- </w:t>
      </w:r>
      <w:r>
        <w:rPr>
          <w:sz w:val="18"/>
        </w:rPr>
        <w:t>Órgano Interno de Control en la Secretaría de Educación Pública de la</w:t>
      </w:r>
      <w:r>
        <w:rPr>
          <w:spacing w:val="-10"/>
          <w:sz w:val="18"/>
        </w:rPr>
        <w:t> </w:t>
      </w:r>
      <w:r>
        <w:rPr>
          <w:spacing w:val="-4"/>
          <w:sz w:val="18"/>
        </w:rPr>
        <w:t>APF.</w:t>
      </w:r>
    </w:p>
    <w:p>
      <w:pPr>
        <w:pStyle w:val="BodyText"/>
        <w:spacing w:line="242" w:lineRule="auto"/>
        <w:ind w:right="117"/>
      </w:pPr>
      <w:r>
        <w:rPr>
          <w:rFonts w:ascii="Arial" w:hAnsi="Arial"/>
          <w:b/>
        </w:rPr>
        <w:t>Perspectiva de Género.- </w:t>
      </w:r>
      <w:r>
        <w:rPr/>
        <w:t>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pPr>
        <w:pStyle w:val="BodyText"/>
        <w:spacing w:line="242" w:lineRule="auto" w:before="93"/>
        <w:ind w:right="117"/>
      </w:pPr>
      <w:r>
        <w:rPr>
          <w:rFonts w:ascii="Arial" w:hAnsi="Arial"/>
          <w:b/>
        </w:rPr>
        <w:t>Plantel Público.- </w:t>
      </w:r>
      <w:r>
        <w:rPr/>
        <w:t>Establecimiento educativo de sostenimiento público que cuenta con un conjunto organizado de recursos humanos y físicos, que funciona bajo la autoridad de una directora o director o responsable, destinado a impartir educación del</w:t>
      </w:r>
      <w:r>
        <w:rPr>
          <w:spacing w:val="40"/>
        </w:rPr>
        <w:t> </w:t>
      </w:r>
      <w:r>
        <w:rPr/>
        <w:t>tipo medio superior a las y los estudiantes. En el Sistema Educativo Nacional se identifican a través de una clave de centro de trabajo única (CCT), los cuales se encuentran adscritos a los subsistemas de sostenimiento federal y estatal.</w:t>
      </w:r>
    </w:p>
    <w:p>
      <w:pPr>
        <w:pStyle w:val="BodyText"/>
        <w:spacing w:line="242" w:lineRule="auto" w:before="109"/>
      </w:pPr>
      <w:r>
        <w:rPr>
          <w:rFonts w:ascii="Arial" w:hAnsi="Arial"/>
          <w:b/>
        </w:rPr>
        <w:t>Presupuesto de Egresos de la Federación (PEF).- </w:t>
      </w:r>
      <w:r>
        <w:rPr/>
        <w:t>Es el acto legislativo que permite a la Administración pública usar </w:t>
      </w:r>
      <w:r>
        <w:rPr/>
        <w:t>los recursos monetarios del Estado durante un año fiscal. Presupuesto de Egresos de la Federación para el ejercicio fiscal 2024.</w:t>
      </w:r>
    </w:p>
    <w:p>
      <w:pPr>
        <w:spacing w:line="242" w:lineRule="auto" w:before="92"/>
        <w:ind w:left="114" w:right="118" w:firstLine="287"/>
        <w:jc w:val="both"/>
        <w:rPr>
          <w:sz w:val="18"/>
        </w:rPr>
      </w:pPr>
      <w:r>
        <w:rPr>
          <w:rFonts w:ascii="Arial" w:hAnsi="Arial"/>
          <w:b/>
          <w:sz w:val="18"/>
        </w:rPr>
        <w:t>Programa para la Atención de Planteles Públicos de Educación Media Superior con estudiantes con discapacidad (PAPPEMS).- </w:t>
      </w:r>
      <w:r>
        <w:rPr>
          <w:sz w:val="18"/>
        </w:rPr>
        <w:t>Programa para la</w:t>
      </w:r>
      <w:r>
        <w:rPr>
          <w:spacing w:val="-3"/>
          <w:sz w:val="18"/>
        </w:rPr>
        <w:t> </w:t>
      </w:r>
      <w:r>
        <w:rPr>
          <w:sz w:val="18"/>
        </w:rPr>
        <w:t>Atención de Planteles Públicos de Educación Media Superior con estudiantes con discapacidad, con clave presupuestaria S298.</w:t>
      </w:r>
    </w:p>
    <w:p>
      <w:pPr>
        <w:spacing w:line="242" w:lineRule="auto" w:before="108"/>
        <w:ind w:left="114" w:right="117" w:firstLine="287"/>
        <w:jc w:val="both"/>
        <w:rPr>
          <w:sz w:val="18"/>
        </w:rPr>
      </w:pPr>
      <w:r>
        <w:rPr>
          <w:rFonts w:ascii="Arial" w:hAnsi="Arial"/>
          <w:b/>
          <w:sz w:val="18"/>
        </w:rPr>
        <w:t>Proyecto para el Avance en la Atención de la Educación Media Superior para Estudiantes con Discapacidad.- </w:t>
      </w:r>
      <w:r>
        <w:rPr>
          <w:sz w:val="18"/>
        </w:rPr>
        <w:t>Documento elaborado por los planteles públicos de educación media superior, que contiene el diagnóstico y la propuesta de acciones y medios para alcanzar los resultados esperados en beneficio de las y los estudiantes con discapacidad.</w:t>
      </w:r>
    </w:p>
    <w:p>
      <w:pPr>
        <w:pStyle w:val="BodyText"/>
        <w:spacing w:line="242" w:lineRule="auto" w:before="93"/>
      </w:pPr>
      <w:r>
        <w:rPr>
          <w:rFonts w:ascii="Arial" w:hAnsi="Arial"/>
          <w:b/>
        </w:rPr>
        <w:t>Recibo de Ministración.- </w:t>
      </w:r>
      <w:r>
        <w:rPr/>
        <w:t>Documento justificativo para la entrega del apoyo mediante el cual se detalla la distribución de </w:t>
      </w:r>
      <w:r>
        <w:rPr/>
        <w:t>los recursos por entidad federativa y plantel público.</w:t>
      </w:r>
    </w:p>
    <w:p>
      <w:pPr>
        <w:spacing w:line="242" w:lineRule="auto" w:before="107"/>
        <w:ind w:left="114" w:right="117" w:firstLine="287"/>
        <w:jc w:val="both"/>
        <w:rPr>
          <w:sz w:val="18"/>
        </w:rPr>
      </w:pPr>
      <w:r>
        <w:rPr>
          <w:rFonts w:ascii="Arial" w:hAnsi="Arial"/>
          <w:b/>
          <w:sz w:val="18"/>
        </w:rPr>
        <w:t>Reglamento de la Ley Federal de Presupuesto y Responsabilidad Hacendaria (RLFPRH).- </w:t>
      </w:r>
      <w:r>
        <w:rPr>
          <w:sz w:val="18"/>
        </w:rPr>
        <w:t>Ordenamiento que tiene por objeto reglamentar la Ley Federal de Presupuesto y Responsabilidad Hacendaria en las materias de programación, presupuesto, aprobación, ejercicio, control y evaluación de los ingresos y egresos públicos federales.</w:t>
      </w:r>
    </w:p>
    <w:p>
      <w:pPr>
        <w:spacing w:before="92"/>
        <w:ind w:left="402" w:right="0" w:firstLine="0"/>
        <w:jc w:val="both"/>
        <w:rPr>
          <w:sz w:val="18"/>
        </w:rPr>
      </w:pPr>
      <w:r>
        <w:rPr>
          <w:rFonts w:ascii="Arial" w:hAnsi="Arial"/>
          <w:b/>
          <w:sz w:val="18"/>
        </w:rPr>
        <w:t>Reglas de Operación (RO).- </w:t>
      </w:r>
      <w:r>
        <w:rPr>
          <w:sz w:val="18"/>
        </w:rPr>
        <w:t>Las presentes Reglas de </w:t>
      </w:r>
      <w:r>
        <w:rPr>
          <w:spacing w:val="-2"/>
          <w:sz w:val="18"/>
        </w:rPr>
        <w:t>Operación.</w:t>
      </w:r>
    </w:p>
    <w:p>
      <w:pPr>
        <w:spacing w:before="108"/>
        <w:ind w:left="402" w:right="0" w:firstLine="0"/>
        <w:jc w:val="both"/>
        <w:rPr>
          <w:sz w:val="18"/>
        </w:rPr>
      </w:pPr>
      <w:r>
        <w:rPr>
          <w:rFonts w:ascii="Arial" w:hAnsi="Arial"/>
          <w:b/>
          <w:sz w:val="18"/>
        </w:rPr>
        <w:t>Secretaría de Educación Pública (SEP).- </w:t>
      </w:r>
      <w:r>
        <w:rPr>
          <w:sz w:val="18"/>
        </w:rPr>
        <w:t>Secretaría de Educación Pública de la</w:t>
      </w:r>
      <w:r>
        <w:rPr>
          <w:spacing w:val="-10"/>
          <w:sz w:val="18"/>
        </w:rPr>
        <w:t> </w:t>
      </w:r>
      <w:r>
        <w:rPr>
          <w:spacing w:val="-4"/>
          <w:sz w:val="18"/>
        </w:rPr>
        <w:t>APF.</w:t>
      </w:r>
    </w:p>
    <w:p>
      <w:pPr>
        <w:spacing w:before="93"/>
        <w:ind w:left="402" w:right="0" w:firstLine="0"/>
        <w:jc w:val="both"/>
        <w:rPr>
          <w:sz w:val="18"/>
        </w:rPr>
      </w:pPr>
      <w:r>
        <w:rPr>
          <w:rFonts w:ascii="Arial" w:hAnsi="Arial"/>
          <w:b/>
          <w:sz w:val="18"/>
        </w:rPr>
        <w:t>Secretaría de la Función Pública (SFP).- </w:t>
      </w:r>
      <w:r>
        <w:rPr>
          <w:sz w:val="18"/>
        </w:rPr>
        <w:t>Secretaría de la Función Pública de la</w:t>
      </w:r>
      <w:r>
        <w:rPr>
          <w:spacing w:val="-10"/>
          <w:sz w:val="18"/>
        </w:rPr>
        <w:t> </w:t>
      </w:r>
      <w:r>
        <w:rPr>
          <w:spacing w:val="-4"/>
          <w:sz w:val="18"/>
        </w:rPr>
        <w:t>APF.</w:t>
      </w:r>
    </w:p>
    <w:p>
      <w:pPr>
        <w:spacing w:before="108"/>
        <w:ind w:left="402" w:right="0" w:firstLine="0"/>
        <w:jc w:val="both"/>
        <w:rPr>
          <w:sz w:val="18"/>
        </w:rPr>
      </w:pPr>
      <w:r>
        <w:rPr>
          <w:rFonts w:ascii="Arial" w:hAnsi="Arial"/>
          <w:b/>
          <w:sz w:val="18"/>
        </w:rPr>
        <w:t>Secretaría de Hacienda y Crédito Público (SHCP).- </w:t>
      </w:r>
      <w:r>
        <w:rPr>
          <w:sz w:val="18"/>
        </w:rPr>
        <w:t>Secretaría de Hacienda y Crédito Público de la</w:t>
      </w:r>
      <w:r>
        <w:rPr>
          <w:spacing w:val="-10"/>
          <w:sz w:val="18"/>
        </w:rPr>
        <w:t> </w:t>
      </w:r>
      <w:r>
        <w:rPr>
          <w:spacing w:val="-4"/>
          <w:sz w:val="18"/>
        </w:rPr>
        <w:t>APF.</w:t>
      </w:r>
    </w:p>
    <w:p>
      <w:pPr>
        <w:pStyle w:val="BodyText"/>
        <w:spacing w:line="242" w:lineRule="auto" w:before="93"/>
        <w:ind w:right="117"/>
      </w:pPr>
      <w:r>
        <w:rPr>
          <w:rFonts w:ascii="Arial" w:hAnsi="Arial"/>
          <w:b/>
        </w:rPr>
        <w:t>Seguimiento.- </w:t>
      </w:r>
      <w:r>
        <w:rPr/>
        <w:t>Mecanismos de observación y recolección sistemática de datos sobre la ejecución de acciones, logro de objetivos y metas, así como el ejercicio de recursos transferidos del Programa, para evaluar los avances en el desarrollo de los Proyectos para el Avance en la Atención de la Educación Media Superior para Estudiantes con Discapacidad aprobados a los planteles públicos adscritos a estas.</w:t>
      </w:r>
    </w:p>
    <w:p>
      <w:pPr>
        <w:spacing w:before="109"/>
        <w:ind w:left="402" w:right="0" w:firstLine="0"/>
        <w:jc w:val="both"/>
        <w:rPr>
          <w:sz w:val="18"/>
        </w:rPr>
      </w:pPr>
      <w:r>
        <w:rPr>
          <w:rFonts w:ascii="Arial" w:hAnsi="Arial"/>
          <w:b/>
          <w:sz w:val="18"/>
        </w:rPr>
        <w:t>Servicios educativos.- </w:t>
      </w:r>
      <w:r>
        <w:rPr>
          <w:sz w:val="18"/>
        </w:rPr>
        <w:t>La educación media superior impartida en los planteles </w:t>
      </w:r>
      <w:r>
        <w:rPr>
          <w:spacing w:val="-2"/>
          <w:sz w:val="18"/>
        </w:rPr>
        <w:t>públicos.</w:t>
      </w:r>
    </w:p>
    <w:p>
      <w:pPr>
        <w:pStyle w:val="BodyText"/>
        <w:spacing w:line="242" w:lineRule="auto"/>
      </w:pPr>
      <w:r>
        <w:rPr>
          <w:rFonts w:ascii="Arial" w:hAnsi="Arial"/>
          <w:b/>
        </w:rPr>
        <w:t>Sistema</w:t>
      </w:r>
      <w:r>
        <w:rPr>
          <w:rFonts w:ascii="Arial" w:hAnsi="Arial"/>
          <w:b/>
          <w:spacing w:val="-4"/>
        </w:rPr>
        <w:t> </w:t>
      </w:r>
      <w:r>
        <w:rPr>
          <w:rFonts w:ascii="Arial" w:hAnsi="Arial"/>
          <w:b/>
        </w:rPr>
        <w:t>del</w:t>
      </w:r>
      <w:r>
        <w:rPr>
          <w:rFonts w:ascii="Arial" w:hAnsi="Arial"/>
          <w:b/>
          <w:spacing w:val="-4"/>
        </w:rPr>
        <w:t> </w:t>
      </w:r>
      <w:r>
        <w:rPr>
          <w:rFonts w:ascii="Arial" w:hAnsi="Arial"/>
          <w:b/>
        </w:rPr>
        <w:t>PAPPEMS.-</w:t>
      </w:r>
      <w:r>
        <w:rPr>
          <w:rFonts w:ascii="Arial" w:hAnsi="Arial"/>
          <w:b/>
          <w:spacing w:val="-4"/>
        </w:rPr>
        <w:t> </w:t>
      </w:r>
      <w:r>
        <w:rPr/>
        <w:t>Sistema</w:t>
      </w:r>
      <w:r>
        <w:rPr>
          <w:spacing w:val="-4"/>
        </w:rPr>
        <w:t> </w:t>
      </w:r>
      <w:r>
        <w:rPr/>
        <w:t>informático</w:t>
      </w:r>
      <w:r>
        <w:rPr>
          <w:spacing w:val="-4"/>
        </w:rPr>
        <w:t> </w:t>
      </w:r>
      <w:r>
        <w:rPr/>
        <w:t>de</w:t>
      </w:r>
      <w:r>
        <w:rPr>
          <w:spacing w:val="-4"/>
        </w:rPr>
        <w:t> </w:t>
      </w:r>
      <w:r>
        <w:rPr/>
        <w:t>la</w:t>
      </w:r>
      <w:r>
        <w:rPr>
          <w:spacing w:val="-4"/>
        </w:rPr>
        <w:t> </w:t>
      </w:r>
      <w:r>
        <w:rPr/>
        <w:t>Subsecretaría</w:t>
      </w:r>
      <w:r>
        <w:rPr>
          <w:spacing w:val="-4"/>
        </w:rPr>
        <w:t> </w:t>
      </w:r>
      <w:r>
        <w:rPr/>
        <w:t>de</w:t>
      </w:r>
      <w:r>
        <w:rPr>
          <w:spacing w:val="-4"/>
        </w:rPr>
        <w:t> </w:t>
      </w:r>
      <w:r>
        <w:rPr/>
        <w:t>Educación</w:t>
      </w:r>
      <w:r>
        <w:rPr>
          <w:spacing w:val="-4"/>
        </w:rPr>
        <w:t> </w:t>
      </w:r>
      <w:r>
        <w:rPr/>
        <w:t>Media</w:t>
      </w:r>
      <w:r>
        <w:rPr>
          <w:spacing w:val="-4"/>
        </w:rPr>
        <w:t> </w:t>
      </w:r>
      <w:r>
        <w:rPr/>
        <w:t>Superior,</w:t>
      </w:r>
      <w:r>
        <w:rPr>
          <w:spacing w:val="-4"/>
        </w:rPr>
        <w:t> </w:t>
      </w:r>
      <w:r>
        <w:rPr/>
        <w:t>cuyo</w:t>
      </w:r>
      <w:r>
        <w:rPr>
          <w:spacing w:val="-4"/>
        </w:rPr>
        <w:t> </w:t>
      </w:r>
      <w:r>
        <w:rPr/>
        <w:t>objetivo</w:t>
      </w:r>
      <w:r>
        <w:rPr>
          <w:spacing w:val="-4"/>
        </w:rPr>
        <w:t> </w:t>
      </w:r>
      <w:r>
        <w:rPr/>
        <w:t>es</w:t>
      </w:r>
      <w:r>
        <w:rPr>
          <w:spacing w:val="-4"/>
        </w:rPr>
        <w:t> </w:t>
      </w:r>
      <w:r>
        <w:rPr/>
        <w:t>llevar</w:t>
      </w:r>
      <w:r>
        <w:rPr>
          <w:spacing w:val="-4"/>
        </w:rPr>
        <w:t> </w:t>
      </w:r>
      <w:r>
        <w:rPr/>
        <w:t>a</w:t>
      </w:r>
      <w:r>
        <w:rPr>
          <w:spacing w:val="-4"/>
        </w:rPr>
        <w:t> </w:t>
      </w:r>
      <w:r>
        <w:rPr/>
        <w:t>cabo el registro, avance, supervisión y control de los apoyos financieros proporcionados por el programa en el tipo medio superior.</w:t>
      </w:r>
    </w:p>
    <w:p>
      <w:pPr>
        <w:pStyle w:val="BodyText"/>
        <w:spacing w:line="242" w:lineRule="auto" w:before="107"/>
        <w:ind w:right="117"/>
      </w:pPr>
      <w:r>
        <w:rPr>
          <w:rFonts w:ascii="Arial" w:hAnsi="Arial"/>
          <w:b/>
        </w:rPr>
        <w:t>Sistema Educativo Nacional (SEN).- </w:t>
      </w:r>
      <w:r>
        <w:rPr/>
        <w:t>El Sistema Educativo Nacional está compuesto por los tipos: Básico, Medio Superior y Superior, en las modalidades escolar, no escolarizada y mixta.</w:t>
      </w:r>
    </w:p>
    <w:p>
      <w:pPr>
        <w:pStyle w:val="BodyText"/>
        <w:spacing w:line="242" w:lineRule="auto" w:before="92"/>
        <w:ind w:right="117"/>
      </w:pPr>
      <w:r>
        <w:rPr>
          <w:rFonts w:ascii="Arial" w:hAnsi="Arial"/>
          <w:b/>
        </w:rPr>
        <w:t>Situación de vulnerabilidad.- </w:t>
      </w:r>
      <w:r>
        <w:rPr/>
        <w:t>Conjunto de circunstancias o condiciones, tales como edad, sexo, estado civil, origen étnico, discapacidad, aptitudes sobresalientes y/o condición migratoria, que impiden a las y los estudiantes, ingresar, permanecer y egresar de las instituciones públicas de educación en igualdad de condiciones respecto al resto de las y los estudiantes.</w:t>
      </w:r>
    </w:p>
    <w:p>
      <w:pPr>
        <w:spacing w:line="242" w:lineRule="auto" w:before="3"/>
        <w:ind w:left="114" w:right="118" w:firstLine="287"/>
        <w:jc w:val="both"/>
        <w:rPr>
          <w:sz w:val="18"/>
        </w:rPr>
      </w:pPr>
      <w:r>
        <w:rPr>
          <w:rFonts w:ascii="Arial" w:hAnsi="Arial"/>
          <w:b/>
          <w:sz w:val="18"/>
        </w:rPr>
        <w:t>Subsecretaría de Educación Media Superior (SEMS).- </w:t>
      </w:r>
      <w:r>
        <w:rPr>
          <w:sz w:val="18"/>
        </w:rPr>
        <w:t>Subsecretaría de Educación Media Superior adscrita a la </w:t>
      </w:r>
      <w:r>
        <w:rPr>
          <w:sz w:val="18"/>
        </w:rPr>
        <w:t>Secretaría de Educación Pública de la APF.</w:t>
      </w:r>
    </w:p>
    <w:p>
      <w:pPr>
        <w:pStyle w:val="BodyText"/>
        <w:spacing w:line="242" w:lineRule="auto" w:before="107"/>
      </w:pPr>
      <w:r>
        <w:rPr>
          <w:rFonts w:ascii="Arial" w:hAnsi="Arial"/>
          <w:b/>
        </w:rPr>
        <w:t>Subsidios.- </w:t>
      </w:r>
      <w:r>
        <w:rPr/>
        <w:t>Son las asignaciones de recursos federales previstas en el PEF que, a través de las dependencias y entidades,</w:t>
      </w:r>
      <w:r>
        <w:rPr>
          <w:spacing w:val="40"/>
        </w:rPr>
        <w:t> </w:t>
      </w:r>
      <w:r>
        <w:rPr/>
        <w:t>se otorgan a los diferentes sectores de la sociedad, a las Entidades Federativas o municipios para fomentar el desarrollo de actividades sociales o económicas prioritarias de interés general.</w:t>
      </w:r>
    </w:p>
    <w:p>
      <w:pPr>
        <w:spacing w:before="108"/>
        <w:ind w:left="402" w:right="0" w:firstLine="0"/>
        <w:jc w:val="both"/>
        <w:rPr>
          <w:sz w:val="18"/>
        </w:rPr>
      </w:pPr>
      <w:r>
        <w:rPr>
          <w:rFonts w:ascii="Arial" w:hAnsi="Arial"/>
          <w:b/>
          <w:color w:val="2E2E2E"/>
          <w:sz w:val="18"/>
        </w:rPr>
        <w:t>Subsistemas</w:t>
      </w:r>
      <w:r>
        <w:rPr>
          <w:rFonts w:ascii="Arial" w:hAnsi="Arial"/>
          <w:b/>
          <w:color w:val="2E2E2E"/>
          <w:spacing w:val="-7"/>
          <w:sz w:val="18"/>
        </w:rPr>
        <w:t> </w:t>
      </w:r>
      <w:r>
        <w:rPr>
          <w:rFonts w:ascii="Arial" w:hAnsi="Arial"/>
          <w:b/>
          <w:color w:val="2E2E2E"/>
          <w:sz w:val="18"/>
        </w:rPr>
        <w:t>Autónomos.- </w:t>
      </w:r>
      <w:r>
        <w:rPr>
          <w:color w:val="2E2E2E"/>
          <w:sz w:val="18"/>
        </w:rPr>
        <w:t>son los planteles de bachillerato que pertenecen a las universidades autónomas </w:t>
      </w:r>
      <w:r>
        <w:rPr>
          <w:color w:val="2E2E2E"/>
          <w:spacing w:val="-2"/>
          <w:sz w:val="18"/>
        </w:rPr>
        <w:t>estatales.</w:t>
      </w:r>
    </w:p>
    <w:p>
      <w:pPr>
        <w:pStyle w:val="BodyText"/>
        <w:spacing w:line="242" w:lineRule="auto" w:before="93"/>
      </w:pPr>
      <w:r>
        <w:rPr>
          <w:rFonts w:ascii="Arial" w:hAnsi="Arial"/>
          <w:b/>
        </w:rPr>
        <w:t>Subsistemas Centralizados Federales.- </w:t>
      </w:r>
      <w:r>
        <w:rPr/>
        <w:t>Categoría a la que pertenecen los planteles de la Dirección General de Educación Tecnológica Industrial y de Servicios (DGETI); la Dirección General de Educación Tecnológica Agropecuaria y Ciencias del </w:t>
      </w:r>
      <w:r>
        <w:rPr/>
        <w:t>Mar (DGETAyCM); la Dirección General del Bachillerato (DGB); Dirección General del Bachillerato Tecnológico de Educación y Promoción Deportiva (DGBTED) y la Dirección General de Centros de Formación para el Trabajo (DGCFT).</w:t>
      </w:r>
    </w:p>
    <w:p>
      <w:pPr>
        <w:pStyle w:val="BodyText"/>
        <w:spacing w:line="242" w:lineRule="auto"/>
        <w:ind w:right="117"/>
      </w:pPr>
      <w:r>
        <w:rPr>
          <w:rFonts w:ascii="Arial" w:hAnsi="Arial"/>
          <w:b/>
          <w:color w:val="2E2E2E"/>
        </w:rPr>
        <w:t>Subsistemas Descentralizados Estatales.- </w:t>
      </w:r>
      <w:r>
        <w:rPr>
          <w:color w:val="2E2E2E"/>
        </w:rPr>
        <w:t>Organismos Descentralizados Estatales (ODES) como los colegios estatales del CONALEP,</w:t>
      </w:r>
      <w:r>
        <w:rPr>
          <w:color w:val="2E2E2E"/>
          <w:spacing w:val="50"/>
        </w:rPr>
        <w:t> </w:t>
      </w:r>
      <w:r>
        <w:rPr>
          <w:color w:val="2E2E2E"/>
        </w:rPr>
        <w:t>CECyTE</w:t>
      </w:r>
      <w:r>
        <w:rPr>
          <w:color w:val="2E2E2E"/>
          <w:spacing w:val="50"/>
        </w:rPr>
        <w:t> </w:t>
      </w:r>
      <w:r>
        <w:rPr>
          <w:color w:val="2E2E2E"/>
        </w:rPr>
        <w:t>y</w:t>
      </w:r>
      <w:r>
        <w:rPr>
          <w:color w:val="2E2E2E"/>
          <w:spacing w:val="50"/>
        </w:rPr>
        <w:t> </w:t>
      </w:r>
      <w:r>
        <w:rPr>
          <w:color w:val="2E2E2E"/>
        </w:rPr>
        <w:t>los</w:t>
      </w:r>
      <w:r>
        <w:rPr>
          <w:color w:val="2E2E2E"/>
          <w:spacing w:val="51"/>
        </w:rPr>
        <w:t> </w:t>
      </w:r>
      <w:r>
        <w:rPr>
          <w:color w:val="2E2E2E"/>
        </w:rPr>
        <w:t>Colegios</w:t>
      </w:r>
      <w:r>
        <w:rPr>
          <w:color w:val="2E2E2E"/>
          <w:spacing w:val="50"/>
        </w:rPr>
        <w:t> </w:t>
      </w:r>
      <w:r>
        <w:rPr>
          <w:color w:val="2E2E2E"/>
        </w:rPr>
        <w:t>de</w:t>
      </w:r>
      <w:r>
        <w:rPr>
          <w:color w:val="2E2E2E"/>
          <w:spacing w:val="50"/>
        </w:rPr>
        <w:t> </w:t>
      </w:r>
      <w:r>
        <w:rPr>
          <w:color w:val="2E2E2E"/>
        </w:rPr>
        <w:t>Bachilleres</w:t>
      </w:r>
      <w:r>
        <w:rPr>
          <w:color w:val="2E2E2E"/>
          <w:spacing w:val="51"/>
        </w:rPr>
        <w:t> </w:t>
      </w:r>
      <w:r>
        <w:rPr>
          <w:color w:val="2E2E2E"/>
        </w:rPr>
        <w:t>Estatales</w:t>
      </w:r>
      <w:r>
        <w:rPr>
          <w:color w:val="2E2E2E"/>
          <w:spacing w:val="50"/>
        </w:rPr>
        <w:t> </w:t>
      </w:r>
      <w:r>
        <w:rPr>
          <w:color w:val="2E2E2E"/>
        </w:rPr>
        <w:t>(COBAES),</w:t>
      </w:r>
      <w:r>
        <w:rPr>
          <w:color w:val="2E2E2E"/>
          <w:spacing w:val="50"/>
        </w:rPr>
        <w:t> </w:t>
      </w:r>
      <w:r>
        <w:rPr>
          <w:color w:val="2E2E2E"/>
        </w:rPr>
        <w:t>Educación</w:t>
      </w:r>
      <w:r>
        <w:rPr>
          <w:color w:val="2E2E2E"/>
          <w:spacing w:val="50"/>
        </w:rPr>
        <w:t> </w:t>
      </w:r>
      <w:r>
        <w:rPr>
          <w:color w:val="2E2E2E"/>
        </w:rPr>
        <w:t>Media</w:t>
      </w:r>
      <w:r>
        <w:rPr>
          <w:color w:val="2E2E2E"/>
          <w:spacing w:val="51"/>
        </w:rPr>
        <w:t> </w:t>
      </w:r>
      <w:r>
        <w:rPr>
          <w:color w:val="2E2E2E"/>
        </w:rPr>
        <w:t>Superior</w:t>
      </w:r>
      <w:r>
        <w:rPr>
          <w:color w:val="2E2E2E"/>
          <w:spacing w:val="50"/>
        </w:rPr>
        <w:t> </w:t>
      </w:r>
      <w:r>
        <w:rPr>
          <w:color w:val="2E2E2E"/>
        </w:rPr>
        <w:t>a</w:t>
      </w:r>
      <w:r>
        <w:rPr>
          <w:color w:val="2E2E2E"/>
          <w:spacing w:val="50"/>
        </w:rPr>
        <w:t> </w:t>
      </w:r>
      <w:r>
        <w:rPr>
          <w:color w:val="2E2E2E"/>
        </w:rPr>
        <w:t>Distancia</w:t>
      </w:r>
      <w:r>
        <w:rPr>
          <w:color w:val="2E2E2E"/>
          <w:spacing w:val="51"/>
        </w:rPr>
        <w:t> </w:t>
      </w:r>
      <w:r>
        <w:rPr>
          <w:color w:val="2E2E2E"/>
          <w:spacing w:val="-2"/>
        </w:rPr>
        <w:t>(EMSaD),</w:t>
      </w:r>
    </w:p>
    <w:p>
      <w:pPr>
        <w:spacing w:after="0" w:line="242" w:lineRule="auto"/>
        <w:sectPr>
          <w:pgSz w:w="12240" w:h="15840"/>
          <w:pgMar w:header="269" w:footer="260" w:top="460" w:bottom="440" w:left="860" w:right="720"/>
        </w:sectPr>
      </w:pPr>
    </w:p>
    <w:p>
      <w:pPr>
        <w:pStyle w:val="BodyText"/>
        <w:spacing w:before="82"/>
        <w:ind w:right="0" w:firstLine="0"/>
        <w:jc w:val="left"/>
      </w:pPr>
      <w:r>
        <w:rPr>
          <w:color w:val="2E2E2E"/>
        </w:rPr>
        <w:t>Telebachillerato</w:t>
      </w:r>
      <w:r>
        <w:rPr>
          <w:color w:val="2E2E2E"/>
          <w:spacing w:val="-6"/>
        </w:rPr>
        <w:t> </w:t>
      </w:r>
      <w:r>
        <w:rPr>
          <w:color w:val="2E2E2E"/>
        </w:rPr>
        <w:t>Comunitario</w:t>
      </w:r>
      <w:r>
        <w:rPr>
          <w:color w:val="2E2E2E"/>
          <w:spacing w:val="-4"/>
        </w:rPr>
        <w:t> </w:t>
      </w:r>
      <w:r>
        <w:rPr>
          <w:color w:val="2E2E2E"/>
        </w:rPr>
        <w:t>(TBC),</w:t>
      </w:r>
      <w:r>
        <w:rPr>
          <w:color w:val="2E2E2E"/>
          <w:spacing w:val="-4"/>
        </w:rPr>
        <w:t> </w:t>
      </w:r>
      <w:r>
        <w:rPr>
          <w:color w:val="2E2E2E"/>
        </w:rPr>
        <w:t>Bachillerato</w:t>
      </w:r>
      <w:r>
        <w:rPr>
          <w:color w:val="2E2E2E"/>
          <w:spacing w:val="-4"/>
        </w:rPr>
        <w:t> </w:t>
      </w:r>
      <w:r>
        <w:rPr>
          <w:color w:val="2E2E2E"/>
        </w:rPr>
        <w:t>Intercultural</w:t>
      </w:r>
      <w:r>
        <w:rPr>
          <w:color w:val="2E2E2E"/>
          <w:spacing w:val="-4"/>
        </w:rPr>
        <w:t> </w:t>
      </w:r>
      <w:r>
        <w:rPr>
          <w:color w:val="2E2E2E"/>
          <w:spacing w:val="-2"/>
        </w:rPr>
        <w:t>Bilingüe</w:t>
      </w:r>
    </w:p>
    <w:p>
      <w:pPr>
        <w:pStyle w:val="BodyText"/>
        <w:spacing w:line="242" w:lineRule="auto"/>
      </w:pPr>
      <w:r>
        <w:rPr>
          <w:rFonts w:ascii="Arial" w:hAnsi="Arial"/>
          <w:b/>
          <w:color w:val="2E2E2E"/>
        </w:rPr>
        <w:t>Subsistemas Descentralizados Federales.- </w:t>
      </w:r>
      <w:r>
        <w:rPr>
          <w:color w:val="2E2E2E"/>
        </w:rPr>
        <w:t>A esta categoría pertenecen los planteles del Colegio de </w:t>
      </w:r>
      <w:r>
        <w:rPr>
          <w:color w:val="2E2E2E"/>
        </w:rPr>
        <w:t>Bachilleres (COLBACH),</w:t>
      </w:r>
      <w:r>
        <w:rPr>
          <w:color w:val="2E2E2E"/>
          <w:spacing w:val="-1"/>
        </w:rPr>
        <w:t> </w:t>
      </w:r>
      <w:r>
        <w:rPr>
          <w:color w:val="2E2E2E"/>
        </w:rPr>
        <w:t>el</w:t>
      </w:r>
      <w:r>
        <w:rPr>
          <w:color w:val="2E2E2E"/>
          <w:spacing w:val="-1"/>
        </w:rPr>
        <w:t> </w:t>
      </w:r>
      <w:r>
        <w:rPr>
          <w:color w:val="2E2E2E"/>
        </w:rPr>
        <w:t>Colegio</w:t>
      </w:r>
      <w:r>
        <w:rPr>
          <w:color w:val="2E2E2E"/>
          <w:spacing w:val="-1"/>
        </w:rPr>
        <w:t> </w:t>
      </w:r>
      <w:r>
        <w:rPr>
          <w:color w:val="2E2E2E"/>
        </w:rPr>
        <w:t>Nacional</w:t>
      </w:r>
      <w:r>
        <w:rPr>
          <w:color w:val="2E2E2E"/>
          <w:spacing w:val="-1"/>
        </w:rPr>
        <w:t> </w:t>
      </w:r>
      <w:r>
        <w:rPr>
          <w:color w:val="2E2E2E"/>
        </w:rPr>
        <w:t>de</w:t>
      </w:r>
      <w:r>
        <w:rPr>
          <w:color w:val="2E2E2E"/>
          <w:spacing w:val="-1"/>
        </w:rPr>
        <w:t> </w:t>
      </w:r>
      <w:r>
        <w:rPr>
          <w:color w:val="2E2E2E"/>
        </w:rPr>
        <w:t>Educación</w:t>
      </w:r>
      <w:r>
        <w:rPr>
          <w:color w:val="2E2E2E"/>
          <w:spacing w:val="-1"/>
        </w:rPr>
        <w:t> </w:t>
      </w:r>
      <w:r>
        <w:rPr>
          <w:color w:val="2E2E2E"/>
        </w:rPr>
        <w:t>Profesional</w:t>
      </w:r>
      <w:r>
        <w:rPr>
          <w:color w:val="2E2E2E"/>
          <w:spacing w:val="-5"/>
        </w:rPr>
        <w:t> </w:t>
      </w:r>
      <w:r>
        <w:rPr>
          <w:color w:val="2E2E2E"/>
        </w:rPr>
        <w:t>Técnica</w:t>
      </w:r>
      <w:r>
        <w:rPr>
          <w:color w:val="2E2E2E"/>
          <w:spacing w:val="-1"/>
        </w:rPr>
        <w:t> </w:t>
      </w:r>
      <w:r>
        <w:rPr>
          <w:color w:val="2E2E2E"/>
        </w:rPr>
        <w:t>(CONALEP)</w:t>
      </w:r>
      <w:r>
        <w:rPr>
          <w:color w:val="2E2E2E"/>
          <w:spacing w:val="-1"/>
        </w:rPr>
        <w:t> </w:t>
      </w:r>
      <w:r>
        <w:rPr>
          <w:color w:val="2E2E2E"/>
        </w:rPr>
        <w:t>en</w:t>
      </w:r>
      <w:r>
        <w:rPr>
          <w:color w:val="2E2E2E"/>
          <w:spacing w:val="-1"/>
        </w:rPr>
        <w:t> </w:t>
      </w:r>
      <w:r>
        <w:rPr>
          <w:color w:val="2E2E2E"/>
        </w:rPr>
        <w:t>la</w:t>
      </w:r>
      <w:r>
        <w:rPr>
          <w:color w:val="2E2E2E"/>
          <w:spacing w:val="-1"/>
        </w:rPr>
        <w:t> </w:t>
      </w:r>
      <w:r>
        <w:rPr>
          <w:color w:val="2E2E2E"/>
        </w:rPr>
        <w:t>Ciudad</w:t>
      </w:r>
      <w:r>
        <w:rPr>
          <w:color w:val="2E2E2E"/>
          <w:spacing w:val="-1"/>
        </w:rPr>
        <w:t> </w:t>
      </w:r>
      <w:r>
        <w:rPr>
          <w:color w:val="2E2E2E"/>
        </w:rPr>
        <w:t>de</w:t>
      </w:r>
      <w:r>
        <w:rPr>
          <w:color w:val="2E2E2E"/>
          <w:spacing w:val="-1"/>
        </w:rPr>
        <w:t> </w:t>
      </w:r>
      <w:r>
        <w:rPr>
          <w:color w:val="2E2E2E"/>
        </w:rPr>
        <w:t>México</w:t>
      </w:r>
      <w:r>
        <w:rPr>
          <w:color w:val="2E2E2E"/>
          <w:spacing w:val="-1"/>
        </w:rPr>
        <w:t> </w:t>
      </w:r>
      <w:r>
        <w:rPr>
          <w:color w:val="2E2E2E"/>
        </w:rPr>
        <w:t>y</w:t>
      </w:r>
      <w:r>
        <w:rPr>
          <w:color w:val="2E2E2E"/>
          <w:spacing w:val="-1"/>
        </w:rPr>
        <w:t> </w:t>
      </w:r>
      <w:r>
        <w:rPr>
          <w:color w:val="2E2E2E"/>
        </w:rPr>
        <w:t>Oaxaca,</w:t>
      </w:r>
      <w:r>
        <w:rPr>
          <w:color w:val="2E2E2E"/>
          <w:spacing w:val="-1"/>
        </w:rPr>
        <w:t> </w:t>
      </w:r>
      <w:r>
        <w:rPr>
          <w:color w:val="2E2E2E"/>
        </w:rPr>
        <w:t>y</w:t>
      </w:r>
      <w:r>
        <w:rPr>
          <w:color w:val="2E2E2E"/>
          <w:spacing w:val="-1"/>
        </w:rPr>
        <w:t> </w:t>
      </w:r>
      <w:r>
        <w:rPr>
          <w:color w:val="2E2E2E"/>
        </w:rPr>
        <w:t>el</w:t>
      </w:r>
      <w:r>
        <w:rPr>
          <w:color w:val="2E2E2E"/>
          <w:spacing w:val="-1"/>
        </w:rPr>
        <w:t> </w:t>
      </w:r>
      <w:r>
        <w:rPr>
          <w:color w:val="2E2E2E"/>
        </w:rPr>
        <w:t>Centro</w:t>
      </w:r>
      <w:r>
        <w:rPr>
          <w:color w:val="2E2E2E"/>
          <w:spacing w:val="-1"/>
        </w:rPr>
        <w:t> </w:t>
      </w:r>
      <w:r>
        <w:rPr>
          <w:color w:val="2E2E2E"/>
        </w:rPr>
        <w:t>de Enseñanza Técnica Industrial (CETI).</w:t>
      </w:r>
    </w:p>
    <w:p>
      <w:pPr>
        <w:spacing w:before="93"/>
        <w:ind w:left="402" w:right="0" w:firstLine="0"/>
        <w:jc w:val="both"/>
        <w:rPr>
          <w:sz w:val="18"/>
        </w:rPr>
      </w:pPr>
      <w:r>
        <w:rPr>
          <w:rFonts w:ascii="Arial" w:hAnsi="Arial"/>
          <w:b/>
          <w:sz w:val="18"/>
        </w:rPr>
        <w:t>TESOFE.-</w:t>
      </w:r>
      <w:r>
        <w:rPr>
          <w:rFonts w:ascii="Arial" w:hAnsi="Arial"/>
          <w:b/>
          <w:spacing w:val="-5"/>
          <w:sz w:val="18"/>
        </w:rPr>
        <w:t> </w:t>
      </w:r>
      <w:r>
        <w:rPr>
          <w:sz w:val="18"/>
        </w:rPr>
        <w:t>Tesorería</w:t>
      </w:r>
      <w:r>
        <w:rPr>
          <w:spacing w:val="-5"/>
          <w:sz w:val="18"/>
        </w:rPr>
        <w:t> </w:t>
      </w:r>
      <w:r>
        <w:rPr>
          <w:sz w:val="18"/>
        </w:rPr>
        <w:t>de</w:t>
      </w:r>
      <w:r>
        <w:rPr>
          <w:spacing w:val="-5"/>
          <w:sz w:val="18"/>
        </w:rPr>
        <w:t> </w:t>
      </w:r>
      <w:r>
        <w:rPr>
          <w:sz w:val="18"/>
        </w:rPr>
        <w:t>la</w:t>
      </w:r>
      <w:r>
        <w:rPr>
          <w:spacing w:val="-5"/>
          <w:sz w:val="18"/>
        </w:rPr>
        <w:t> </w:t>
      </w:r>
      <w:r>
        <w:rPr>
          <w:spacing w:val="-2"/>
          <w:sz w:val="18"/>
        </w:rPr>
        <w:t>Federación.</w:t>
      </w:r>
    </w:p>
    <w:p>
      <w:pPr>
        <w:pStyle w:val="Heading2"/>
        <w:jc w:val="both"/>
      </w:pPr>
      <w:r>
        <w:rPr>
          <w:color w:val="2E2E2E"/>
        </w:rPr>
        <w:t>Tipos</w:t>
      </w:r>
      <w:r>
        <w:rPr>
          <w:color w:val="2E2E2E"/>
          <w:spacing w:val="-2"/>
        </w:rPr>
        <w:t> </w:t>
      </w:r>
      <w:r>
        <w:rPr>
          <w:color w:val="2E2E2E"/>
        </w:rPr>
        <w:t>de</w:t>
      </w:r>
      <w:r>
        <w:rPr>
          <w:color w:val="2E2E2E"/>
          <w:spacing w:val="-2"/>
        </w:rPr>
        <w:t> discapacidad.-</w:t>
      </w:r>
    </w:p>
    <w:p>
      <w:pPr>
        <w:pStyle w:val="BodyText"/>
        <w:spacing w:line="242" w:lineRule="auto"/>
      </w:pPr>
      <w:r>
        <w:rPr>
          <w:color w:val="2E2E2E"/>
        </w:rPr>
        <w:t>Física o Motora: Limitaciones en la movilidad o funcionamiento de extremidades o partes del cuerpo debido a </w:t>
      </w:r>
      <w:r>
        <w:rPr>
          <w:color w:val="2E2E2E"/>
        </w:rPr>
        <w:t>parálisis, amputaciones, enfermedades neuromusculares, lesiones de la médula espinal, entre otros.</w:t>
      </w:r>
    </w:p>
    <w:p>
      <w:pPr>
        <w:pStyle w:val="BodyText"/>
        <w:spacing w:line="242" w:lineRule="auto" w:before="107"/>
      </w:pPr>
      <w:r>
        <w:rPr>
          <w:color w:val="2E2E2E"/>
        </w:rPr>
        <w:t>Sensorial:</w:t>
      </w:r>
      <w:r>
        <w:rPr>
          <w:color w:val="2E2E2E"/>
          <w:spacing w:val="-1"/>
        </w:rPr>
        <w:t> </w:t>
      </w:r>
      <w:r>
        <w:rPr>
          <w:color w:val="2E2E2E"/>
        </w:rPr>
        <w:t>Discapacidad</w:t>
      </w:r>
      <w:r>
        <w:rPr>
          <w:color w:val="2E2E2E"/>
          <w:spacing w:val="-1"/>
        </w:rPr>
        <w:t> </w:t>
      </w:r>
      <w:r>
        <w:rPr>
          <w:color w:val="2E2E2E"/>
        </w:rPr>
        <w:t>visual</w:t>
      </w:r>
      <w:r>
        <w:rPr>
          <w:color w:val="2E2E2E"/>
          <w:spacing w:val="-1"/>
        </w:rPr>
        <w:t> </w:t>
      </w:r>
      <w:r>
        <w:rPr>
          <w:color w:val="2E2E2E"/>
        </w:rPr>
        <w:t>(ceguera</w:t>
      </w:r>
      <w:r>
        <w:rPr>
          <w:color w:val="2E2E2E"/>
          <w:spacing w:val="-1"/>
        </w:rPr>
        <w:t> </w:t>
      </w:r>
      <w:r>
        <w:rPr>
          <w:color w:val="2E2E2E"/>
        </w:rPr>
        <w:t>total)</w:t>
      </w:r>
      <w:r>
        <w:rPr>
          <w:color w:val="2E2E2E"/>
          <w:spacing w:val="-1"/>
        </w:rPr>
        <w:t> </w:t>
      </w:r>
      <w:r>
        <w:rPr>
          <w:color w:val="2E2E2E"/>
        </w:rPr>
        <w:t>debido</w:t>
      </w:r>
      <w:r>
        <w:rPr>
          <w:color w:val="2E2E2E"/>
          <w:spacing w:val="-1"/>
        </w:rPr>
        <w:t> </w:t>
      </w:r>
      <w:r>
        <w:rPr>
          <w:color w:val="2E2E2E"/>
        </w:rPr>
        <w:t>a</w:t>
      </w:r>
      <w:r>
        <w:rPr>
          <w:color w:val="2E2E2E"/>
          <w:spacing w:val="-1"/>
        </w:rPr>
        <w:t> </w:t>
      </w:r>
      <w:r>
        <w:rPr>
          <w:color w:val="2E2E2E"/>
        </w:rPr>
        <w:t>trastornos</w:t>
      </w:r>
      <w:r>
        <w:rPr>
          <w:color w:val="2E2E2E"/>
          <w:spacing w:val="-1"/>
        </w:rPr>
        <w:t> </w:t>
      </w:r>
      <w:r>
        <w:rPr>
          <w:color w:val="2E2E2E"/>
        </w:rPr>
        <w:t>oculares</w:t>
      </w:r>
      <w:r>
        <w:rPr>
          <w:color w:val="2E2E2E"/>
          <w:spacing w:val="-1"/>
        </w:rPr>
        <w:t> </w:t>
      </w:r>
      <w:r>
        <w:rPr>
          <w:color w:val="2E2E2E"/>
        </w:rPr>
        <w:t>o</w:t>
      </w:r>
      <w:r>
        <w:rPr>
          <w:color w:val="2E2E2E"/>
          <w:spacing w:val="-1"/>
        </w:rPr>
        <w:t> </w:t>
      </w:r>
      <w:r>
        <w:rPr>
          <w:color w:val="2E2E2E"/>
        </w:rPr>
        <w:t>degenerativos,</w:t>
      </w:r>
      <w:r>
        <w:rPr>
          <w:color w:val="2E2E2E"/>
          <w:spacing w:val="-1"/>
        </w:rPr>
        <w:t> </w:t>
      </w:r>
      <w:r>
        <w:rPr>
          <w:color w:val="2E2E2E"/>
        </w:rPr>
        <w:t>retinopatía,</w:t>
      </w:r>
      <w:r>
        <w:rPr>
          <w:color w:val="2E2E2E"/>
          <w:spacing w:val="-1"/>
        </w:rPr>
        <w:t> </w:t>
      </w:r>
      <w:r>
        <w:rPr>
          <w:color w:val="2E2E2E"/>
        </w:rPr>
        <w:t>cataratas,</w:t>
      </w:r>
      <w:r>
        <w:rPr>
          <w:color w:val="2E2E2E"/>
          <w:spacing w:val="-1"/>
        </w:rPr>
        <w:t> </w:t>
      </w:r>
      <w:r>
        <w:rPr>
          <w:color w:val="2E2E2E"/>
        </w:rPr>
        <w:t>entre</w:t>
      </w:r>
      <w:r>
        <w:rPr>
          <w:color w:val="2E2E2E"/>
          <w:spacing w:val="-1"/>
        </w:rPr>
        <w:t> </w:t>
      </w:r>
      <w:r>
        <w:rPr>
          <w:color w:val="2E2E2E"/>
        </w:rPr>
        <w:t>otros. No está considerada la ceguera parcial definida como miopía y/o astigmatismo; Discapacidad auditiva (sordera total) debido a condiciones en el oído, enfermedades del oído interno, entre otros.</w:t>
      </w:r>
    </w:p>
    <w:p>
      <w:pPr>
        <w:pStyle w:val="BodyText"/>
        <w:spacing w:line="242" w:lineRule="auto" w:before="93"/>
      </w:pPr>
      <w:r>
        <w:rPr>
          <w:color w:val="2E2E2E"/>
        </w:rPr>
        <w:t>Intelectual o del Desarrollo: Limitaciones en las capacidades cognitivas y adaptativas, como retraso mental, trastorno </w:t>
      </w:r>
      <w:r>
        <w:rPr>
          <w:color w:val="2E2E2E"/>
        </w:rPr>
        <w:t>del espectro autista, síndrome de Down, entre otros.</w:t>
      </w:r>
    </w:p>
    <w:p>
      <w:pPr>
        <w:pStyle w:val="BodyText"/>
        <w:spacing w:before="107"/>
        <w:ind w:left="402" w:right="0" w:firstLine="0"/>
      </w:pPr>
      <w:r>
        <w:rPr>
          <w:color w:val="2E2E2E"/>
        </w:rPr>
        <w:t>Psicosocial</w:t>
      </w:r>
      <w:r>
        <w:rPr>
          <w:color w:val="2E2E2E"/>
          <w:spacing w:val="-1"/>
        </w:rPr>
        <w:t> </w:t>
      </w:r>
      <w:r>
        <w:rPr>
          <w:color w:val="2E2E2E"/>
        </w:rPr>
        <w:t>o de</w:t>
      </w:r>
      <w:r>
        <w:rPr>
          <w:color w:val="2E2E2E"/>
          <w:spacing w:val="-1"/>
        </w:rPr>
        <w:t> </w:t>
      </w:r>
      <w:r>
        <w:rPr>
          <w:color w:val="2E2E2E"/>
        </w:rPr>
        <w:t>Salud</w:t>
      </w:r>
      <w:r>
        <w:rPr>
          <w:color w:val="2E2E2E"/>
          <w:spacing w:val="-1"/>
        </w:rPr>
        <w:t> </w:t>
      </w:r>
      <w:r>
        <w:rPr>
          <w:color w:val="2E2E2E"/>
        </w:rPr>
        <w:t>Mental:</w:t>
      </w:r>
      <w:r>
        <w:rPr>
          <w:color w:val="2E2E2E"/>
          <w:spacing w:val="-4"/>
        </w:rPr>
        <w:t> </w:t>
      </w:r>
      <w:r>
        <w:rPr>
          <w:color w:val="2E2E2E"/>
        </w:rPr>
        <w:t>Trastorno por</w:t>
      </w:r>
      <w:r>
        <w:rPr>
          <w:color w:val="2E2E2E"/>
          <w:spacing w:val="-1"/>
        </w:rPr>
        <w:t> </w:t>
      </w:r>
      <w:r>
        <w:rPr>
          <w:color w:val="2E2E2E"/>
        </w:rPr>
        <w:t>déficit de</w:t>
      </w:r>
      <w:r>
        <w:rPr>
          <w:color w:val="2E2E2E"/>
          <w:spacing w:val="-1"/>
        </w:rPr>
        <w:t> </w:t>
      </w:r>
      <w:r>
        <w:rPr>
          <w:color w:val="2E2E2E"/>
        </w:rPr>
        <w:t>atención e</w:t>
      </w:r>
      <w:r>
        <w:rPr>
          <w:color w:val="2E2E2E"/>
          <w:spacing w:val="-1"/>
        </w:rPr>
        <w:t> </w:t>
      </w:r>
      <w:r>
        <w:rPr>
          <w:color w:val="2E2E2E"/>
        </w:rPr>
        <w:t>hiperactividad (TDAH),</w:t>
      </w:r>
      <w:r>
        <w:rPr>
          <w:color w:val="2E2E2E"/>
          <w:spacing w:val="-1"/>
        </w:rPr>
        <w:t> </w:t>
      </w:r>
      <w:r>
        <w:rPr>
          <w:color w:val="2E2E2E"/>
        </w:rPr>
        <w:t>entre </w:t>
      </w:r>
      <w:r>
        <w:rPr>
          <w:color w:val="2E2E2E"/>
          <w:spacing w:val="-2"/>
        </w:rPr>
        <w:t>otros.</w:t>
      </w:r>
    </w:p>
    <w:p>
      <w:pPr>
        <w:pStyle w:val="BodyText"/>
        <w:spacing w:line="242" w:lineRule="auto"/>
      </w:pPr>
      <w:r>
        <w:rPr>
          <w:color w:val="2E2E2E"/>
        </w:rPr>
        <w:t>Neurológica: Trastornos neurológicos, como parálisis cerebral, epilepsia, enfermedad de Parkinson, esclerosis múltiple, entre </w:t>
      </w:r>
      <w:r>
        <w:rPr>
          <w:color w:val="2E2E2E"/>
          <w:spacing w:val="-2"/>
        </w:rPr>
        <w:t>otros.</w:t>
      </w:r>
    </w:p>
    <w:p>
      <w:pPr>
        <w:pStyle w:val="BodyText"/>
        <w:spacing w:line="242" w:lineRule="auto" w:before="91"/>
      </w:pPr>
      <w:r>
        <w:rPr>
          <w:color w:val="2E2E2E"/>
        </w:rPr>
        <w:t>Múltiple o Compleja: Cuando una persona tiene más de un tipo de discapacidad simultáneamente, como discapacidad física y sensorial o discapacidades múltiples.</w:t>
      </w:r>
    </w:p>
    <w:p>
      <w:pPr>
        <w:pStyle w:val="BodyText"/>
        <w:spacing w:line="242" w:lineRule="auto" w:before="107"/>
      </w:pPr>
      <w:r>
        <w:rPr>
          <w:rFonts w:ascii="Arial"/>
          <w:b/>
        </w:rPr>
        <w:t>Tipo</w:t>
      </w:r>
      <w:r>
        <w:rPr>
          <w:rFonts w:ascii="Arial"/>
          <w:b/>
          <w:spacing w:val="-1"/>
        </w:rPr>
        <w:t> </w:t>
      </w:r>
      <w:r>
        <w:rPr>
          <w:rFonts w:ascii="Arial"/>
          <w:b/>
        </w:rPr>
        <w:t>de</w:t>
      </w:r>
      <w:r>
        <w:rPr>
          <w:rFonts w:ascii="Arial"/>
          <w:b/>
          <w:spacing w:val="-1"/>
        </w:rPr>
        <w:t> </w:t>
      </w:r>
      <w:r>
        <w:rPr>
          <w:rFonts w:ascii="Arial"/>
          <w:b/>
        </w:rPr>
        <w:t>Gasto</w:t>
      </w:r>
      <w:r>
        <w:rPr>
          <w:rFonts w:ascii="Arial"/>
          <w:b/>
          <w:spacing w:val="-1"/>
        </w:rPr>
        <w:t> </w:t>
      </w:r>
      <w:r>
        <w:rPr>
          <w:rFonts w:ascii="Arial"/>
          <w:b/>
        </w:rPr>
        <w:t>(TG).-</w:t>
      </w:r>
      <w:r>
        <w:rPr>
          <w:rFonts w:ascii="Arial"/>
          <w:b/>
          <w:spacing w:val="-1"/>
        </w:rPr>
        <w:t> </w:t>
      </w:r>
      <w:r>
        <w:rPr/>
        <w:t>Tipo</w:t>
      </w:r>
      <w:r>
        <w:rPr>
          <w:spacing w:val="-1"/>
        </w:rPr>
        <w:t> </w:t>
      </w:r>
      <w:r>
        <w:rPr/>
        <w:t>de</w:t>
      </w:r>
      <w:r>
        <w:rPr>
          <w:spacing w:val="-1"/>
        </w:rPr>
        <w:t> </w:t>
      </w:r>
      <w:r>
        <w:rPr/>
        <w:t>Gasto:</w:t>
      </w:r>
      <w:r>
        <w:rPr>
          <w:spacing w:val="-1"/>
        </w:rPr>
        <w:t> </w:t>
      </w:r>
      <w:r>
        <w:rPr/>
        <w:t>Identifica</w:t>
      </w:r>
      <w:r>
        <w:rPr>
          <w:spacing w:val="-1"/>
        </w:rPr>
        <w:t> </w:t>
      </w:r>
      <w:r>
        <w:rPr/>
        <w:t>las</w:t>
      </w:r>
      <w:r>
        <w:rPr>
          <w:spacing w:val="-1"/>
        </w:rPr>
        <w:t> </w:t>
      </w:r>
      <w:r>
        <w:rPr/>
        <w:t>asignaciones</w:t>
      </w:r>
      <w:r>
        <w:rPr>
          <w:spacing w:val="-1"/>
        </w:rPr>
        <w:t> </w:t>
      </w:r>
      <w:r>
        <w:rPr/>
        <w:t>conforme</w:t>
      </w:r>
      <w:r>
        <w:rPr>
          <w:spacing w:val="-1"/>
        </w:rPr>
        <w:t> </w:t>
      </w:r>
      <w:r>
        <w:rPr/>
        <w:t>a</w:t>
      </w:r>
      <w:r>
        <w:rPr>
          <w:spacing w:val="-1"/>
        </w:rPr>
        <w:t> </w:t>
      </w:r>
      <w:r>
        <w:rPr/>
        <w:t>su</w:t>
      </w:r>
      <w:r>
        <w:rPr>
          <w:spacing w:val="-1"/>
        </w:rPr>
        <w:t> </w:t>
      </w:r>
      <w:r>
        <w:rPr/>
        <w:t>naturaleza</w:t>
      </w:r>
      <w:r>
        <w:rPr>
          <w:spacing w:val="-1"/>
        </w:rPr>
        <w:t> </w:t>
      </w:r>
      <w:r>
        <w:rPr/>
        <w:t>de</w:t>
      </w:r>
      <w:r>
        <w:rPr>
          <w:spacing w:val="-1"/>
        </w:rPr>
        <w:t> </w:t>
      </w:r>
      <w:r>
        <w:rPr/>
        <w:t>gasto,</w:t>
      </w:r>
      <w:r>
        <w:rPr>
          <w:spacing w:val="-1"/>
        </w:rPr>
        <w:t> </w:t>
      </w:r>
      <w:r>
        <w:rPr/>
        <w:t>en</w:t>
      </w:r>
      <w:r>
        <w:rPr>
          <w:spacing w:val="-1"/>
        </w:rPr>
        <w:t> </w:t>
      </w:r>
      <w:r>
        <w:rPr/>
        <w:t>erogaciones</w:t>
      </w:r>
      <w:r>
        <w:rPr>
          <w:spacing w:val="-1"/>
        </w:rPr>
        <w:t> </w:t>
      </w:r>
      <w:r>
        <w:rPr/>
        <w:t>corrientes o de capital, pensiones y jubilaciones, y participaciones.</w:t>
      </w:r>
    </w:p>
    <w:p>
      <w:pPr>
        <w:pStyle w:val="BodyText"/>
        <w:spacing w:line="242" w:lineRule="auto" w:before="107"/>
        <w:ind w:right="117"/>
      </w:pPr>
      <w:r>
        <w:rPr>
          <w:rFonts w:ascii="Arial" w:hAnsi="Arial"/>
          <w:b/>
        </w:rPr>
        <w:t>Tipo de Gasto 1 (TG1).</w:t>
      </w:r>
      <w:r>
        <w:rPr/>
        <w:t>- Tipo de gasto 1, para efectos de estas reglas de operación corresponde a los subsidios corrientes que son otorgados a través del Programa.</w:t>
      </w:r>
    </w:p>
    <w:p>
      <w:pPr>
        <w:pStyle w:val="BodyText"/>
        <w:spacing w:line="242" w:lineRule="auto" w:before="107"/>
      </w:pPr>
      <w:r>
        <w:rPr>
          <w:rFonts w:ascii="Arial" w:hAnsi="Arial"/>
          <w:b/>
        </w:rPr>
        <w:t>Tipo de Gasto 7 (TG7).</w:t>
      </w:r>
      <w:r>
        <w:rPr/>
        <w:t>- Tipo de gasto 7, para efectos de estas reglas de operación corresponde a los gastos indirectos para la supervisión y operación del Programa.</w:t>
      </w:r>
    </w:p>
    <w:p>
      <w:pPr>
        <w:pStyle w:val="BodyText"/>
        <w:spacing w:line="242" w:lineRule="auto" w:before="92"/>
      </w:pPr>
      <w:r>
        <w:rPr>
          <w:rFonts w:ascii="Arial" w:hAnsi="Arial"/>
          <w:b/>
        </w:rPr>
        <w:t>UMA</w:t>
      </w:r>
      <w:r>
        <w:rPr>
          <w:rFonts w:ascii="Arial" w:hAnsi="Arial"/>
          <w:b/>
          <w:spacing w:val="-5"/>
        </w:rPr>
        <w:t> </w:t>
      </w:r>
      <w:r>
        <w:rPr>
          <w:rFonts w:ascii="Arial" w:hAnsi="Arial"/>
          <w:b/>
        </w:rPr>
        <w:t>(Unidad de Medida y</w:t>
      </w:r>
      <w:r>
        <w:rPr>
          <w:rFonts w:ascii="Arial" w:hAnsi="Arial"/>
          <w:b/>
          <w:spacing w:val="-5"/>
        </w:rPr>
        <w:t> </w:t>
      </w:r>
      <w:r>
        <w:rPr>
          <w:rFonts w:ascii="Arial" w:hAnsi="Arial"/>
          <w:b/>
        </w:rPr>
        <w:t>Actualización).-</w:t>
      </w:r>
      <w:r>
        <w:rPr/>
        <w:t>. Es la referencia económica en pesos para determinar la cuantía del pago de las obligaciones y supuestos previstos en las leyes federales, de las entidades federativas y de la Ciudad de México, así como en las disposiciones jurídicas que emanen de todas las anteriores.</w:t>
      </w:r>
    </w:p>
    <w:p>
      <w:pPr>
        <w:spacing w:before="108"/>
        <w:ind w:left="402" w:right="0" w:firstLine="0"/>
        <w:jc w:val="both"/>
        <w:rPr>
          <w:sz w:val="18"/>
        </w:rPr>
      </w:pPr>
      <w:r>
        <w:rPr>
          <w:rFonts w:ascii="Arial"/>
          <w:b/>
          <w:sz w:val="18"/>
        </w:rPr>
        <w:t>UR (Unidad Responsable).- </w:t>
      </w:r>
      <w:r>
        <w:rPr>
          <w:sz w:val="18"/>
        </w:rPr>
        <w:t>Unidad administrativa responsable del </w:t>
      </w:r>
      <w:r>
        <w:rPr>
          <w:spacing w:val="-2"/>
          <w:sz w:val="18"/>
        </w:rPr>
        <w:t>Programa.</w:t>
      </w:r>
    </w:p>
    <w:p>
      <w:pPr>
        <w:pStyle w:val="BodyText"/>
        <w:spacing w:line="242" w:lineRule="auto"/>
        <w:ind w:right="117"/>
      </w:pPr>
      <w:r>
        <w:rPr>
          <w:rFonts w:ascii="Arial" w:hAnsi="Arial"/>
          <w:b/>
        </w:rPr>
        <w:t>XML </w:t>
      </w:r>
      <w:r>
        <w:rPr/>
        <w:t>(Lenguaje de Marcado Extensible)</w:t>
      </w:r>
      <w:r>
        <w:rPr>
          <w:rFonts w:ascii="Arial" w:hAnsi="Arial"/>
          <w:b/>
        </w:rPr>
        <w:t>.- </w:t>
      </w:r>
      <w:r>
        <w:rPr/>
        <w:t>El XML</w:t>
      </w:r>
      <w:r>
        <w:rPr>
          <w:spacing w:val="-2"/>
        </w:rPr>
        <w:t> </w:t>
      </w:r>
      <w:r>
        <w:rPr/>
        <w:t>de un Comprobante Fiscal Digital por Internet (CFDI) es el formato estándar específico definido por el Servicio de Administración Tributaria (SAT), en el que se debe presentar la información de la factura electrónica para que cumpla con las especificaciones requeridas.</w:t>
      </w:r>
    </w:p>
    <w:p>
      <w:pPr>
        <w:pStyle w:val="Heading1"/>
        <w:numPr>
          <w:ilvl w:val="0"/>
          <w:numId w:val="2"/>
        </w:numPr>
        <w:tabs>
          <w:tab w:pos="4727" w:val="left" w:leader="none"/>
        </w:tabs>
        <w:spacing w:line="240" w:lineRule="auto" w:before="108" w:after="0"/>
        <w:ind w:left="4727" w:right="0" w:hanging="200"/>
        <w:jc w:val="left"/>
        <w:rPr>
          <w:rFonts w:ascii="Arial" w:hAnsi="Arial"/>
        </w:rPr>
      </w:pPr>
      <w:r>
        <w:rPr>
          <w:rFonts w:ascii="Arial" w:hAnsi="Arial"/>
          <w:spacing w:val="-2"/>
        </w:rPr>
        <w:t>INTRODUCCIÓN</w:t>
      </w:r>
    </w:p>
    <w:p>
      <w:pPr>
        <w:pStyle w:val="BodyText"/>
        <w:spacing w:line="242" w:lineRule="auto" w:before="93"/>
      </w:pPr>
      <w:r>
        <w:rPr/>
        <w:t>El artículo 3º de la Constitución Política de los Estados Unidos Mexicanos establece que toda persona tiene derecho a </w:t>
      </w:r>
      <w:r>
        <w:rPr/>
        <w:t>la educación; que corresponde al Estado la rectoría de la educación, la impartida por éste, además de obligatoria, será universal, inclusiva, pública, gratuita y laica y que los planteles educativos constituyen un espacio fundamental para el proceso de enseñanza-aprendizaje. El Estado garantizará que los materiales didácticos, la infraestructura educativa, su mantenimiento y las condiciones del entorno, sean idóneos y contribuyan a los fines de la educación. (México. Constitución Política de los Estados Unidos Mexicanos. 2022. Artículo 3º.)</w:t>
      </w:r>
    </w:p>
    <w:p>
      <w:pPr>
        <w:pStyle w:val="BodyText"/>
        <w:spacing w:line="242" w:lineRule="auto" w:before="110"/>
        <w:ind w:right="117"/>
      </w:pPr>
      <w:r>
        <w:rPr/>
        <w:t>La Ley General para la Inclusión de las Personas con Discapacidad, en el artículo 12, establece que la Secretaría de Educación Pública promoverá el derecho a la educación de las personas con discapacidad, prohibiendo cualquier discriminación en planteles, centros educativos, guarderías o del personal docente o administrativo del Sistema Educativo Nacional.</w:t>
      </w:r>
      <w:r>
        <w:rPr>
          <w:spacing w:val="-7"/>
        </w:rPr>
        <w:t> </w:t>
      </w:r>
      <w:r>
        <w:rPr/>
        <w:t>Además, se asegura que el ingreso y permanencia al sistema educativo se dé en condiciones de equidad, y se señala la necesidad de</w:t>
      </w:r>
      <w:r>
        <w:rPr>
          <w:spacing w:val="40"/>
        </w:rPr>
        <w:t> </w:t>
      </w:r>
      <w:r>
        <w:rPr/>
        <w:t>elaborar materiales de trabajo en formato accesible, y se enfatiza el derecho de los maestros a acceder a capacitación para atender a alumnos con discapacidad12. La ley se basa en los principios de vida independiente, accesibilidad universal, diseño universal, intersectorialidad, participación y diálogo social. (México. Ley General para la Inclusión de las Personas con Discapacidad. 2011. Artículo 12.)</w:t>
      </w:r>
    </w:p>
    <w:p>
      <w:pPr>
        <w:pStyle w:val="BodyText"/>
        <w:spacing w:line="242" w:lineRule="auto" w:before="113"/>
        <w:ind w:right="117"/>
      </w:pPr>
      <w:r>
        <w:rPr/>
        <w:t>El Plan Nacional de Desarrollo 2019-2024 de México establece, en su Eje 3 "Educación y Bienestar", como una de sus metas "Garantizar el acceso a una educación de calidad para todas las personas, con énfasis en la atención a grupos vulnerables". En este sentido, el Plan propone la siguiente acción para la atención de estudiantes con discapacidad: Promover la </w:t>
      </w:r>
      <w:r>
        <w:rPr/>
        <w:t>inclusión educativa de estudiantes con discapacidad, mediante la adaptación de los espacios y materiales educativos. (México. Plan Nacional de Desarrollo 2019-2024. 2019. Eje 3, Educación y Bienestar. Meta 3.2.)</w:t>
      </w:r>
    </w:p>
    <w:p>
      <w:pPr>
        <w:pStyle w:val="BodyText"/>
        <w:spacing w:line="242" w:lineRule="auto" w:before="95"/>
        <w:ind w:right="117"/>
      </w:pPr>
      <w:r>
        <w:rPr/>
        <w:t>El Programa Sectorial de Educación 2020-2024 de México establece, en su Eje 2 "Educación inclusiva, equitativa y de calidad", como una de sus metas "Garantizar el acceso a una educación inclusiva, equitativa y de calidad para todos </w:t>
      </w:r>
      <w:r>
        <w:rPr/>
        <w:t>los mexicanos, con énfasis en la atención a grupos vulnerables". (México. Secretaría de Educación Pública. Programa Sectorial de Educación 2020-2024. 2020. Eje 2, Educación inclusiva, equitativa y de calidad. Meta 2.1.)</w:t>
      </w:r>
    </w:p>
    <w:p>
      <w:pPr>
        <w:pStyle w:val="BodyText"/>
        <w:spacing w:line="242" w:lineRule="auto" w:before="109"/>
      </w:pPr>
      <w:r>
        <w:rPr/>
        <w:t>El PAPPEMS es una iniciativa del Gobierno Federal que busca dar cumplimiento al artículo 3o. de la Constitución Política </w:t>
      </w:r>
      <w:r>
        <w:rPr/>
        <w:t>de los Estados Unidos Mexicanos que establece que toda persona tiene derecho a la educación; que corresponde al Estado la rectoría de la educación, la impartida por éste, además de obligatoria, será universal, inclusiva, pública, gratuita y laica y que los planteles</w:t>
      </w:r>
      <w:r>
        <w:rPr>
          <w:spacing w:val="17"/>
        </w:rPr>
        <w:t> </w:t>
      </w:r>
      <w:r>
        <w:rPr/>
        <w:t>educativos</w:t>
      </w:r>
      <w:r>
        <w:rPr>
          <w:spacing w:val="17"/>
        </w:rPr>
        <w:t> </w:t>
      </w:r>
      <w:r>
        <w:rPr/>
        <w:t>constituyen</w:t>
      </w:r>
      <w:r>
        <w:rPr>
          <w:spacing w:val="17"/>
        </w:rPr>
        <w:t> </w:t>
      </w:r>
      <w:r>
        <w:rPr/>
        <w:t>un</w:t>
      </w:r>
      <w:r>
        <w:rPr>
          <w:spacing w:val="17"/>
        </w:rPr>
        <w:t> </w:t>
      </w:r>
      <w:r>
        <w:rPr/>
        <w:t>espacio</w:t>
      </w:r>
      <w:r>
        <w:rPr>
          <w:spacing w:val="17"/>
        </w:rPr>
        <w:t> </w:t>
      </w:r>
      <w:r>
        <w:rPr/>
        <w:t>fundamental</w:t>
      </w:r>
      <w:r>
        <w:rPr>
          <w:spacing w:val="17"/>
        </w:rPr>
        <w:t> </w:t>
      </w:r>
      <w:r>
        <w:rPr/>
        <w:t>para</w:t>
      </w:r>
      <w:r>
        <w:rPr>
          <w:spacing w:val="17"/>
        </w:rPr>
        <w:t> </w:t>
      </w:r>
      <w:r>
        <w:rPr/>
        <w:t>el</w:t>
      </w:r>
      <w:r>
        <w:rPr>
          <w:spacing w:val="17"/>
        </w:rPr>
        <w:t> </w:t>
      </w:r>
      <w:r>
        <w:rPr/>
        <w:t>proceso</w:t>
      </w:r>
      <w:r>
        <w:rPr>
          <w:spacing w:val="17"/>
        </w:rPr>
        <w:t> </w:t>
      </w:r>
      <w:r>
        <w:rPr/>
        <w:t>de</w:t>
      </w:r>
      <w:r>
        <w:rPr>
          <w:spacing w:val="17"/>
        </w:rPr>
        <w:t> </w:t>
      </w:r>
      <w:r>
        <w:rPr/>
        <w:t>enseñanza-aprendizaje.</w:t>
      </w:r>
      <w:r>
        <w:rPr>
          <w:spacing w:val="17"/>
        </w:rPr>
        <w:t> </w:t>
      </w:r>
      <w:r>
        <w:rPr/>
        <w:t>El</w:t>
      </w:r>
      <w:r>
        <w:rPr>
          <w:spacing w:val="17"/>
        </w:rPr>
        <w:t> </w:t>
      </w:r>
      <w:r>
        <w:rPr/>
        <w:t>Estado</w:t>
      </w:r>
      <w:r>
        <w:rPr>
          <w:spacing w:val="17"/>
        </w:rPr>
        <w:t> </w:t>
      </w:r>
      <w:r>
        <w:rPr/>
        <w:t>garantizará</w:t>
      </w:r>
      <w:r>
        <w:rPr>
          <w:spacing w:val="17"/>
        </w:rPr>
        <w:t> </w:t>
      </w:r>
      <w:r>
        <w:rPr>
          <w:spacing w:val="-5"/>
        </w:rPr>
        <w:t>que</w:t>
      </w:r>
    </w:p>
    <w:p>
      <w:pPr>
        <w:spacing w:after="0" w:line="242" w:lineRule="auto"/>
        <w:sectPr>
          <w:pgSz w:w="12240" w:h="15840"/>
          <w:pgMar w:header="269" w:footer="260" w:top="460" w:bottom="440" w:left="860" w:right="720"/>
        </w:sectPr>
      </w:pPr>
    </w:p>
    <w:p>
      <w:pPr>
        <w:pStyle w:val="BodyText"/>
        <w:spacing w:line="242" w:lineRule="auto" w:before="82"/>
        <w:ind w:right="98" w:firstLine="0"/>
        <w:jc w:val="left"/>
      </w:pPr>
      <w:r>
        <w:rPr/>
        <w:t>los</w:t>
      </w:r>
      <w:r>
        <w:rPr>
          <w:spacing w:val="-2"/>
        </w:rPr>
        <w:t> </w:t>
      </w:r>
      <w:r>
        <w:rPr/>
        <w:t>materiales</w:t>
      </w:r>
      <w:r>
        <w:rPr>
          <w:spacing w:val="-2"/>
        </w:rPr>
        <w:t> </w:t>
      </w:r>
      <w:r>
        <w:rPr/>
        <w:t>didácticos,</w:t>
      </w:r>
      <w:r>
        <w:rPr>
          <w:spacing w:val="-2"/>
        </w:rPr>
        <w:t> </w:t>
      </w:r>
      <w:r>
        <w:rPr/>
        <w:t>la</w:t>
      </w:r>
      <w:r>
        <w:rPr>
          <w:spacing w:val="-2"/>
        </w:rPr>
        <w:t> </w:t>
      </w:r>
      <w:r>
        <w:rPr/>
        <w:t>infraestructura</w:t>
      </w:r>
      <w:r>
        <w:rPr>
          <w:spacing w:val="-2"/>
        </w:rPr>
        <w:t> </w:t>
      </w:r>
      <w:r>
        <w:rPr/>
        <w:t>educativa,</w:t>
      </w:r>
      <w:r>
        <w:rPr>
          <w:spacing w:val="-2"/>
        </w:rPr>
        <w:t> </w:t>
      </w:r>
      <w:r>
        <w:rPr/>
        <w:t>su</w:t>
      </w:r>
      <w:r>
        <w:rPr>
          <w:spacing w:val="-2"/>
        </w:rPr>
        <w:t> </w:t>
      </w:r>
      <w:r>
        <w:rPr/>
        <w:t>mantenimiento</w:t>
      </w:r>
      <w:r>
        <w:rPr>
          <w:spacing w:val="-2"/>
        </w:rPr>
        <w:t> </w:t>
      </w:r>
      <w:r>
        <w:rPr/>
        <w:t>y</w:t>
      </w:r>
      <w:r>
        <w:rPr>
          <w:spacing w:val="-2"/>
        </w:rPr>
        <w:t> </w:t>
      </w:r>
      <w:r>
        <w:rPr/>
        <w:t>las</w:t>
      </w:r>
      <w:r>
        <w:rPr>
          <w:spacing w:val="-2"/>
        </w:rPr>
        <w:t> </w:t>
      </w:r>
      <w:r>
        <w:rPr/>
        <w:t>condiciones</w:t>
      </w:r>
      <w:r>
        <w:rPr>
          <w:spacing w:val="-2"/>
        </w:rPr>
        <w:t> </w:t>
      </w:r>
      <w:r>
        <w:rPr/>
        <w:t>del</w:t>
      </w:r>
      <w:r>
        <w:rPr>
          <w:spacing w:val="-2"/>
        </w:rPr>
        <w:t> </w:t>
      </w:r>
      <w:r>
        <w:rPr/>
        <w:t>entorno,</w:t>
      </w:r>
      <w:r>
        <w:rPr>
          <w:spacing w:val="-2"/>
        </w:rPr>
        <w:t> </w:t>
      </w:r>
      <w:r>
        <w:rPr/>
        <w:t>sean</w:t>
      </w:r>
      <w:r>
        <w:rPr>
          <w:spacing w:val="-2"/>
        </w:rPr>
        <w:t> </w:t>
      </w:r>
      <w:r>
        <w:rPr/>
        <w:t>idóneos</w:t>
      </w:r>
      <w:r>
        <w:rPr>
          <w:spacing w:val="-2"/>
        </w:rPr>
        <w:t> </w:t>
      </w:r>
      <w:r>
        <w:rPr/>
        <w:t>y</w:t>
      </w:r>
      <w:r>
        <w:rPr>
          <w:spacing w:val="-2"/>
        </w:rPr>
        <w:t> </w:t>
      </w:r>
      <w:r>
        <w:rPr/>
        <w:t>contribuyan a los fines de la educación.</w:t>
      </w:r>
    </w:p>
    <w:p>
      <w:pPr>
        <w:pStyle w:val="BodyText"/>
        <w:spacing w:line="242" w:lineRule="auto" w:before="107"/>
        <w:ind w:right="117"/>
      </w:pPr>
      <w:r>
        <w:rPr/>
        <w:t>En ese tenor, el PAPPEMS prioriza lo establecido en el Plan Nacional de Desarrollo 2019-2024, en el eje 2 Política Social </w:t>
      </w:r>
      <w:r>
        <w:rPr/>
        <w:t>el apartado de Derecho a la Educación: Plan Nacional de Desarrollo 2019-2024, 2019, p. 10.</w:t>
      </w:r>
    </w:p>
    <w:p>
      <w:pPr>
        <w:pStyle w:val="BodyText"/>
        <w:spacing w:line="242" w:lineRule="auto" w:before="92"/>
      </w:pPr>
      <w:r>
        <w:rPr/>
        <w:t>Alineado a los principios rectores del mismo Plan Nacional denominados "Economía para el Bienestar" y "No dejar a nadie atrás, no dejar a nadie fuera" mediante la generación del bienestar para la población impulsando a la educación y rechazando</w:t>
      </w:r>
      <w:r>
        <w:rPr>
          <w:spacing w:val="40"/>
        </w:rPr>
        <w:t> </w:t>
      </w:r>
      <w:r>
        <w:rPr/>
        <w:t>toda forma de discriminación por características físicas, posición social, escolaridad, religión, idioma, cultura, lugar de </w:t>
      </w:r>
      <w:r>
        <w:rPr/>
        <w:t>origen, preferencia política e ideológica, identidad de género, orientación y preferencia sexual. Propugnando un modelo de desarrollo respetuoso de los habitantes y del hábitat, equitativo, orientado a subsanar y no a agudizar las desigualdades, defensor de la diversidad cultural y del ambiente natural, sensible a las modalidades y singularidades económicas regionales y locales y consciente de las necesidades de los habitantes futuros del país, a quienes no podemos heredar un territorio en ruinas.</w:t>
      </w:r>
    </w:p>
    <w:p>
      <w:pPr>
        <w:spacing w:line="242" w:lineRule="auto" w:before="111"/>
        <w:ind w:left="114" w:right="117" w:firstLine="287"/>
        <w:jc w:val="both"/>
        <w:rPr>
          <w:sz w:val="18"/>
        </w:rPr>
      </w:pPr>
      <w:r>
        <w:rPr>
          <w:sz w:val="18"/>
        </w:rPr>
        <w:t>Observando lo establecido en el artículo 16 de la Ley General de Educación, </w:t>
      </w:r>
      <w:r>
        <w:rPr>
          <w:rFonts w:ascii="Arial" w:hAnsi="Arial"/>
          <w:i/>
          <w:sz w:val="18"/>
        </w:rPr>
        <w:t>la educación que imparta el Estado, sus organismos descentralizados y los particulares con autorización o con reconocimiento de validez oficial de estudios, se basará </w:t>
      </w:r>
      <w:r>
        <w:rPr>
          <w:rFonts w:ascii="Arial" w:hAnsi="Arial"/>
          <w:i/>
          <w:sz w:val="18"/>
        </w:rPr>
        <w:t>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los tres órdenes de gobierno</w:t>
      </w:r>
      <w:r>
        <w:rPr>
          <w:sz w:val="18"/>
        </w:rPr>
        <w:t>.</w:t>
      </w:r>
    </w:p>
    <w:p>
      <w:pPr>
        <w:spacing w:line="242" w:lineRule="auto" w:before="111"/>
        <w:ind w:left="114" w:right="117" w:firstLine="287"/>
        <w:jc w:val="both"/>
        <w:rPr>
          <w:rFonts w:ascii="Arial" w:hAnsi="Arial"/>
          <w:i/>
          <w:sz w:val="18"/>
        </w:rPr>
      </w:pPr>
      <w:r>
        <w:rPr>
          <w:sz w:val="18"/>
        </w:rPr>
        <w:t>Así como en fomento a lo dispuesto en su artículo 76 de la misma Ley. </w:t>
      </w:r>
      <w:r>
        <w:rPr>
          <w:rFonts w:ascii="Arial" w:hAnsi="Arial"/>
          <w:i/>
          <w:sz w:val="18"/>
        </w:rPr>
        <w:t>El Estado generará las condiciones para que las poblaciones indígenas, afromexicanas, comunidades rurales o en condiciones de marginación, así como las personas con discapacidad, ejerzan el derecho a la educación apegándose a criterios de asequibilidad y adaptabilidad.</w:t>
      </w:r>
    </w:p>
    <w:p>
      <w:pPr>
        <w:pStyle w:val="BodyText"/>
        <w:spacing w:line="242" w:lineRule="auto"/>
      </w:pPr>
      <w:r>
        <w:rPr/>
        <w:t>De igual forma contribuye al objetivo prioritario 1 del Programa Sectorial de Educación, publicado en el DOF el 6 de julio de 2020: 1 Garantizar el derecho de la población en México a una educación equitativa, inclusiva, intercultural e integral, que tenga como</w:t>
      </w:r>
      <w:r>
        <w:rPr>
          <w:spacing w:val="11"/>
        </w:rPr>
        <w:t> </w:t>
      </w:r>
      <w:r>
        <w:rPr/>
        <w:t>eje</w:t>
      </w:r>
      <w:r>
        <w:rPr>
          <w:spacing w:val="11"/>
        </w:rPr>
        <w:t> </w:t>
      </w:r>
      <w:r>
        <w:rPr/>
        <w:t>principal</w:t>
      </w:r>
      <w:r>
        <w:rPr>
          <w:spacing w:val="12"/>
        </w:rPr>
        <w:t> </w:t>
      </w:r>
      <w:r>
        <w:rPr/>
        <w:t>el</w:t>
      </w:r>
      <w:r>
        <w:rPr>
          <w:spacing w:val="11"/>
        </w:rPr>
        <w:t> </w:t>
      </w:r>
      <w:r>
        <w:rPr/>
        <w:t>interés</w:t>
      </w:r>
      <w:r>
        <w:rPr>
          <w:spacing w:val="12"/>
        </w:rPr>
        <w:t> </w:t>
      </w:r>
      <w:r>
        <w:rPr/>
        <w:t>superior</w:t>
      </w:r>
      <w:r>
        <w:rPr>
          <w:spacing w:val="11"/>
        </w:rPr>
        <w:t> </w:t>
      </w:r>
      <w:r>
        <w:rPr/>
        <w:t>de</w:t>
      </w:r>
      <w:r>
        <w:rPr>
          <w:spacing w:val="12"/>
        </w:rPr>
        <w:t> </w:t>
      </w:r>
      <w:r>
        <w:rPr/>
        <w:t>las</w:t>
      </w:r>
      <w:r>
        <w:rPr>
          <w:spacing w:val="11"/>
        </w:rPr>
        <w:t> </w:t>
      </w:r>
      <w:r>
        <w:rPr/>
        <w:t>niñas,</w:t>
      </w:r>
      <w:r>
        <w:rPr>
          <w:spacing w:val="12"/>
        </w:rPr>
        <w:t> </w:t>
      </w:r>
      <w:r>
        <w:rPr/>
        <w:t>niños,</w:t>
      </w:r>
      <w:r>
        <w:rPr>
          <w:spacing w:val="11"/>
        </w:rPr>
        <w:t> </w:t>
      </w:r>
      <w:r>
        <w:rPr/>
        <w:t>adolescentes</w:t>
      </w:r>
      <w:r>
        <w:rPr>
          <w:spacing w:val="12"/>
        </w:rPr>
        <w:t> </w:t>
      </w:r>
      <w:r>
        <w:rPr/>
        <w:t>y</w:t>
      </w:r>
      <w:r>
        <w:rPr>
          <w:spacing w:val="11"/>
        </w:rPr>
        <w:t> </w:t>
      </w:r>
      <w:r>
        <w:rPr/>
        <w:t>jóvenes.</w:t>
      </w:r>
      <w:r>
        <w:rPr>
          <w:spacing w:val="12"/>
        </w:rPr>
        <w:t> </w:t>
      </w:r>
      <w:r>
        <w:rPr/>
        <w:t>Lo</w:t>
      </w:r>
      <w:r>
        <w:rPr>
          <w:spacing w:val="11"/>
        </w:rPr>
        <w:t> </w:t>
      </w:r>
      <w:r>
        <w:rPr/>
        <w:t>anterior,</w:t>
      </w:r>
      <w:r>
        <w:rPr>
          <w:spacing w:val="12"/>
        </w:rPr>
        <w:t> </w:t>
      </w:r>
      <w:r>
        <w:rPr/>
        <w:t>asociado</w:t>
      </w:r>
      <w:r>
        <w:rPr>
          <w:spacing w:val="11"/>
        </w:rPr>
        <w:t> </w:t>
      </w:r>
      <w:r>
        <w:rPr/>
        <w:t>a</w:t>
      </w:r>
      <w:r>
        <w:rPr>
          <w:spacing w:val="12"/>
        </w:rPr>
        <w:t> </w:t>
      </w:r>
      <w:r>
        <w:rPr/>
        <w:t>la</w:t>
      </w:r>
      <w:r>
        <w:rPr>
          <w:spacing w:val="11"/>
        </w:rPr>
        <w:t> </w:t>
      </w:r>
      <w:r>
        <w:rPr/>
        <w:t>estrategia</w:t>
      </w:r>
      <w:r>
        <w:rPr>
          <w:spacing w:val="12"/>
        </w:rPr>
        <w:t> </w:t>
      </w:r>
      <w:r>
        <w:rPr>
          <w:spacing w:val="-2"/>
        </w:rPr>
        <w:t>prioritaria</w:t>
      </w:r>
    </w:p>
    <w:p>
      <w:pPr>
        <w:pStyle w:val="BodyText"/>
        <w:spacing w:line="242" w:lineRule="auto" w:before="3"/>
        <w:ind w:firstLine="0"/>
      </w:pPr>
      <w:r>
        <w:rPr/>
        <w:t>1.4 Garantizar condiciones de equidad para todos, con énfasis particular en los grupos y poblaciones históricamente</w:t>
      </w:r>
      <w:r>
        <w:rPr>
          <w:spacing w:val="40"/>
        </w:rPr>
        <w:t> </w:t>
      </w:r>
      <w:r>
        <w:rPr>
          <w:spacing w:val="-2"/>
        </w:rPr>
        <w:t>discriminados.</w:t>
      </w:r>
    </w:p>
    <w:p>
      <w:pPr>
        <w:pStyle w:val="BodyText"/>
        <w:spacing w:line="242" w:lineRule="auto" w:before="2"/>
      </w:pPr>
      <w:r>
        <w:rPr/>
        <w:t>Por otra parte, con el propósito de contar con un marco de referencia que permita identificar las acciones que coadyuven </w:t>
      </w:r>
      <w:r>
        <w:rPr/>
        <w:t>al cumplimiento de los Objetivos de Desarrollo Sostenible (ODS) de la Agenda 2030, establecida en la Asamblea General de las Naciones Unidas el 12 de agosto de 2015, el programa S298 (PAPPEMS)" se vincula al Objetivo 4 "Educación de Calidad" de los ODS, en específico a las siguientes metas: 4.5 "Para 2030, eliminar las disparidades de género en la educación y asegurar el acceso en condiciones de igualdad de las personas vulnerables, incluidas las personas con discapacidad, los pueblos indígenas y los niños en situaciones de vulnerabilidad, a todos los niveles de la enseñanza y la formación profesional" y 4.a "Construir y adecuar instalaciones educativas que tengan en cuenta las necesidades de los niños y las personas con discapacidad y las diferencias de género, y que ofrezcan entornos de aprendizaje seguros, no violentos, inclusivos y eficaces para todos".</w:t>
      </w:r>
    </w:p>
    <w:p>
      <w:pPr>
        <w:spacing w:line="242" w:lineRule="auto" w:before="97"/>
        <w:ind w:left="114" w:right="118" w:firstLine="287"/>
        <w:jc w:val="both"/>
        <w:rPr>
          <w:sz w:val="18"/>
        </w:rPr>
      </w:pPr>
      <w:r>
        <w:rPr>
          <w:sz w:val="18"/>
        </w:rPr>
        <w:t>La Ley General para la Inclusión de las Personas con Discapacidad, en su artículo 12, fracción VI establece que la </w:t>
      </w:r>
      <w:r>
        <w:rPr>
          <w:sz w:val="18"/>
        </w:rPr>
        <w:t>SEP </w:t>
      </w:r>
      <w:r>
        <w:rPr>
          <w:rFonts w:ascii="Arial" w:hAnsi="Arial"/>
          <w:i/>
          <w:sz w:val="18"/>
        </w:rPr>
        <w:t>promoverá el derecho a la educación de las personas, con discapacidad, prohibiendo cualquier discriminación en planteles, centros educativos</w:t>
      </w:r>
      <w:r>
        <w:rPr>
          <w:sz w:val="18"/>
        </w:rPr>
        <w:t>, y para tal efecto realizará, entre otras acciones, el "</w:t>
      </w:r>
      <w:r>
        <w:rPr>
          <w:rFonts w:ascii="Arial" w:hAnsi="Arial"/>
          <w:i/>
          <w:sz w:val="18"/>
        </w:rPr>
        <w:t>proporcionar a los estudiantes con discapacidad</w:t>
      </w:r>
      <w:r>
        <w:rPr>
          <w:rFonts w:ascii="Arial" w:hAnsi="Arial"/>
          <w:i/>
          <w:spacing w:val="40"/>
          <w:sz w:val="18"/>
        </w:rPr>
        <w:t> </w:t>
      </w:r>
      <w:r>
        <w:rPr>
          <w:rFonts w:ascii="Arial" w:hAnsi="Arial"/>
          <w:i/>
          <w:sz w:val="18"/>
        </w:rPr>
        <w:t>materiales y ayudas técnicas que apoyen su rendimiento académico, procurando equipar los planteles y centros educativos con libros en braille, materiales didácticos, apoyo de intérpretes de lengua de señas mexicana o especialistas en sistema braille, equipos computarizados con tecnología para personas ciegas y todos aquellos apoyos que se identifiquen como necesarios para brindar una educación con calidad</w:t>
      </w:r>
      <w:r>
        <w:rPr>
          <w:sz w:val="18"/>
        </w:rPr>
        <w:t>". (México. Ley General para la Inclusión de las Personas con Discapacidad. 2011.</w:t>
      </w:r>
      <w:r>
        <w:rPr>
          <w:spacing w:val="-9"/>
          <w:sz w:val="18"/>
        </w:rPr>
        <w:t> </w:t>
      </w:r>
      <w:r>
        <w:rPr>
          <w:sz w:val="18"/>
        </w:rPr>
        <w:t>Artículo 12.)</w:t>
      </w:r>
    </w:p>
    <w:p>
      <w:pPr>
        <w:pStyle w:val="BodyText"/>
        <w:spacing w:line="242" w:lineRule="auto" w:before="112"/>
        <w:ind w:right="117"/>
      </w:pPr>
      <w:r>
        <w:rPr/>
        <w:t>Por otro lado, de acuerdo con los datos y cifras de la Organización Mundial de la Salud, más de mil millones de personas, es decir,</w:t>
      </w:r>
      <w:r>
        <w:rPr>
          <w:spacing w:val="-1"/>
        </w:rPr>
        <w:t> </w:t>
      </w:r>
      <w:r>
        <w:rPr/>
        <w:t>aproximadamente</w:t>
      </w:r>
      <w:r>
        <w:rPr>
          <w:spacing w:val="-1"/>
        </w:rPr>
        <w:t> </w:t>
      </w:r>
      <w:r>
        <w:rPr/>
        <w:t>el</w:t>
      </w:r>
      <w:r>
        <w:rPr>
          <w:spacing w:val="-1"/>
        </w:rPr>
        <w:t> </w:t>
      </w:r>
      <w:r>
        <w:rPr/>
        <w:t>15%</w:t>
      </w:r>
      <w:r>
        <w:rPr>
          <w:spacing w:val="-1"/>
        </w:rPr>
        <w:t> </w:t>
      </w:r>
      <w:r>
        <w:rPr/>
        <w:t>de</w:t>
      </w:r>
      <w:r>
        <w:rPr>
          <w:spacing w:val="-1"/>
        </w:rPr>
        <w:t> </w:t>
      </w:r>
      <w:r>
        <w:rPr/>
        <w:t>la</w:t>
      </w:r>
      <w:r>
        <w:rPr>
          <w:spacing w:val="-1"/>
        </w:rPr>
        <w:t> </w:t>
      </w:r>
      <w:r>
        <w:rPr/>
        <w:t>población</w:t>
      </w:r>
      <w:r>
        <w:rPr>
          <w:spacing w:val="-1"/>
        </w:rPr>
        <w:t> </w:t>
      </w:r>
      <w:r>
        <w:rPr/>
        <w:t>mundial,</w:t>
      </w:r>
      <w:r>
        <w:rPr>
          <w:spacing w:val="-1"/>
        </w:rPr>
        <w:t> </w:t>
      </w:r>
      <w:r>
        <w:rPr/>
        <w:t>tiene</w:t>
      </w:r>
      <w:r>
        <w:rPr>
          <w:spacing w:val="-1"/>
        </w:rPr>
        <w:t> </w:t>
      </w:r>
      <w:r>
        <w:rPr/>
        <w:t>algún</w:t>
      </w:r>
      <w:r>
        <w:rPr>
          <w:spacing w:val="-1"/>
        </w:rPr>
        <w:t> </w:t>
      </w:r>
      <w:r>
        <w:rPr/>
        <w:t>tipo</w:t>
      </w:r>
      <w:r>
        <w:rPr>
          <w:spacing w:val="-1"/>
        </w:rPr>
        <w:t> </w:t>
      </w:r>
      <w:r>
        <w:rPr/>
        <w:t>de</w:t>
      </w:r>
      <w:r>
        <w:rPr>
          <w:spacing w:val="-1"/>
        </w:rPr>
        <w:t> </w:t>
      </w:r>
      <w:r>
        <w:rPr/>
        <w:t>discapacidad</w:t>
      </w:r>
      <w:r>
        <w:rPr>
          <w:spacing w:val="-1"/>
        </w:rPr>
        <w:t> </w:t>
      </w:r>
      <w:r>
        <w:rPr/>
        <w:t>(diciembre</w:t>
      </w:r>
      <w:r>
        <w:rPr>
          <w:spacing w:val="-1"/>
        </w:rPr>
        <w:t> </w:t>
      </w:r>
      <w:r>
        <w:rPr/>
        <w:t>2020).</w:t>
      </w:r>
      <w:r>
        <w:rPr>
          <w:spacing w:val="-1"/>
        </w:rPr>
        <w:t> </w:t>
      </w:r>
      <w:r>
        <w:rPr/>
        <w:t>En</w:t>
      </w:r>
      <w:r>
        <w:rPr>
          <w:spacing w:val="-1"/>
        </w:rPr>
        <w:t> </w:t>
      </w:r>
      <w:r>
        <w:rPr/>
        <w:t>el</w:t>
      </w:r>
      <w:r>
        <w:rPr>
          <w:spacing w:val="-1"/>
        </w:rPr>
        <w:t> </w:t>
      </w:r>
      <w:r>
        <w:rPr/>
        <w:t>caso</w:t>
      </w:r>
      <w:r>
        <w:rPr>
          <w:spacing w:val="-1"/>
        </w:rPr>
        <w:t> </w:t>
      </w:r>
      <w:r>
        <w:rPr/>
        <w:t>de</w:t>
      </w:r>
      <w:r>
        <w:rPr>
          <w:spacing w:val="-1"/>
        </w:rPr>
        <w:t> </w:t>
      </w:r>
      <w:r>
        <w:rPr/>
        <w:t>México, el Censo de Población y Vivienda (INEGI) 2020, señala que en el país residen 126.01 millones de personas, de los cuales 6.17 millones tienen alguna discapacidad, representando el 4.9% de la población; de esta población con discapacidad el 3.48% (215 199) se encuentra en la edad de 15 a 19 años, considerados dentro del parámetro para cursar la educación media superior </w:t>
      </w:r>
      <w:r>
        <w:rPr/>
        <w:t>en alguna de sus modalidades y de los cuales el 48% son mujeres y el 52% son hombres.</w:t>
      </w:r>
    </w:p>
    <w:p>
      <w:pPr>
        <w:pStyle w:val="BodyText"/>
        <w:spacing w:line="242" w:lineRule="auto" w:before="111"/>
      </w:pPr>
      <w:r>
        <w:rPr/>
        <w:t>Las Principales Cifras del Sistema Educativo Nacional, señalan que con respecto a Educación Especial en el ciclo escolar 2022-2023 se atendió a un total de 642,838 estudiantes con discapacidad en planteles públicos de educación. (Secretaría de Educación Pública. (2023). Principales cifras del sistema educativo nacional 2022-2023. México: SEP.)</w:t>
      </w:r>
    </w:p>
    <w:p>
      <w:pPr>
        <w:pStyle w:val="BodyText"/>
        <w:spacing w:line="242" w:lineRule="auto" w:before="92"/>
        <w:ind w:right="119"/>
      </w:pPr>
      <w:r>
        <w:rPr/>
        <w:t>En este sentido, el PAPPEMS pretende propiciar el desarrollo de condiciones, la canalización de recursos para el fortalecimiento de los servicios de EMS que brindan atención educativa a estudiantes con discapacidad, contribuyendo a </w:t>
      </w:r>
      <w:r>
        <w:rPr/>
        <w:t>que</w:t>
      </w:r>
      <w:r>
        <w:rPr>
          <w:spacing w:val="40"/>
        </w:rPr>
        <w:t> </w:t>
      </w:r>
      <w:r>
        <w:rPr/>
        <w:t>dicha población cuente con mejores oportunidades y herramientas que les permita el acceso a una educación integral, equitativa</w:t>
      </w:r>
      <w:r>
        <w:rPr>
          <w:spacing w:val="80"/>
        </w:rPr>
        <w:t> </w:t>
      </w:r>
      <w:r>
        <w:rPr/>
        <w:t>e inclusiva.</w:t>
      </w:r>
    </w:p>
    <w:p>
      <w:pPr>
        <w:pStyle w:val="BodyText"/>
        <w:spacing w:line="242" w:lineRule="auto" w:before="109"/>
        <w:ind w:right="117"/>
      </w:pPr>
      <w:r>
        <w:rPr/>
        <w:t>En la Estructura Programática a emplear en el proyecto de Presupuesto de Egresos 2024, la SHCP modificó la </w:t>
      </w:r>
      <w:r>
        <w:rPr/>
        <w:t>estructura programática del programa, validando el cambio de denominación del Pp S298 Atención de Planteles Federales de Educación Media</w:t>
      </w:r>
      <w:r>
        <w:rPr>
          <w:spacing w:val="-2"/>
        </w:rPr>
        <w:t> </w:t>
      </w:r>
      <w:r>
        <w:rPr/>
        <w:t>Superior</w:t>
      </w:r>
      <w:r>
        <w:rPr>
          <w:spacing w:val="-2"/>
        </w:rPr>
        <w:t> </w:t>
      </w:r>
      <w:r>
        <w:rPr/>
        <w:t>con</w:t>
      </w:r>
      <w:r>
        <w:rPr>
          <w:spacing w:val="-2"/>
        </w:rPr>
        <w:t> </w:t>
      </w:r>
      <w:r>
        <w:rPr/>
        <w:t>estudiantes</w:t>
      </w:r>
      <w:r>
        <w:rPr>
          <w:spacing w:val="-2"/>
        </w:rPr>
        <w:t> </w:t>
      </w:r>
      <w:r>
        <w:rPr/>
        <w:t>con</w:t>
      </w:r>
      <w:r>
        <w:rPr>
          <w:spacing w:val="-2"/>
        </w:rPr>
        <w:t> </w:t>
      </w:r>
      <w:r>
        <w:rPr/>
        <w:t>discapacidad</w:t>
      </w:r>
      <w:r>
        <w:rPr>
          <w:spacing w:val="-2"/>
        </w:rPr>
        <w:t> </w:t>
      </w:r>
      <w:r>
        <w:rPr/>
        <w:t>(PAPFEMS)</w:t>
      </w:r>
      <w:r>
        <w:rPr>
          <w:spacing w:val="-2"/>
        </w:rPr>
        <w:t> </w:t>
      </w:r>
      <w:r>
        <w:rPr/>
        <w:t>a</w:t>
      </w:r>
      <w:r>
        <w:rPr>
          <w:spacing w:val="-12"/>
        </w:rPr>
        <w:t> </w:t>
      </w:r>
      <w:r>
        <w:rPr/>
        <w:t>Atención</w:t>
      </w:r>
      <w:r>
        <w:rPr>
          <w:spacing w:val="-2"/>
        </w:rPr>
        <w:t> </w:t>
      </w:r>
      <w:r>
        <w:rPr/>
        <w:t>de</w:t>
      </w:r>
      <w:r>
        <w:rPr>
          <w:spacing w:val="-2"/>
        </w:rPr>
        <w:t> </w:t>
      </w:r>
      <w:r>
        <w:rPr/>
        <w:t>Planteles</w:t>
      </w:r>
      <w:r>
        <w:rPr>
          <w:spacing w:val="-2"/>
        </w:rPr>
        <w:t> </w:t>
      </w:r>
      <w:r>
        <w:rPr/>
        <w:t>Públicos</w:t>
      </w:r>
      <w:r>
        <w:rPr>
          <w:spacing w:val="-2"/>
        </w:rPr>
        <w:t> </w:t>
      </w:r>
      <w:r>
        <w:rPr/>
        <w:t>de</w:t>
      </w:r>
      <w:r>
        <w:rPr>
          <w:spacing w:val="-2"/>
        </w:rPr>
        <w:t> </w:t>
      </w:r>
      <w:r>
        <w:rPr/>
        <w:t>Educación</w:t>
      </w:r>
      <w:r>
        <w:rPr>
          <w:spacing w:val="-2"/>
        </w:rPr>
        <w:t> </w:t>
      </w:r>
      <w:r>
        <w:rPr/>
        <w:t>Media</w:t>
      </w:r>
      <w:r>
        <w:rPr>
          <w:spacing w:val="-2"/>
        </w:rPr>
        <w:t> </w:t>
      </w:r>
      <w:r>
        <w:rPr/>
        <w:t>Superior</w:t>
      </w:r>
      <w:r>
        <w:rPr>
          <w:spacing w:val="-2"/>
        </w:rPr>
        <w:t> </w:t>
      </w:r>
      <w:r>
        <w:rPr/>
        <w:t>con estudiantes con discapacidad (PAPPEMS), movimiento asociado a la ampliación en su cobertura con el fin de contribuir al cumplimiento de lo dispuesto en el Artículo 3o. Constitucional.</w:t>
      </w:r>
    </w:p>
    <w:p>
      <w:pPr>
        <w:pStyle w:val="BodyText"/>
        <w:spacing w:line="242" w:lineRule="auto" w:before="110"/>
        <w:ind w:right="117"/>
      </w:pPr>
      <w:r>
        <w:rPr/>
        <w:t>Las presentes RO se encuentran en el marco de lo establecido en el Acuerdo por el que se emiten los Lineamientos para incorporar la perspectiva de género en las RO de los programas presupuestarios federales, publicado en el DOF el 29 de junio de </w:t>
      </w:r>
      <w:r>
        <w:rPr>
          <w:spacing w:val="-2"/>
        </w:rPr>
        <w:t>2016.</w:t>
      </w:r>
    </w:p>
    <w:p>
      <w:pPr>
        <w:pStyle w:val="BodyText"/>
        <w:spacing w:line="242" w:lineRule="auto" w:before="93"/>
      </w:pPr>
      <w:r>
        <w:rPr/>
        <w:t>De</w:t>
      </w:r>
      <w:r>
        <w:rPr>
          <w:spacing w:val="-2"/>
        </w:rPr>
        <w:t> </w:t>
      </w:r>
      <w:r>
        <w:rPr/>
        <w:t>conformidad</w:t>
      </w:r>
      <w:r>
        <w:rPr>
          <w:spacing w:val="-2"/>
        </w:rPr>
        <w:t> </w:t>
      </w:r>
      <w:r>
        <w:rPr/>
        <w:t>con</w:t>
      </w:r>
      <w:r>
        <w:rPr>
          <w:spacing w:val="-2"/>
        </w:rPr>
        <w:t> </w:t>
      </w:r>
      <w:r>
        <w:rPr/>
        <w:t>lo</w:t>
      </w:r>
      <w:r>
        <w:rPr>
          <w:spacing w:val="-2"/>
        </w:rPr>
        <w:t> </w:t>
      </w:r>
      <w:r>
        <w:rPr/>
        <w:t>dispuesto</w:t>
      </w:r>
      <w:r>
        <w:rPr>
          <w:spacing w:val="-2"/>
        </w:rPr>
        <w:t> </w:t>
      </w:r>
      <w:r>
        <w:rPr/>
        <w:t>en</w:t>
      </w:r>
      <w:r>
        <w:rPr>
          <w:spacing w:val="-2"/>
        </w:rPr>
        <w:t> </w:t>
      </w:r>
      <w:r>
        <w:rPr/>
        <w:t>el</w:t>
      </w:r>
      <w:r>
        <w:rPr>
          <w:spacing w:val="-2"/>
        </w:rPr>
        <w:t> </w:t>
      </w:r>
      <w:r>
        <w:rPr/>
        <w:t>artículo</w:t>
      </w:r>
      <w:r>
        <w:rPr>
          <w:spacing w:val="-2"/>
        </w:rPr>
        <w:t> </w:t>
      </w:r>
      <w:r>
        <w:rPr/>
        <w:t>179</w:t>
      </w:r>
      <w:r>
        <w:rPr>
          <w:spacing w:val="-2"/>
        </w:rPr>
        <w:t> </w:t>
      </w:r>
      <w:r>
        <w:rPr/>
        <w:t>del</w:t>
      </w:r>
      <w:r>
        <w:rPr>
          <w:spacing w:val="-2"/>
        </w:rPr>
        <w:t> </w:t>
      </w:r>
      <w:r>
        <w:rPr/>
        <w:t>RLFPRH,</w:t>
      </w:r>
      <w:r>
        <w:rPr>
          <w:spacing w:val="-2"/>
        </w:rPr>
        <w:t> </w:t>
      </w:r>
      <w:r>
        <w:rPr/>
        <w:t>se</w:t>
      </w:r>
      <w:r>
        <w:rPr>
          <w:spacing w:val="-2"/>
        </w:rPr>
        <w:t> </w:t>
      </w:r>
      <w:r>
        <w:rPr/>
        <w:t>verificó</w:t>
      </w:r>
      <w:r>
        <w:rPr>
          <w:spacing w:val="-2"/>
        </w:rPr>
        <w:t> </w:t>
      </w:r>
      <w:r>
        <w:rPr/>
        <w:t>que</w:t>
      </w:r>
      <w:r>
        <w:rPr>
          <w:spacing w:val="-2"/>
        </w:rPr>
        <w:t> </w:t>
      </w:r>
      <w:r>
        <w:rPr/>
        <w:t>el</w:t>
      </w:r>
      <w:r>
        <w:rPr>
          <w:spacing w:val="-2"/>
        </w:rPr>
        <w:t> </w:t>
      </w:r>
      <w:r>
        <w:rPr/>
        <w:t>Programa</w:t>
      </w:r>
      <w:r>
        <w:rPr>
          <w:spacing w:val="-2"/>
        </w:rPr>
        <w:t> </w:t>
      </w:r>
      <w:r>
        <w:rPr/>
        <w:t>objeto</w:t>
      </w:r>
      <w:r>
        <w:rPr>
          <w:spacing w:val="-2"/>
        </w:rPr>
        <w:t> </w:t>
      </w:r>
      <w:r>
        <w:rPr/>
        <w:t>de</w:t>
      </w:r>
      <w:r>
        <w:rPr>
          <w:spacing w:val="-2"/>
        </w:rPr>
        <w:t> </w:t>
      </w:r>
      <w:r>
        <w:rPr/>
        <w:t>las</w:t>
      </w:r>
      <w:r>
        <w:rPr>
          <w:spacing w:val="-2"/>
        </w:rPr>
        <w:t> </w:t>
      </w:r>
      <w:r>
        <w:rPr/>
        <w:t>presentes</w:t>
      </w:r>
      <w:r>
        <w:rPr>
          <w:spacing w:val="-2"/>
        </w:rPr>
        <w:t> </w:t>
      </w:r>
      <w:r>
        <w:rPr/>
        <w:t>RO</w:t>
      </w:r>
      <w:r>
        <w:rPr>
          <w:spacing w:val="-2"/>
        </w:rPr>
        <w:t> </w:t>
      </w:r>
      <w:r>
        <w:rPr/>
        <w:t>no</w:t>
      </w:r>
      <w:r>
        <w:rPr>
          <w:spacing w:val="-2"/>
        </w:rPr>
        <w:t> </w:t>
      </w:r>
      <w:r>
        <w:rPr/>
        <w:t>se contrapone, afecta ni presenta duplicidades con otros programas y acciones del Gobierno Federal, en cuanto a su diseño, beneficios, apoyos otorgados y población objetivo, así como que se cumplen las disposiciones aplicables.</w:t>
      </w:r>
    </w:p>
    <w:p>
      <w:pPr>
        <w:spacing w:after="0" w:line="242" w:lineRule="auto"/>
        <w:sectPr>
          <w:pgSz w:w="12240" w:h="15840"/>
          <w:pgMar w:header="269" w:footer="260" w:top="460" w:bottom="440" w:left="860" w:right="720"/>
        </w:sectPr>
      </w:pPr>
    </w:p>
    <w:p>
      <w:pPr>
        <w:pStyle w:val="Heading1"/>
        <w:numPr>
          <w:ilvl w:val="0"/>
          <w:numId w:val="2"/>
        </w:numPr>
        <w:tabs>
          <w:tab w:pos="4912" w:val="left" w:leader="none"/>
        </w:tabs>
        <w:spacing w:line="240" w:lineRule="auto" w:before="82" w:after="0"/>
        <w:ind w:left="4912" w:right="0" w:hanging="200"/>
        <w:jc w:val="left"/>
        <w:rPr>
          <w:rFonts w:ascii="Arial"/>
        </w:rPr>
      </w:pPr>
      <w:r>
        <w:rPr>
          <w:rFonts w:ascii="Arial"/>
          <w:spacing w:val="-2"/>
        </w:rPr>
        <w:t>OBJETIVOS</w:t>
      </w:r>
    </w:p>
    <w:p>
      <w:pPr>
        <w:pStyle w:val="Heading2"/>
        <w:numPr>
          <w:ilvl w:val="1"/>
          <w:numId w:val="2"/>
        </w:numPr>
        <w:tabs>
          <w:tab w:pos="752" w:val="left" w:leader="none"/>
        </w:tabs>
        <w:spacing w:line="240" w:lineRule="auto" w:before="93" w:after="0"/>
        <w:ind w:left="752" w:right="0" w:hanging="350"/>
        <w:jc w:val="left"/>
      </w:pPr>
      <w:r>
        <w:rPr>
          <w:spacing w:val="-2"/>
        </w:rPr>
        <w:t>General</w:t>
      </w:r>
    </w:p>
    <w:p>
      <w:pPr>
        <w:pStyle w:val="BodyText"/>
        <w:spacing w:line="242" w:lineRule="auto"/>
        <w:ind w:right="0"/>
        <w:jc w:val="left"/>
      </w:pPr>
      <w:r>
        <w:rPr/>
        <w:t>Favorecer el acceso a servicios educativos apropiados en los planteles públicos de educación media superior de las </w:t>
      </w:r>
      <w:r>
        <w:rPr/>
        <w:t>personas con discapacidad.</w:t>
      </w:r>
    </w:p>
    <w:p>
      <w:pPr>
        <w:pStyle w:val="Heading2"/>
        <w:numPr>
          <w:ilvl w:val="1"/>
          <w:numId w:val="2"/>
        </w:numPr>
        <w:tabs>
          <w:tab w:pos="752" w:val="left" w:leader="none"/>
        </w:tabs>
        <w:spacing w:line="240" w:lineRule="auto" w:before="92" w:after="0"/>
        <w:ind w:left="752" w:right="0" w:hanging="350"/>
        <w:jc w:val="left"/>
      </w:pPr>
      <w:r>
        <w:rPr>
          <w:spacing w:val="-2"/>
        </w:rPr>
        <w:t>Específicos</w:t>
      </w:r>
    </w:p>
    <w:p>
      <w:pPr>
        <w:pStyle w:val="ListParagraph"/>
        <w:numPr>
          <w:ilvl w:val="0"/>
          <w:numId w:val="3"/>
        </w:numPr>
        <w:tabs>
          <w:tab w:pos="834" w:val="left" w:leader="none"/>
        </w:tabs>
        <w:spacing w:line="242" w:lineRule="auto" w:before="123" w:after="0"/>
        <w:ind w:left="834" w:right="118" w:hanging="432"/>
        <w:jc w:val="both"/>
        <w:rPr>
          <w:sz w:val="18"/>
        </w:rPr>
      </w:pPr>
      <w:r>
        <w:rPr>
          <w:color w:val="2E2E2E"/>
          <w:sz w:val="18"/>
        </w:rPr>
        <w:t>Contribuir a crear condiciones de accesibilidad en la infraestructura física de los planteles públicos de educación media superior para favorecer la inclusión de estudiantes con discapacidad, a través del apoyo a Proyectos para el</w:t>
      </w:r>
      <w:r>
        <w:rPr>
          <w:color w:val="2E2E2E"/>
          <w:spacing w:val="-2"/>
          <w:sz w:val="18"/>
        </w:rPr>
        <w:t> </w:t>
      </w:r>
      <w:r>
        <w:rPr>
          <w:color w:val="2E2E2E"/>
          <w:sz w:val="18"/>
        </w:rPr>
        <w:t>Avance </w:t>
      </w:r>
      <w:r>
        <w:rPr>
          <w:color w:val="2E2E2E"/>
          <w:sz w:val="18"/>
        </w:rPr>
        <w:t>en</w:t>
      </w:r>
      <w:r>
        <w:rPr>
          <w:color w:val="2E2E2E"/>
          <w:spacing w:val="40"/>
          <w:sz w:val="18"/>
        </w:rPr>
        <w:t> </w:t>
      </w:r>
      <w:r>
        <w:rPr>
          <w:color w:val="2E2E2E"/>
          <w:sz w:val="18"/>
        </w:rPr>
        <w:t>la Atención de la Educación Media Superior para Estudiantes con Discapacidad.</w:t>
      </w:r>
    </w:p>
    <w:p>
      <w:pPr>
        <w:pStyle w:val="ListParagraph"/>
        <w:numPr>
          <w:ilvl w:val="0"/>
          <w:numId w:val="3"/>
        </w:numPr>
        <w:tabs>
          <w:tab w:pos="834" w:val="left" w:leader="none"/>
          <w:tab w:pos="916" w:val="left" w:leader="none"/>
        </w:tabs>
        <w:spacing w:line="242" w:lineRule="auto" w:before="108" w:after="0"/>
        <w:ind w:left="834" w:right="118" w:hanging="432"/>
        <w:jc w:val="both"/>
        <w:rPr>
          <w:sz w:val="18"/>
        </w:rPr>
      </w:pPr>
      <w:r>
        <w:rPr>
          <w:color w:val="2E2E2E"/>
          <w:sz w:val="18"/>
        </w:rPr>
        <w:tab/>
        <w:t>Promover que los planteles públicos de educación media superior cuenten con libros de texto, material didáctico y tecnologías de la información, comunicación, conocimiento y aprendizaje digitales diseñados para estudiantes </w:t>
      </w:r>
      <w:r>
        <w:rPr>
          <w:color w:val="2E2E2E"/>
          <w:sz w:val="18"/>
        </w:rPr>
        <w:t>con discapacidad, mediante Proyectos para el Avance en la Atención de la Educación Media Superior para Estudiantes con </w:t>
      </w:r>
      <w:r>
        <w:rPr>
          <w:color w:val="2E2E2E"/>
          <w:spacing w:val="-2"/>
          <w:sz w:val="18"/>
        </w:rPr>
        <w:t>Discapacidad.</w:t>
      </w:r>
    </w:p>
    <w:p>
      <w:pPr>
        <w:pStyle w:val="Heading1"/>
        <w:numPr>
          <w:ilvl w:val="0"/>
          <w:numId w:val="2"/>
        </w:numPr>
        <w:tabs>
          <w:tab w:pos="4748" w:val="left" w:leader="none"/>
        </w:tabs>
        <w:spacing w:line="240" w:lineRule="auto" w:before="94" w:after="0"/>
        <w:ind w:left="4748" w:right="0" w:hanging="200"/>
        <w:jc w:val="left"/>
        <w:rPr>
          <w:rFonts w:ascii="Arial"/>
        </w:rPr>
      </w:pPr>
      <w:r>
        <w:rPr>
          <w:rFonts w:ascii="Arial"/>
          <w:spacing w:val="-2"/>
        </w:rPr>
        <w:t>LINEAMIENTOS</w:t>
      </w:r>
    </w:p>
    <w:p>
      <w:pPr>
        <w:pStyle w:val="Heading2"/>
        <w:numPr>
          <w:ilvl w:val="1"/>
          <w:numId w:val="2"/>
        </w:numPr>
        <w:tabs>
          <w:tab w:pos="752" w:val="left" w:leader="none"/>
        </w:tabs>
        <w:spacing w:line="240" w:lineRule="auto" w:before="108" w:after="0"/>
        <w:ind w:left="752" w:right="0" w:hanging="350"/>
        <w:jc w:val="left"/>
      </w:pPr>
      <w:r>
        <w:rPr>
          <w:spacing w:val="-2"/>
        </w:rPr>
        <w:t>Cobertura</w:t>
      </w:r>
    </w:p>
    <w:p>
      <w:pPr>
        <w:pStyle w:val="BodyText"/>
        <w:spacing w:line="242" w:lineRule="auto" w:before="93"/>
      </w:pPr>
      <w:r>
        <w:rPr>
          <w:color w:val="2E2E2E"/>
        </w:rPr>
        <w:t>La</w:t>
      </w:r>
      <w:r>
        <w:rPr>
          <w:color w:val="2E2E2E"/>
          <w:spacing w:val="-1"/>
        </w:rPr>
        <w:t> </w:t>
      </w:r>
      <w:r>
        <w:rPr>
          <w:color w:val="2E2E2E"/>
        </w:rPr>
        <w:t>cobertura</w:t>
      </w:r>
      <w:r>
        <w:rPr>
          <w:color w:val="2E2E2E"/>
          <w:spacing w:val="-1"/>
        </w:rPr>
        <w:t> </w:t>
      </w:r>
      <w:r>
        <w:rPr>
          <w:color w:val="2E2E2E"/>
        </w:rPr>
        <w:t>del</w:t>
      </w:r>
      <w:r>
        <w:rPr>
          <w:color w:val="2E2E2E"/>
          <w:spacing w:val="-1"/>
        </w:rPr>
        <w:t> </w:t>
      </w:r>
      <w:r>
        <w:rPr>
          <w:color w:val="2E2E2E"/>
        </w:rPr>
        <w:t>PAPPEMS</w:t>
      </w:r>
      <w:r>
        <w:rPr>
          <w:color w:val="2E2E2E"/>
          <w:spacing w:val="-1"/>
        </w:rPr>
        <w:t> </w:t>
      </w:r>
      <w:r>
        <w:rPr>
          <w:color w:val="2E2E2E"/>
        </w:rPr>
        <w:t>es</w:t>
      </w:r>
      <w:r>
        <w:rPr>
          <w:color w:val="2E2E2E"/>
          <w:spacing w:val="-1"/>
        </w:rPr>
        <w:t> </w:t>
      </w:r>
      <w:r>
        <w:rPr>
          <w:color w:val="2E2E2E"/>
        </w:rPr>
        <w:t>a</w:t>
      </w:r>
      <w:r>
        <w:rPr>
          <w:color w:val="2E2E2E"/>
          <w:spacing w:val="-1"/>
        </w:rPr>
        <w:t> </w:t>
      </w:r>
      <w:r>
        <w:rPr>
          <w:color w:val="2E2E2E"/>
        </w:rPr>
        <w:t>nivel</w:t>
      </w:r>
      <w:r>
        <w:rPr>
          <w:color w:val="2E2E2E"/>
          <w:spacing w:val="-1"/>
        </w:rPr>
        <w:t> </w:t>
      </w:r>
      <w:r>
        <w:rPr>
          <w:color w:val="2E2E2E"/>
        </w:rPr>
        <w:t>nacional,</w:t>
      </w:r>
      <w:r>
        <w:rPr>
          <w:color w:val="2E2E2E"/>
          <w:spacing w:val="-1"/>
        </w:rPr>
        <w:t> </w:t>
      </w:r>
      <w:r>
        <w:rPr>
          <w:color w:val="2E2E2E"/>
        </w:rPr>
        <w:t>abarcando</w:t>
      </w:r>
      <w:r>
        <w:rPr>
          <w:color w:val="2E2E2E"/>
          <w:spacing w:val="-1"/>
        </w:rPr>
        <w:t> </w:t>
      </w:r>
      <w:r>
        <w:rPr>
          <w:color w:val="2E2E2E"/>
        </w:rPr>
        <w:t>las</w:t>
      </w:r>
      <w:r>
        <w:rPr>
          <w:color w:val="2E2E2E"/>
          <w:spacing w:val="-1"/>
        </w:rPr>
        <w:t> </w:t>
      </w:r>
      <w:r>
        <w:rPr>
          <w:color w:val="2E2E2E"/>
        </w:rPr>
        <w:t>32</w:t>
      </w:r>
      <w:r>
        <w:rPr>
          <w:color w:val="2E2E2E"/>
          <w:spacing w:val="-1"/>
        </w:rPr>
        <w:t> </w:t>
      </w:r>
      <w:r>
        <w:rPr>
          <w:color w:val="2E2E2E"/>
        </w:rPr>
        <w:t>entidades</w:t>
      </w:r>
      <w:r>
        <w:rPr>
          <w:color w:val="2E2E2E"/>
          <w:spacing w:val="-1"/>
        </w:rPr>
        <w:t> </w:t>
      </w:r>
      <w:r>
        <w:rPr>
          <w:color w:val="2E2E2E"/>
        </w:rPr>
        <w:t>federativas</w:t>
      </w:r>
      <w:r>
        <w:rPr>
          <w:color w:val="2E2E2E"/>
          <w:spacing w:val="-1"/>
        </w:rPr>
        <w:t> </w:t>
      </w:r>
      <w:r>
        <w:rPr>
          <w:color w:val="2E2E2E"/>
        </w:rPr>
        <w:t>en</w:t>
      </w:r>
      <w:r>
        <w:rPr>
          <w:color w:val="2E2E2E"/>
          <w:spacing w:val="-1"/>
        </w:rPr>
        <w:t> </w:t>
      </w:r>
      <w:r>
        <w:rPr>
          <w:color w:val="2E2E2E"/>
        </w:rPr>
        <w:t>las</w:t>
      </w:r>
      <w:r>
        <w:rPr>
          <w:color w:val="2E2E2E"/>
          <w:spacing w:val="-1"/>
        </w:rPr>
        <w:t> </w:t>
      </w:r>
      <w:r>
        <w:rPr>
          <w:color w:val="2E2E2E"/>
        </w:rPr>
        <w:t>que</w:t>
      </w:r>
      <w:r>
        <w:rPr>
          <w:color w:val="2E2E2E"/>
          <w:spacing w:val="-1"/>
        </w:rPr>
        <w:t> </w:t>
      </w:r>
      <w:r>
        <w:rPr>
          <w:color w:val="2E2E2E"/>
        </w:rPr>
        <w:t>se</w:t>
      </w:r>
      <w:r>
        <w:rPr>
          <w:color w:val="2E2E2E"/>
          <w:spacing w:val="-1"/>
        </w:rPr>
        <w:t> </w:t>
      </w:r>
      <w:r>
        <w:rPr>
          <w:color w:val="2E2E2E"/>
        </w:rPr>
        <w:t>encuentran</w:t>
      </w:r>
      <w:r>
        <w:rPr>
          <w:color w:val="2E2E2E"/>
          <w:spacing w:val="-1"/>
        </w:rPr>
        <w:t> </w:t>
      </w:r>
      <w:r>
        <w:rPr>
          <w:color w:val="2E2E2E"/>
        </w:rPr>
        <w:t>los</w:t>
      </w:r>
      <w:r>
        <w:rPr>
          <w:color w:val="2E2E2E"/>
          <w:spacing w:val="-1"/>
        </w:rPr>
        <w:t> </w:t>
      </w:r>
      <w:r>
        <w:rPr>
          <w:color w:val="2E2E2E"/>
        </w:rPr>
        <w:t>planteles públicos que imparten educación media superior, adscritos a los Subsistemas de Educación Media Superior.</w:t>
      </w:r>
    </w:p>
    <w:p>
      <w:pPr>
        <w:pStyle w:val="Heading2"/>
        <w:numPr>
          <w:ilvl w:val="1"/>
          <w:numId w:val="2"/>
        </w:numPr>
        <w:tabs>
          <w:tab w:pos="752" w:val="left" w:leader="none"/>
        </w:tabs>
        <w:spacing w:line="240" w:lineRule="auto" w:before="106" w:after="0"/>
        <w:ind w:left="752" w:right="0" w:hanging="350"/>
        <w:jc w:val="left"/>
      </w:pPr>
      <w:r>
        <w:rPr/>
        <w:t>Población </w:t>
      </w:r>
      <w:r>
        <w:rPr>
          <w:spacing w:val="-2"/>
        </w:rPr>
        <w:t>objetivo</w:t>
      </w:r>
    </w:p>
    <w:p>
      <w:pPr>
        <w:pStyle w:val="BodyText"/>
        <w:spacing w:line="242" w:lineRule="auto" w:before="94"/>
      </w:pPr>
      <w:r>
        <w:rPr/>
        <w:t>El presente programa, se dirige a los planteles públicos de educación media superior, en los cuales se proporcionen servicios educativos y cuenten con matrícula de estudiantes con discapacidad, de acuerdo con la estadística educativa o que se acredite mediante Certificado de Discapacidad</w:t>
      </w:r>
    </w:p>
    <w:p>
      <w:pPr>
        <w:pStyle w:val="Heading2"/>
        <w:numPr>
          <w:ilvl w:val="1"/>
          <w:numId w:val="2"/>
        </w:numPr>
        <w:tabs>
          <w:tab w:pos="752" w:val="left" w:leader="none"/>
        </w:tabs>
        <w:spacing w:line="240" w:lineRule="auto" w:before="92" w:after="0"/>
        <w:ind w:left="752" w:right="0" w:hanging="350"/>
        <w:jc w:val="left"/>
      </w:pPr>
      <w:r>
        <w:rPr>
          <w:spacing w:val="-2"/>
        </w:rPr>
        <w:t>Beneficiarios/as</w:t>
      </w:r>
    </w:p>
    <w:p>
      <w:pPr>
        <w:pStyle w:val="BodyText"/>
        <w:spacing w:line="242" w:lineRule="auto"/>
        <w:ind w:right="117"/>
      </w:pPr>
      <w:r>
        <w:rPr/>
        <w:t>Los beneficiarios del programa son los planteles públicos de educación media superior por conducto de la</w:t>
      </w:r>
      <w:r>
        <w:rPr>
          <w:spacing w:val="-6"/>
        </w:rPr>
        <w:t> </w:t>
      </w:r>
      <w:r>
        <w:rPr/>
        <w:t>AEL, que dentro de su matrícula escolar tengan registrados estudiantes con discapacidad, de acuerdo con la estadística educativa o que se acredite mediante Certificado de Discapacidad.</w:t>
      </w:r>
    </w:p>
    <w:p>
      <w:pPr>
        <w:pStyle w:val="Heading2"/>
        <w:numPr>
          <w:ilvl w:val="2"/>
          <w:numId w:val="2"/>
        </w:numPr>
        <w:tabs>
          <w:tab w:pos="902" w:val="left" w:leader="none"/>
        </w:tabs>
        <w:spacing w:line="240" w:lineRule="auto" w:before="93" w:after="0"/>
        <w:ind w:left="902" w:right="0" w:hanging="500"/>
        <w:jc w:val="left"/>
      </w:pPr>
      <w:r>
        <w:rPr>
          <w:spacing w:val="-2"/>
        </w:rPr>
        <w:t>Requisitos</w:t>
      </w:r>
    </w:p>
    <w:p>
      <w:pPr>
        <w:pStyle w:val="ListParagraph"/>
        <w:numPr>
          <w:ilvl w:val="0"/>
          <w:numId w:val="4"/>
        </w:numPr>
        <w:tabs>
          <w:tab w:pos="612" w:val="left" w:leader="none"/>
        </w:tabs>
        <w:spacing w:line="240" w:lineRule="auto" w:before="93" w:after="0"/>
        <w:ind w:left="612" w:right="0" w:hanging="210"/>
        <w:jc w:val="left"/>
        <w:rPr>
          <w:sz w:val="18"/>
        </w:rPr>
      </w:pPr>
      <w:r>
        <w:rPr>
          <w:color w:val="2E2E2E"/>
          <w:sz w:val="18"/>
        </w:rPr>
        <w:t>Ser planteles públicos de educación media </w:t>
      </w:r>
      <w:r>
        <w:rPr>
          <w:color w:val="2E2E2E"/>
          <w:spacing w:val="-2"/>
          <w:sz w:val="18"/>
        </w:rPr>
        <w:t>superior.</w:t>
      </w:r>
    </w:p>
    <w:p>
      <w:pPr>
        <w:pStyle w:val="ListParagraph"/>
        <w:numPr>
          <w:ilvl w:val="0"/>
          <w:numId w:val="4"/>
        </w:numPr>
        <w:tabs>
          <w:tab w:pos="613" w:val="left" w:leader="none"/>
        </w:tabs>
        <w:spacing w:line="242" w:lineRule="auto" w:before="108" w:after="0"/>
        <w:ind w:left="114" w:right="118" w:firstLine="287"/>
        <w:jc w:val="left"/>
        <w:rPr>
          <w:sz w:val="18"/>
        </w:rPr>
      </w:pPr>
      <w:r>
        <w:rPr>
          <w:color w:val="2E2E2E"/>
          <w:sz w:val="18"/>
        </w:rPr>
        <w:t>Tener matrícula escolar de estudiantes con discapacidad, registrada en la estadística educativa o que se acredite </w:t>
      </w:r>
      <w:r>
        <w:rPr>
          <w:color w:val="2E2E2E"/>
          <w:sz w:val="18"/>
        </w:rPr>
        <w:t>mediante Certificado de Discapacidad.</w:t>
      </w:r>
    </w:p>
    <w:p>
      <w:pPr>
        <w:pStyle w:val="ListParagraph"/>
        <w:numPr>
          <w:ilvl w:val="0"/>
          <w:numId w:val="4"/>
        </w:numPr>
        <w:tabs>
          <w:tab w:pos="603" w:val="left" w:leader="none"/>
        </w:tabs>
        <w:spacing w:line="242" w:lineRule="auto" w:before="92" w:after="0"/>
        <w:ind w:left="114" w:right="118" w:firstLine="287"/>
        <w:jc w:val="left"/>
        <w:rPr>
          <w:sz w:val="18"/>
        </w:rPr>
      </w:pPr>
      <w:r>
        <w:rPr>
          <w:color w:val="2E2E2E"/>
          <w:sz w:val="18"/>
        </w:rPr>
        <w:t>Registrar su Proyecto para el</w:t>
      </w:r>
      <w:r>
        <w:rPr>
          <w:color w:val="2E2E2E"/>
          <w:spacing w:val="-9"/>
          <w:sz w:val="18"/>
        </w:rPr>
        <w:t> </w:t>
      </w:r>
      <w:r>
        <w:rPr>
          <w:color w:val="2E2E2E"/>
          <w:sz w:val="18"/>
        </w:rPr>
        <w:t>Avance en la</w:t>
      </w:r>
      <w:r>
        <w:rPr>
          <w:color w:val="2E2E2E"/>
          <w:spacing w:val="-9"/>
          <w:sz w:val="18"/>
        </w:rPr>
        <w:t> </w:t>
      </w:r>
      <w:r>
        <w:rPr>
          <w:color w:val="2E2E2E"/>
          <w:sz w:val="18"/>
        </w:rPr>
        <w:t>Atención de la Educación Media Superior para Estudiantes con Discapacidad en el Sistema del PAPPEMS, cumpliendo con los requisitos específicos que se establezcan en las convocatorias.</w:t>
      </w:r>
    </w:p>
    <w:p>
      <w:pPr>
        <w:pStyle w:val="BodyText"/>
        <w:spacing w:line="242" w:lineRule="auto" w:before="107"/>
      </w:pPr>
      <w:r>
        <w:rPr/>
        <w:t>Los criterios de selección y priorización, en ningún caso, resultarán discriminatorios en materia de género y de derechos humanos; por lo que de manera general la SEMS, a través de la CSPyA, cuando los recursos disponibles sean insuficientes, seleccionarán a los planteles públicos de educación media superior, en función de los siguientes criterios:</w:t>
      </w:r>
    </w:p>
    <w:p>
      <w:pPr>
        <w:pStyle w:val="ListParagraph"/>
        <w:numPr>
          <w:ilvl w:val="0"/>
          <w:numId w:val="5"/>
        </w:numPr>
        <w:tabs>
          <w:tab w:pos="474" w:val="left" w:leader="none"/>
          <w:tab w:pos="568" w:val="left" w:leader="none"/>
        </w:tabs>
        <w:spacing w:line="235" w:lineRule="auto" w:before="111" w:after="0"/>
        <w:ind w:left="474" w:right="118" w:hanging="360"/>
        <w:jc w:val="both"/>
        <w:rPr>
          <w:sz w:val="18"/>
        </w:rPr>
      </w:pPr>
      <w:r>
        <w:rPr>
          <w:color w:val="2E2E2E"/>
          <w:sz w:val="18"/>
        </w:rPr>
        <w:tab/>
      </w:r>
      <w:r>
        <w:rPr>
          <w:sz w:val="18"/>
        </w:rPr>
        <w:t>Se contemplarán únicamente a aquellos Proyectos para el Avance en la Atención de la Educación Media Superior </w:t>
      </w:r>
      <w:r>
        <w:rPr>
          <w:sz w:val="18"/>
        </w:rPr>
        <w:t>para Estudiantes con Discapacidad que ingresen en tiempo y forma, de acuerdo con la convocatoria que se emita para tal fin.</w:t>
      </w:r>
    </w:p>
    <w:p>
      <w:pPr>
        <w:pStyle w:val="ListParagraph"/>
        <w:numPr>
          <w:ilvl w:val="0"/>
          <w:numId w:val="5"/>
        </w:numPr>
        <w:tabs>
          <w:tab w:pos="474" w:val="left" w:leader="none"/>
          <w:tab w:pos="479" w:val="left" w:leader="none"/>
        </w:tabs>
        <w:spacing w:line="235" w:lineRule="auto" w:before="113" w:after="0"/>
        <w:ind w:left="474" w:right="118" w:hanging="360"/>
        <w:jc w:val="both"/>
        <w:rPr>
          <w:sz w:val="18"/>
        </w:rPr>
      </w:pPr>
      <w:r>
        <w:rPr>
          <w:color w:val="2E2E2E"/>
          <w:sz w:val="18"/>
        </w:rPr>
        <w:tab/>
      </w:r>
      <w:r>
        <w:rPr>
          <w:sz w:val="18"/>
        </w:rPr>
        <w:t>Los Proyectos para el</w:t>
      </w:r>
      <w:r>
        <w:rPr>
          <w:spacing w:val="-7"/>
          <w:sz w:val="18"/>
        </w:rPr>
        <w:t> </w:t>
      </w:r>
      <w:r>
        <w:rPr>
          <w:sz w:val="18"/>
        </w:rPr>
        <w:t>Avance en la</w:t>
      </w:r>
      <w:r>
        <w:rPr>
          <w:spacing w:val="-7"/>
          <w:sz w:val="18"/>
        </w:rPr>
        <w:t> </w:t>
      </w:r>
      <w:r>
        <w:rPr>
          <w:sz w:val="18"/>
        </w:rPr>
        <w:t>Atención de la Educación Media Superior para Estudiantes con Discapacidad ingresados deberán cumplir con la totalidad de los requisitos solicitados.</w:t>
      </w:r>
    </w:p>
    <w:p>
      <w:pPr>
        <w:pStyle w:val="ListParagraph"/>
        <w:numPr>
          <w:ilvl w:val="0"/>
          <w:numId w:val="5"/>
        </w:numPr>
        <w:tabs>
          <w:tab w:pos="474" w:val="left" w:leader="none"/>
          <w:tab w:pos="623" w:val="left" w:leader="none"/>
        </w:tabs>
        <w:spacing w:line="240" w:lineRule="auto" w:before="124" w:after="0"/>
        <w:ind w:left="474" w:right="118" w:hanging="360"/>
        <w:jc w:val="both"/>
        <w:rPr>
          <w:sz w:val="18"/>
        </w:rPr>
      </w:pPr>
      <w:r>
        <w:rPr>
          <w:color w:val="2E2E2E"/>
          <w:sz w:val="18"/>
        </w:rPr>
        <w:tab/>
      </w:r>
      <w:r>
        <w:rPr>
          <w:sz w:val="18"/>
        </w:rPr>
        <w:t>Se favorecerá a los Proyectos para el Avance en la Atención de la Educación Media Superior para Estudiantes con Discapacidad de planteles públicos de educación media superior, de acuerdo con la cantidad de estudiantes con</w:t>
      </w:r>
      <w:r>
        <w:rPr>
          <w:spacing w:val="40"/>
          <w:sz w:val="18"/>
        </w:rPr>
        <w:t> </w:t>
      </w:r>
      <w:r>
        <w:rPr>
          <w:sz w:val="18"/>
        </w:rPr>
        <w:t>discapacidad que atiende.</w:t>
      </w:r>
    </w:p>
    <w:p>
      <w:pPr>
        <w:pStyle w:val="BodyText"/>
        <w:spacing w:line="242" w:lineRule="auto" w:before="93"/>
        <w:ind w:right="117"/>
      </w:pPr>
      <w:r>
        <w:rPr/>
        <w:t>Con apego a las presentes RO, cada plantel público de educación media superior, en los cuales se proporcionen </w:t>
      </w:r>
      <w:r>
        <w:rPr/>
        <w:t>servicios educativos y cuenten con matrícula de estudiantes con discapacidad, de acuerdo con la estadística educativa, podrá participar en el proceso de selección de los Proyectos para el Avance en la Atención de la Educación Media Superior para Estudiantes con </w:t>
      </w:r>
      <w:r>
        <w:rPr>
          <w:spacing w:val="-2"/>
        </w:rPr>
        <w:t>Discapacidad.</w:t>
      </w:r>
    </w:p>
    <w:p>
      <w:pPr>
        <w:pStyle w:val="BodyText"/>
        <w:spacing w:line="242" w:lineRule="auto"/>
      </w:pPr>
      <w:r>
        <w:rPr/>
        <w:t>La directora, director o responsable del plantel deberá capturar y enviar el Proyecto para el Avance en la Atención de </w:t>
      </w:r>
      <w:r>
        <w:rPr/>
        <w:t>la Educación Media Superior para Estudiantes con Discapacidad en el Sistema del PAPPEMS, ubicado en la página </w:t>
      </w:r>
      <w:hyperlink r:id="rId7">
        <w:r>
          <w:rPr/>
          <w:t>http://www.pappems.sems.gob.mx</w:t>
        </w:r>
      </w:hyperlink>
      <w:r>
        <w:rPr/>
        <w:t> y en caso de resultar beneficiario se deberá presentar de manera física, en la dirección: Avenida Universidad Número 1200, Piso 4, Sector 26, Colonia Xoco, Demarcación Territorial Benito Juárez, C.P. 03330, Ciudad de México, la siguiente documentación:</w:t>
      </w:r>
    </w:p>
    <w:p>
      <w:pPr>
        <w:pStyle w:val="ListParagraph"/>
        <w:numPr>
          <w:ilvl w:val="1"/>
          <w:numId w:val="5"/>
        </w:numPr>
        <w:tabs>
          <w:tab w:pos="602" w:val="left" w:leader="none"/>
        </w:tabs>
        <w:spacing w:line="242" w:lineRule="auto" w:before="110" w:after="0"/>
        <w:ind w:left="114" w:right="118" w:firstLine="287"/>
        <w:jc w:val="left"/>
        <w:rPr>
          <w:sz w:val="18"/>
        </w:rPr>
      </w:pPr>
      <w:r>
        <w:rPr>
          <w:sz w:val="18"/>
        </w:rPr>
        <w:t>Oficio</w:t>
      </w:r>
      <w:r>
        <w:rPr>
          <w:spacing w:val="-1"/>
          <w:sz w:val="18"/>
        </w:rPr>
        <w:t> </w:t>
      </w:r>
      <w:r>
        <w:rPr>
          <w:sz w:val="18"/>
        </w:rPr>
        <w:t>de</w:t>
      </w:r>
      <w:r>
        <w:rPr>
          <w:spacing w:val="-1"/>
          <w:sz w:val="18"/>
        </w:rPr>
        <w:t> </w:t>
      </w:r>
      <w:r>
        <w:rPr>
          <w:sz w:val="18"/>
        </w:rPr>
        <w:t>la</w:t>
      </w:r>
      <w:r>
        <w:rPr>
          <w:spacing w:val="-1"/>
          <w:sz w:val="18"/>
        </w:rPr>
        <w:t> </w:t>
      </w:r>
      <w:r>
        <w:rPr>
          <w:sz w:val="18"/>
        </w:rPr>
        <w:t>directora,</w:t>
      </w:r>
      <w:r>
        <w:rPr>
          <w:spacing w:val="-1"/>
          <w:sz w:val="18"/>
        </w:rPr>
        <w:t> </w:t>
      </w:r>
      <w:r>
        <w:rPr>
          <w:sz w:val="18"/>
        </w:rPr>
        <w:t>director</w:t>
      </w:r>
      <w:r>
        <w:rPr>
          <w:spacing w:val="-1"/>
          <w:sz w:val="18"/>
        </w:rPr>
        <w:t> </w:t>
      </w:r>
      <w:r>
        <w:rPr>
          <w:sz w:val="18"/>
        </w:rPr>
        <w:t>o</w:t>
      </w:r>
      <w:r>
        <w:rPr>
          <w:spacing w:val="-1"/>
          <w:sz w:val="18"/>
        </w:rPr>
        <w:t> </w:t>
      </w:r>
      <w:r>
        <w:rPr>
          <w:sz w:val="18"/>
        </w:rPr>
        <w:t>responsable</w:t>
      </w:r>
      <w:r>
        <w:rPr>
          <w:spacing w:val="-1"/>
          <w:sz w:val="18"/>
        </w:rPr>
        <w:t> </w:t>
      </w:r>
      <w:r>
        <w:rPr>
          <w:sz w:val="18"/>
        </w:rPr>
        <w:t>del</w:t>
      </w:r>
      <w:r>
        <w:rPr>
          <w:spacing w:val="-1"/>
          <w:sz w:val="18"/>
        </w:rPr>
        <w:t> </w:t>
      </w:r>
      <w:r>
        <w:rPr>
          <w:sz w:val="18"/>
        </w:rPr>
        <w:t>plantel,</w:t>
      </w:r>
      <w:r>
        <w:rPr>
          <w:spacing w:val="-1"/>
          <w:sz w:val="18"/>
        </w:rPr>
        <w:t> </w:t>
      </w:r>
      <w:r>
        <w:rPr>
          <w:sz w:val="18"/>
        </w:rPr>
        <w:t>en</w:t>
      </w:r>
      <w:r>
        <w:rPr>
          <w:spacing w:val="-1"/>
          <w:sz w:val="18"/>
        </w:rPr>
        <w:t> </w:t>
      </w:r>
      <w:r>
        <w:rPr>
          <w:sz w:val="18"/>
        </w:rPr>
        <w:t>el</w:t>
      </w:r>
      <w:r>
        <w:rPr>
          <w:spacing w:val="-1"/>
          <w:sz w:val="18"/>
        </w:rPr>
        <w:t> </w:t>
      </w:r>
      <w:r>
        <w:rPr>
          <w:sz w:val="18"/>
        </w:rPr>
        <w:t>que</w:t>
      </w:r>
      <w:r>
        <w:rPr>
          <w:spacing w:val="-1"/>
          <w:sz w:val="18"/>
        </w:rPr>
        <w:t> </w:t>
      </w:r>
      <w:r>
        <w:rPr>
          <w:sz w:val="18"/>
        </w:rPr>
        <w:t>manifieste</w:t>
      </w:r>
      <w:r>
        <w:rPr>
          <w:spacing w:val="-1"/>
          <w:sz w:val="18"/>
        </w:rPr>
        <w:t> </w:t>
      </w:r>
      <w:r>
        <w:rPr>
          <w:sz w:val="18"/>
        </w:rPr>
        <w:t>el</w:t>
      </w:r>
      <w:r>
        <w:rPr>
          <w:spacing w:val="-1"/>
          <w:sz w:val="18"/>
        </w:rPr>
        <w:t> </w:t>
      </w:r>
      <w:r>
        <w:rPr>
          <w:sz w:val="18"/>
        </w:rPr>
        <w:t>interés</w:t>
      </w:r>
      <w:r>
        <w:rPr>
          <w:spacing w:val="-1"/>
          <w:sz w:val="18"/>
        </w:rPr>
        <w:t> </w:t>
      </w:r>
      <w:r>
        <w:rPr>
          <w:sz w:val="18"/>
        </w:rPr>
        <w:t>de</w:t>
      </w:r>
      <w:r>
        <w:rPr>
          <w:spacing w:val="-1"/>
          <w:sz w:val="18"/>
        </w:rPr>
        <w:t> </w:t>
      </w:r>
      <w:r>
        <w:rPr>
          <w:sz w:val="18"/>
        </w:rPr>
        <w:t>que</w:t>
      </w:r>
      <w:r>
        <w:rPr>
          <w:spacing w:val="-1"/>
          <w:sz w:val="18"/>
        </w:rPr>
        <w:t> </w:t>
      </w:r>
      <w:r>
        <w:rPr>
          <w:sz w:val="18"/>
        </w:rPr>
        <w:t>su</w:t>
      </w:r>
      <w:r>
        <w:rPr>
          <w:spacing w:val="-1"/>
          <w:sz w:val="18"/>
        </w:rPr>
        <w:t> </w:t>
      </w:r>
      <w:r>
        <w:rPr>
          <w:sz w:val="18"/>
        </w:rPr>
        <w:t>plantel sea</w:t>
      </w:r>
      <w:r>
        <w:rPr>
          <w:spacing w:val="-1"/>
          <w:sz w:val="18"/>
        </w:rPr>
        <w:t> </w:t>
      </w:r>
      <w:r>
        <w:rPr>
          <w:sz w:val="18"/>
        </w:rPr>
        <w:t>beneficiario</w:t>
      </w:r>
      <w:r>
        <w:rPr>
          <w:spacing w:val="-1"/>
          <w:sz w:val="18"/>
        </w:rPr>
        <w:t> </w:t>
      </w:r>
      <w:r>
        <w:rPr>
          <w:sz w:val="18"/>
        </w:rPr>
        <w:t>del PAPPEMS, en el que se avala la veracidad de la información capturada en la página electrónica:</w:t>
      </w:r>
    </w:p>
    <w:p>
      <w:pPr>
        <w:pStyle w:val="BodyText"/>
        <w:spacing w:before="92"/>
        <w:ind w:left="402" w:right="0" w:firstLine="0"/>
        <w:jc w:val="left"/>
      </w:pPr>
      <w:hyperlink r:id="rId7">
        <w:r>
          <w:rPr>
            <w:spacing w:val="-2"/>
          </w:rPr>
          <w:t>http://www.pappems.sems.gob.mx</w:t>
        </w:r>
      </w:hyperlink>
    </w:p>
    <w:p>
      <w:pPr>
        <w:pStyle w:val="ListParagraph"/>
        <w:numPr>
          <w:ilvl w:val="1"/>
          <w:numId w:val="5"/>
        </w:numPr>
        <w:tabs>
          <w:tab w:pos="656" w:val="left" w:leader="none"/>
        </w:tabs>
        <w:spacing w:line="242" w:lineRule="auto" w:before="108" w:after="0"/>
        <w:ind w:left="114" w:right="118" w:firstLine="287"/>
        <w:jc w:val="left"/>
        <w:rPr>
          <w:sz w:val="18"/>
        </w:rPr>
      </w:pPr>
      <w:r>
        <w:rPr>
          <w:sz w:val="18"/>
        </w:rPr>
        <w:t>Ejemplar</w:t>
      </w:r>
      <w:r>
        <w:rPr>
          <w:spacing w:val="40"/>
          <w:sz w:val="18"/>
        </w:rPr>
        <w:t> </w:t>
      </w:r>
      <w:r>
        <w:rPr>
          <w:sz w:val="18"/>
        </w:rPr>
        <w:t>impreso</w:t>
      </w:r>
      <w:r>
        <w:rPr>
          <w:spacing w:val="40"/>
          <w:sz w:val="18"/>
        </w:rPr>
        <w:t> </w:t>
      </w:r>
      <w:r>
        <w:rPr>
          <w:sz w:val="18"/>
        </w:rPr>
        <w:t>de</w:t>
      </w:r>
      <w:r>
        <w:rPr>
          <w:spacing w:val="40"/>
          <w:sz w:val="18"/>
        </w:rPr>
        <w:t> </w:t>
      </w:r>
      <w:r>
        <w:rPr>
          <w:sz w:val="18"/>
        </w:rPr>
        <w:t>los</w:t>
      </w:r>
      <w:r>
        <w:rPr>
          <w:spacing w:val="40"/>
          <w:sz w:val="18"/>
        </w:rPr>
        <w:t> </w:t>
      </w:r>
      <w:r>
        <w:rPr>
          <w:sz w:val="18"/>
        </w:rPr>
        <w:t>documentos</w:t>
      </w:r>
      <w:r>
        <w:rPr>
          <w:spacing w:val="40"/>
          <w:sz w:val="18"/>
        </w:rPr>
        <w:t> </w:t>
      </w:r>
      <w:r>
        <w:rPr>
          <w:sz w:val="18"/>
        </w:rPr>
        <w:t>generados</w:t>
      </w:r>
      <w:r>
        <w:rPr>
          <w:spacing w:val="40"/>
          <w:sz w:val="18"/>
        </w:rPr>
        <w:t> </w:t>
      </w:r>
      <w:r>
        <w:rPr>
          <w:sz w:val="18"/>
        </w:rPr>
        <w:t>en</w:t>
      </w:r>
      <w:r>
        <w:rPr>
          <w:spacing w:val="40"/>
          <w:sz w:val="18"/>
        </w:rPr>
        <w:t> </w:t>
      </w:r>
      <w:r>
        <w:rPr>
          <w:sz w:val="18"/>
        </w:rPr>
        <w:t>el</w:t>
      </w:r>
      <w:r>
        <w:rPr>
          <w:spacing w:val="40"/>
          <w:sz w:val="18"/>
        </w:rPr>
        <w:t> </w:t>
      </w:r>
      <w:r>
        <w:rPr>
          <w:sz w:val="18"/>
        </w:rPr>
        <w:t>sitio</w:t>
      </w:r>
      <w:r>
        <w:rPr>
          <w:spacing w:val="40"/>
          <w:sz w:val="18"/>
        </w:rPr>
        <w:t> </w:t>
      </w:r>
      <w:r>
        <w:rPr>
          <w:sz w:val="18"/>
        </w:rPr>
        <w:t>electrónico</w:t>
      </w:r>
      <w:r>
        <w:rPr>
          <w:spacing w:val="40"/>
          <w:sz w:val="18"/>
        </w:rPr>
        <w:t> </w:t>
      </w:r>
      <w:hyperlink r:id="rId7">
        <w:r>
          <w:rPr>
            <w:sz w:val="18"/>
          </w:rPr>
          <w:t>http://www.pappems.sems.gob.mx,</w:t>
        </w:r>
      </w:hyperlink>
      <w:r>
        <w:rPr>
          <w:spacing w:val="40"/>
          <w:sz w:val="18"/>
        </w:rPr>
        <w:t> </w:t>
      </w:r>
      <w:r>
        <w:rPr>
          <w:sz w:val="18"/>
        </w:rPr>
        <w:t>con</w:t>
      </w:r>
      <w:r>
        <w:rPr>
          <w:spacing w:val="40"/>
          <w:sz w:val="18"/>
        </w:rPr>
        <w:t> </w:t>
      </w:r>
      <w:r>
        <w:rPr>
          <w:sz w:val="18"/>
        </w:rPr>
        <w:t>firma autógrafa de la directora, director o responsable. y sello oficial del plantel.</w:t>
      </w:r>
    </w:p>
    <w:p>
      <w:pPr>
        <w:pStyle w:val="ListParagraph"/>
        <w:numPr>
          <w:ilvl w:val="1"/>
          <w:numId w:val="5"/>
        </w:numPr>
        <w:tabs>
          <w:tab w:pos="616" w:val="left" w:leader="none"/>
        </w:tabs>
        <w:spacing w:line="242" w:lineRule="auto" w:before="107" w:after="0"/>
        <w:ind w:left="114" w:right="118" w:firstLine="287"/>
        <w:jc w:val="both"/>
        <w:rPr>
          <w:sz w:val="18"/>
        </w:rPr>
      </w:pPr>
      <w:r>
        <w:rPr>
          <w:sz w:val="18"/>
        </w:rPr>
        <w:t>Proyecto para el Avance en la Atención de la Educación Media Superior para Estudiantes con Discapacidad en el que </w:t>
      </w:r>
      <w:r>
        <w:rPr>
          <w:sz w:val="18"/>
        </w:rPr>
        <w:t>se precisará la situación y requerimientos al interior del plantel público para la atención de las y los estudiantes con discapacidad, identificando</w:t>
      </w:r>
      <w:r>
        <w:rPr>
          <w:spacing w:val="17"/>
          <w:sz w:val="18"/>
        </w:rPr>
        <w:t> </w:t>
      </w:r>
      <w:r>
        <w:rPr>
          <w:sz w:val="18"/>
        </w:rPr>
        <w:t>las</w:t>
      </w:r>
      <w:r>
        <w:rPr>
          <w:spacing w:val="17"/>
          <w:sz w:val="18"/>
        </w:rPr>
        <w:t> </w:t>
      </w:r>
      <w:r>
        <w:rPr>
          <w:sz w:val="18"/>
        </w:rPr>
        <w:t>necesidades</w:t>
      </w:r>
      <w:r>
        <w:rPr>
          <w:spacing w:val="17"/>
          <w:sz w:val="18"/>
        </w:rPr>
        <w:t> </w:t>
      </w:r>
      <w:r>
        <w:rPr>
          <w:sz w:val="18"/>
        </w:rPr>
        <w:t>y</w:t>
      </w:r>
      <w:r>
        <w:rPr>
          <w:spacing w:val="17"/>
          <w:sz w:val="18"/>
        </w:rPr>
        <w:t> </w:t>
      </w:r>
      <w:r>
        <w:rPr>
          <w:sz w:val="18"/>
        </w:rPr>
        <w:t>con</w:t>
      </w:r>
      <w:r>
        <w:rPr>
          <w:spacing w:val="17"/>
          <w:sz w:val="18"/>
        </w:rPr>
        <w:t> </w:t>
      </w:r>
      <w:r>
        <w:rPr>
          <w:sz w:val="18"/>
        </w:rPr>
        <w:t>ello</w:t>
      </w:r>
      <w:r>
        <w:rPr>
          <w:spacing w:val="17"/>
          <w:sz w:val="18"/>
        </w:rPr>
        <w:t> </w:t>
      </w:r>
      <w:r>
        <w:rPr>
          <w:sz w:val="18"/>
        </w:rPr>
        <w:t>lograr</w:t>
      </w:r>
      <w:r>
        <w:rPr>
          <w:spacing w:val="17"/>
          <w:sz w:val="18"/>
        </w:rPr>
        <w:t> </w:t>
      </w:r>
      <w:r>
        <w:rPr>
          <w:sz w:val="18"/>
        </w:rPr>
        <w:t>que</w:t>
      </w:r>
      <w:r>
        <w:rPr>
          <w:spacing w:val="17"/>
          <w:sz w:val="18"/>
        </w:rPr>
        <w:t> </w:t>
      </w:r>
      <w:r>
        <w:rPr>
          <w:sz w:val="18"/>
        </w:rPr>
        <w:t>los</w:t>
      </w:r>
      <w:r>
        <w:rPr>
          <w:spacing w:val="17"/>
          <w:sz w:val="18"/>
        </w:rPr>
        <w:t> </w:t>
      </w:r>
      <w:r>
        <w:rPr>
          <w:sz w:val="18"/>
        </w:rPr>
        <w:t>planteles</w:t>
      </w:r>
      <w:r>
        <w:rPr>
          <w:spacing w:val="17"/>
          <w:sz w:val="18"/>
        </w:rPr>
        <w:t> </w:t>
      </w:r>
      <w:r>
        <w:rPr>
          <w:sz w:val="18"/>
        </w:rPr>
        <w:t>se</w:t>
      </w:r>
      <w:r>
        <w:rPr>
          <w:spacing w:val="17"/>
          <w:sz w:val="18"/>
        </w:rPr>
        <w:t> </w:t>
      </w:r>
      <w:r>
        <w:rPr>
          <w:sz w:val="18"/>
        </w:rPr>
        <w:t>fortalezcan</w:t>
      </w:r>
      <w:r>
        <w:rPr>
          <w:spacing w:val="17"/>
          <w:sz w:val="18"/>
        </w:rPr>
        <w:t> </w:t>
      </w:r>
      <w:r>
        <w:rPr>
          <w:sz w:val="18"/>
        </w:rPr>
        <w:t>al</w:t>
      </w:r>
      <w:r>
        <w:rPr>
          <w:spacing w:val="17"/>
          <w:sz w:val="18"/>
        </w:rPr>
        <w:t> </w:t>
      </w:r>
      <w:r>
        <w:rPr>
          <w:sz w:val="18"/>
        </w:rPr>
        <w:t>contar</w:t>
      </w:r>
      <w:r>
        <w:rPr>
          <w:spacing w:val="17"/>
          <w:sz w:val="18"/>
        </w:rPr>
        <w:t> </w:t>
      </w:r>
      <w:r>
        <w:rPr>
          <w:sz w:val="18"/>
        </w:rPr>
        <w:t>con</w:t>
      </w:r>
      <w:r>
        <w:rPr>
          <w:spacing w:val="17"/>
          <w:sz w:val="18"/>
        </w:rPr>
        <w:t> </w:t>
      </w:r>
      <w:r>
        <w:rPr>
          <w:sz w:val="18"/>
        </w:rPr>
        <w:t>las</w:t>
      </w:r>
      <w:r>
        <w:rPr>
          <w:spacing w:val="17"/>
          <w:sz w:val="18"/>
        </w:rPr>
        <w:t> </w:t>
      </w:r>
      <w:r>
        <w:rPr>
          <w:sz w:val="18"/>
        </w:rPr>
        <w:t>condiciones</w:t>
      </w:r>
      <w:r>
        <w:rPr>
          <w:spacing w:val="17"/>
          <w:sz w:val="18"/>
        </w:rPr>
        <w:t> </w:t>
      </w:r>
      <w:r>
        <w:rPr>
          <w:sz w:val="18"/>
        </w:rPr>
        <w:t>de</w:t>
      </w:r>
      <w:r>
        <w:rPr>
          <w:spacing w:val="17"/>
          <w:sz w:val="18"/>
        </w:rPr>
        <w:t> </w:t>
      </w:r>
      <w:r>
        <w:rPr>
          <w:spacing w:val="-2"/>
          <w:sz w:val="18"/>
        </w:rPr>
        <w:t>infraestructura,</w:t>
      </w:r>
    </w:p>
    <w:p>
      <w:pPr>
        <w:spacing w:after="0" w:line="242" w:lineRule="auto"/>
        <w:jc w:val="both"/>
        <w:rPr>
          <w:sz w:val="18"/>
        </w:rPr>
        <w:sectPr>
          <w:pgSz w:w="12240" w:h="15840"/>
          <w:pgMar w:header="269" w:footer="260" w:top="460" w:bottom="440" w:left="860" w:right="720"/>
        </w:sectPr>
      </w:pPr>
    </w:p>
    <w:p>
      <w:pPr>
        <w:pStyle w:val="BodyText"/>
        <w:spacing w:line="242" w:lineRule="auto" w:before="82"/>
        <w:ind w:firstLine="0"/>
      </w:pPr>
      <w:r>
        <w:rPr/>
        <w:t>mobiliario, equipamiento específico y material educativo de apoyo necesarios. Deberá formularse de acuerdo con lo </w:t>
      </w:r>
      <w:r>
        <w:rPr/>
        <w:t>que establecen estas RO y la convocatoria que se emita con base en el modelo previsto en el</w:t>
      </w:r>
      <w:r>
        <w:rPr>
          <w:spacing w:val="-7"/>
        </w:rPr>
        <w:t> </w:t>
      </w:r>
      <w:r>
        <w:rPr/>
        <w:t>Anexo 1a (Modelo de Convocatoria) de las presentes RO;</w:t>
      </w:r>
    </w:p>
    <w:p>
      <w:pPr>
        <w:pStyle w:val="BodyText"/>
        <w:spacing w:line="242" w:lineRule="auto" w:before="3"/>
        <w:ind w:right="117"/>
      </w:pPr>
      <w:r>
        <w:rPr/>
        <w:t>Los Proyectos para el Avance en la Atención de la Educación Media Superior para Estudiantes con Discapacidad </w:t>
      </w:r>
      <w:r>
        <w:rPr/>
        <w:t>deberán </w:t>
      </w:r>
      <w:r>
        <w:rPr>
          <w:spacing w:val="-2"/>
        </w:rPr>
        <w:t>contener:</w:t>
      </w:r>
    </w:p>
    <w:p>
      <w:pPr>
        <w:pStyle w:val="ListParagraph"/>
        <w:numPr>
          <w:ilvl w:val="0"/>
          <w:numId w:val="5"/>
        </w:numPr>
        <w:tabs>
          <w:tab w:pos="474" w:val="left" w:leader="none"/>
          <w:tab w:pos="516" w:val="left" w:leader="none"/>
        </w:tabs>
        <w:spacing w:line="240" w:lineRule="auto" w:before="122" w:after="0"/>
        <w:ind w:left="474" w:right="118" w:hanging="360"/>
        <w:jc w:val="both"/>
        <w:rPr>
          <w:sz w:val="18"/>
        </w:rPr>
      </w:pPr>
      <w:r>
        <w:rPr>
          <w:color w:val="2E2E2E"/>
          <w:sz w:val="18"/>
        </w:rPr>
        <w:tab/>
      </w:r>
      <w:r>
        <w:rPr>
          <w:sz w:val="18"/>
        </w:rPr>
        <w:t>Un diagnóstico, con el fin de precisar la población estudiantil con discapacidad y evidencias que muestren el tamaño de </w:t>
      </w:r>
      <w:r>
        <w:rPr>
          <w:sz w:val="18"/>
        </w:rPr>
        <w:t>la población, su adscripción y condición; desagregándose por: nombre, sexo, CURP, año de ingreso, programa educativo, semestres cursados y/o asignaturas/módulos acreditados, así como su condición de discapacidad.</w:t>
      </w:r>
    </w:p>
    <w:p>
      <w:pPr>
        <w:pStyle w:val="ListParagraph"/>
        <w:numPr>
          <w:ilvl w:val="0"/>
          <w:numId w:val="5"/>
        </w:numPr>
        <w:tabs>
          <w:tab w:pos="474" w:val="left" w:leader="none"/>
          <w:tab w:pos="563" w:val="left" w:leader="none"/>
        </w:tabs>
        <w:spacing w:line="235" w:lineRule="auto" w:before="110" w:after="0"/>
        <w:ind w:left="474" w:right="118" w:hanging="360"/>
        <w:jc w:val="both"/>
        <w:rPr>
          <w:sz w:val="18"/>
        </w:rPr>
      </w:pPr>
      <w:r>
        <w:rPr>
          <w:color w:val="2E2E2E"/>
          <w:sz w:val="18"/>
        </w:rPr>
        <w:tab/>
      </w:r>
      <w:r>
        <w:rPr>
          <w:sz w:val="18"/>
        </w:rPr>
        <w:t>Detallar los objetivos de la propuesta, presentar gráficos, croquis, etcétera (documento electrónico e impreso); así como indicar el destino de los recursos solicitados y la cantidad de estudiantes con discapacidad a beneficiar.</w:t>
      </w:r>
    </w:p>
    <w:p>
      <w:pPr>
        <w:pStyle w:val="ListParagraph"/>
        <w:numPr>
          <w:ilvl w:val="0"/>
          <w:numId w:val="5"/>
        </w:numPr>
        <w:tabs>
          <w:tab w:pos="474" w:val="left" w:leader="none"/>
          <w:tab w:pos="567" w:val="left" w:leader="none"/>
        </w:tabs>
        <w:spacing w:line="240" w:lineRule="auto" w:before="125" w:after="0"/>
        <w:ind w:left="474" w:right="117" w:hanging="360"/>
        <w:jc w:val="both"/>
        <w:rPr>
          <w:sz w:val="18"/>
        </w:rPr>
      </w:pPr>
      <w:r>
        <w:rPr>
          <w:color w:val="2E2E2E"/>
          <w:sz w:val="18"/>
        </w:rPr>
        <w:tab/>
      </w:r>
      <w:r>
        <w:rPr>
          <w:sz w:val="18"/>
        </w:rPr>
        <w:t>Además, se deberá señalar si los recursos solicitados serán complementados con recursos de otros fondos federales o estatales, y que éstos no se contrapongan, afecten o generen duplicidad con otros programas y acciones del Gobierno </w:t>
      </w:r>
      <w:r>
        <w:rPr>
          <w:spacing w:val="-2"/>
          <w:sz w:val="18"/>
        </w:rPr>
        <w:t>Federal.</w:t>
      </w:r>
    </w:p>
    <w:p>
      <w:pPr>
        <w:pStyle w:val="BodyText"/>
        <w:spacing w:line="242" w:lineRule="auto" w:before="107"/>
      </w:pPr>
      <w:r>
        <w:rPr/>
        <w:t>El Proyecto para el Avance en la Atención de la Educación Media Superior para Estudiantes con Discapacidad se deberá capturar en la página electrónica </w:t>
      </w:r>
      <w:hyperlink r:id="rId7">
        <w:r>
          <w:rPr/>
          <w:t>http://www.pappems.sems.gob.mx.</w:t>
        </w:r>
      </w:hyperlink>
    </w:p>
    <w:p>
      <w:pPr>
        <w:pStyle w:val="Heading2"/>
        <w:numPr>
          <w:ilvl w:val="2"/>
          <w:numId w:val="2"/>
        </w:numPr>
        <w:tabs>
          <w:tab w:pos="902" w:val="left" w:leader="none"/>
        </w:tabs>
        <w:spacing w:line="240" w:lineRule="auto" w:before="107" w:after="0"/>
        <w:ind w:left="902" w:right="0" w:hanging="500"/>
        <w:jc w:val="left"/>
      </w:pPr>
      <w:r>
        <w:rPr/>
        <w:t>Procedimiento de </w:t>
      </w:r>
      <w:r>
        <w:rPr>
          <w:spacing w:val="-2"/>
        </w:rPr>
        <w:t>selección</w:t>
      </w:r>
    </w:p>
    <w:p>
      <w:pPr>
        <w:pStyle w:val="BodyText"/>
        <w:spacing w:before="93"/>
        <w:ind w:left="402" w:right="0" w:firstLine="0"/>
        <w:jc w:val="left"/>
        <w:rPr>
          <w:rFonts w:ascii="Arial" w:hAnsi="Arial"/>
          <w:b/>
        </w:rPr>
      </w:pPr>
      <w:r>
        <w:rPr/>
        <w:t>El procedimiento para la selección de la población beneficiaria será el </w:t>
      </w:r>
      <w:r>
        <w:rPr>
          <w:spacing w:val="-2"/>
        </w:rPr>
        <w:t>siguiente</w:t>
      </w:r>
      <w:r>
        <w:rPr>
          <w:rFonts w:ascii="Arial" w:hAnsi="Arial"/>
          <w:b/>
          <w:spacing w:val="-2"/>
        </w:rPr>
        <w:t>:</w:t>
      </w:r>
    </w:p>
    <w:p>
      <w:pPr>
        <w:pStyle w:val="BodyText"/>
        <w:spacing w:before="8"/>
        <w:ind w:left="0" w:right="0" w:firstLine="0"/>
        <w:jc w:val="left"/>
        <w:rPr>
          <w:rFonts w:ascii="Arial"/>
          <w:b/>
          <w:sz w:val="9"/>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40"/>
        <w:gridCol w:w="4005"/>
        <w:gridCol w:w="2820"/>
      </w:tblGrid>
      <w:tr>
        <w:trPr>
          <w:trHeight w:val="344" w:hRule="atLeast"/>
        </w:trPr>
        <w:tc>
          <w:tcPr>
            <w:tcW w:w="9465" w:type="dxa"/>
            <w:gridSpan w:val="3"/>
          </w:tcPr>
          <w:p>
            <w:pPr>
              <w:pStyle w:val="TableParagraph"/>
              <w:spacing w:before="11"/>
              <w:ind w:left="9"/>
              <w:jc w:val="center"/>
              <w:rPr>
                <w:rFonts w:ascii="Arial" w:hAnsi="Arial"/>
                <w:b/>
                <w:sz w:val="18"/>
              </w:rPr>
            </w:pPr>
            <w:r>
              <w:rPr>
                <w:rFonts w:ascii="Arial" w:hAnsi="Arial"/>
                <w:b/>
                <w:sz w:val="18"/>
              </w:rPr>
              <w:t>Procedimiento</w:t>
            </w:r>
            <w:r>
              <w:rPr>
                <w:rFonts w:ascii="Arial" w:hAnsi="Arial"/>
                <w:b/>
                <w:spacing w:val="-2"/>
                <w:sz w:val="18"/>
              </w:rPr>
              <w:t> </w:t>
            </w:r>
            <w:r>
              <w:rPr>
                <w:rFonts w:ascii="Arial" w:hAnsi="Arial"/>
                <w:b/>
                <w:sz w:val="18"/>
              </w:rPr>
              <w:t>para la selección de la población </w:t>
            </w:r>
            <w:r>
              <w:rPr>
                <w:rFonts w:ascii="Arial" w:hAnsi="Arial"/>
                <w:b/>
                <w:spacing w:val="-2"/>
                <w:sz w:val="18"/>
              </w:rPr>
              <w:t>beneficiaria</w:t>
            </w:r>
          </w:p>
        </w:tc>
      </w:tr>
      <w:tr>
        <w:trPr>
          <w:trHeight w:val="329" w:hRule="atLeast"/>
        </w:trPr>
        <w:tc>
          <w:tcPr>
            <w:tcW w:w="2640" w:type="dxa"/>
          </w:tcPr>
          <w:p>
            <w:pPr>
              <w:pStyle w:val="TableParagraph"/>
              <w:spacing w:before="11"/>
              <w:ind w:left="14"/>
              <w:jc w:val="center"/>
              <w:rPr>
                <w:rFonts w:ascii="Arial"/>
                <w:b/>
                <w:sz w:val="18"/>
              </w:rPr>
            </w:pPr>
            <w:r>
              <w:rPr>
                <w:rFonts w:ascii="Arial"/>
                <w:b/>
                <w:spacing w:val="-2"/>
                <w:sz w:val="18"/>
              </w:rPr>
              <w:t>Etapa</w:t>
            </w:r>
          </w:p>
        </w:tc>
        <w:tc>
          <w:tcPr>
            <w:tcW w:w="4005" w:type="dxa"/>
          </w:tcPr>
          <w:p>
            <w:pPr>
              <w:pStyle w:val="TableParagraph"/>
              <w:spacing w:before="11"/>
              <w:ind w:left="18"/>
              <w:jc w:val="center"/>
              <w:rPr>
                <w:rFonts w:ascii="Arial"/>
                <w:b/>
                <w:sz w:val="18"/>
              </w:rPr>
            </w:pPr>
            <w:r>
              <w:rPr>
                <w:rFonts w:ascii="Arial"/>
                <w:b/>
                <w:spacing w:val="-2"/>
                <w:sz w:val="18"/>
              </w:rPr>
              <w:t>Actividad</w:t>
            </w:r>
          </w:p>
        </w:tc>
        <w:tc>
          <w:tcPr>
            <w:tcW w:w="2820" w:type="dxa"/>
          </w:tcPr>
          <w:p>
            <w:pPr>
              <w:pStyle w:val="TableParagraph"/>
              <w:spacing w:before="11"/>
              <w:ind w:left="849"/>
              <w:rPr>
                <w:rFonts w:ascii="Arial"/>
                <w:b/>
                <w:sz w:val="18"/>
              </w:rPr>
            </w:pPr>
            <w:r>
              <w:rPr>
                <w:rFonts w:ascii="Arial"/>
                <w:b/>
                <w:spacing w:val="-2"/>
                <w:sz w:val="18"/>
              </w:rPr>
              <w:t>Responsable</w:t>
            </w:r>
          </w:p>
        </w:tc>
      </w:tr>
      <w:tr>
        <w:trPr>
          <w:trHeight w:val="974" w:hRule="atLeast"/>
        </w:trPr>
        <w:tc>
          <w:tcPr>
            <w:tcW w:w="2640" w:type="dxa"/>
          </w:tcPr>
          <w:p>
            <w:pPr>
              <w:pStyle w:val="TableParagraph"/>
              <w:spacing w:before="11"/>
              <w:ind w:left="79"/>
              <w:rPr>
                <w:sz w:val="18"/>
              </w:rPr>
            </w:pPr>
            <w:r>
              <w:rPr>
                <w:sz w:val="18"/>
              </w:rPr>
              <w:t>Publicación de las </w:t>
            </w:r>
            <w:r>
              <w:rPr>
                <w:spacing w:val="-5"/>
                <w:sz w:val="18"/>
              </w:rPr>
              <w:t>RO</w:t>
            </w:r>
          </w:p>
        </w:tc>
        <w:tc>
          <w:tcPr>
            <w:tcW w:w="4005" w:type="dxa"/>
          </w:tcPr>
          <w:p>
            <w:pPr>
              <w:pStyle w:val="TableParagraph"/>
              <w:spacing w:line="242" w:lineRule="auto" w:before="11"/>
              <w:ind w:left="78" w:right="58"/>
              <w:jc w:val="both"/>
              <w:rPr>
                <w:sz w:val="18"/>
              </w:rPr>
            </w:pPr>
            <w:r>
              <w:rPr>
                <w:sz w:val="18"/>
              </w:rPr>
              <w:t>Publicar en la página de la </w:t>
            </w:r>
            <w:r>
              <w:rPr>
                <w:sz w:val="18"/>
              </w:rPr>
              <w:t>SEMS </w:t>
            </w:r>
            <w:hyperlink r:id="rId8">
              <w:r>
                <w:rPr>
                  <w:sz w:val="18"/>
                </w:rPr>
                <w:t>(http://www.sems.gob.mx/)</w:t>
              </w:r>
            </w:hyperlink>
            <w:r>
              <w:rPr>
                <w:sz w:val="18"/>
              </w:rPr>
              <w:t> las RO del PAPPEMS. Durante los primeros 15 (quince) días naturales del mes de enero.</w:t>
            </w:r>
          </w:p>
        </w:tc>
        <w:tc>
          <w:tcPr>
            <w:tcW w:w="2820" w:type="dxa"/>
          </w:tcPr>
          <w:p>
            <w:pPr>
              <w:pStyle w:val="TableParagraph"/>
              <w:spacing w:before="11"/>
              <w:ind w:left="83"/>
              <w:rPr>
                <w:sz w:val="18"/>
              </w:rPr>
            </w:pPr>
            <w:r>
              <w:rPr>
                <w:spacing w:val="-4"/>
                <w:sz w:val="18"/>
              </w:rPr>
              <w:t>SEMS</w:t>
            </w:r>
          </w:p>
        </w:tc>
      </w:tr>
      <w:tr>
        <w:trPr>
          <w:trHeight w:val="1949" w:hRule="atLeast"/>
        </w:trPr>
        <w:tc>
          <w:tcPr>
            <w:tcW w:w="2640" w:type="dxa"/>
          </w:tcPr>
          <w:p>
            <w:pPr>
              <w:pStyle w:val="TableParagraph"/>
              <w:spacing w:before="11"/>
              <w:ind w:left="79"/>
              <w:rPr>
                <w:sz w:val="18"/>
              </w:rPr>
            </w:pPr>
            <w:r>
              <w:rPr>
                <w:sz w:val="18"/>
              </w:rPr>
              <w:t>Convocatoria (Anexo </w:t>
            </w:r>
            <w:r>
              <w:rPr>
                <w:spacing w:val="-5"/>
                <w:sz w:val="18"/>
              </w:rPr>
              <w:t>1a)</w:t>
            </w:r>
          </w:p>
        </w:tc>
        <w:tc>
          <w:tcPr>
            <w:tcW w:w="4005" w:type="dxa"/>
          </w:tcPr>
          <w:p>
            <w:pPr>
              <w:pStyle w:val="TableParagraph"/>
              <w:spacing w:line="242" w:lineRule="auto" w:before="11"/>
              <w:ind w:left="78" w:right="58"/>
              <w:jc w:val="both"/>
              <w:rPr>
                <w:sz w:val="18"/>
              </w:rPr>
            </w:pPr>
            <w:r>
              <w:rPr>
                <w:sz w:val="18"/>
              </w:rPr>
              <w:t>La SEMS, a través de la CSPyA, difundirá </w:t>
            </w:r>
            <w:r>
              <w:rPr>
                <w:sz w:val="18"/>
              </w:rPr>
              <w:t>y publicará la(s) convocatoria(s) que se emita(n) en el marco del PAPPEMS, en la página electrónica: </w:t>
            </w:r>
            <w:hyperlink r:id="rId9">
              <w:r>
                <w:rPr>
                  <w:sz w:val="18"/>
                  <w:u w:val="single"/>
                </w:rPr>
                <w:t>http://www.sems.gob.mx</w:t>
              </w:r>
            </w:hyperlink>
          </w:p>
          <w:p>
            <w:pPr>
              <w:pStyle w:val="TableParagraph"/>
              <w:spacing w:line="242" w:lineRule="auto" w:before="139"/>
              <w:ind w:left="78" w:right="58"/>
              <w:jc w:val="both"/>
              <w:rPr>
                <w:sz w:val="18"/>
              </w:rPr>
            </w:pPr>
            <w:r>
              <w:rPr>
                <w:sz w:val="18"/>
              </w:rPr>
              <w:t>Dicha(s) convocatoria(s) precisarán, los </w:t>
            </w:r>
            <w:r>
              <w:rPr>
                <w:sz w:val="18"/>
              </w:rPr>
              <w:t>plazos para el registro, así como los requisitos específicos que deberán cubrir los planteles públicos para obtener un apoyo del Programa.</w:t>
            </w:r>
          </w:p>
        </w:tc>
        <w:tc>
          <w:tcPr>
            <w:tcW w:w="2820" w:type="dxa"/>
          </w:tcPr>
          <w:p>
            <w:pPr>
              <w:pStyle w:val="TableParagraph"/>
              <w:spacing w:before="11"/>
              <w:ind w:left="83"/>
              <w:rPr>
                <w:sz w:val="18"/>
              </w:rPr>
            </w:pPr>
            <w:r>
              <w:rPr>
                <w:spacing w:val="-4"/>
                <w:sz w:val="18"/>
              </w:rPr>
              <w:t>SEMS</w:t>
            </w:r>
          </w:p>
        </w:tc>
      </w:tr>
      <w:tr>
        <w:trPr>
          <w:trHeight w:val="989" w:hRule="atLeast"/>
        </w:trPr>
        <w:tc>
          <w:tcPr>
            <w:tcW w:w="2640" w:type="dxa"/>
          </w:tcPr>
          <w:p>
            <w:pPr>
              <w:pStyle w:val="TableParagraph"/>
              <w:spacing w:before="11"/>
              <w:ind w:left="79"/>
              <w:rPr>
                <w:sz w:val="18"/>
              </w:rPr>
            </w:pPr>
            <w:r>
              <w:rPr>
                <w:sz w:val="18"/>
              </w:rPr>
              <w:t>Aceptación del </w:t>
            </w:r>
            <w:r>
              <w:rPr>
                <w:spacing w:val="-2"/>
                <w:sz w:val="18"/>
              </w:rPr>
              <w:t>programa</w:t>
            </w:r>
          </w:p>
        </w:tc>
        <w:tc>
          <w:tcPr>
            <w:tcW w:w="4005" w:type="dxa"/>
          </w:tcPr>
          <w:p>
            <w:pPr>
              <w:pStyle w:val="TableParagraph"/>
              <w:spacing w:line="242" w:lineRule="auto" w:before="11"/>
              <w:ind w:left="78" w:right="58"/>
              <w:jc w:val="both"/>
              <w:rPr>
                <w:sz w:val="18"/>
              </w:rPr>
            </w:pPr>
            <w:r>
              <w:rPr>
                <w:sz w:val="18"/>
              </w:rPr>
              <w:t>Suscribir y enviar la Carta compromiso </w:t>
            </w:r>
            <w:r>
              <w:rPr>
                <w:sz w:val="18"/>
              </w:rPr>
              <w:t>(Anexo 1b), a más tardar 30 (treinta) días hábiles posteriores a la fecha de emisión de la </w:t>
            </w:r>
            <w:r>
              <w:rPr>
                <w:spacing w:val="-2"/>
                <w:sz w:val="18"/>
              </w:rPr>
              <w:t>convocatoria.</w:t>
            </w:r>
          </w:p>
        </w:tc>
        <w:tc>
          <w:tcPr>
            <w:tcW w:w="2820" w:type="dxa"/>
          </w:tcPr>
          <w:p>
            <w:pPr>
              <w:pStyle w:val="TableParagraph"/>
              <w:spacing w:before="11"/>
              <w:ind w:left="83"/>
              <w:rPr>
                <w:sz w:val="18"/>
              </w:rPr>
            </w:pPr>
            <w:r>
              <w:rPr>
                <w:spacing w:val="-5"/>
                <w:sz w:val="18"/>
              </w:rPr>
              <w:t>AEL</w:t>
            </w:r>
          </w:p>
          <w:p>
            <w:pPr>
              <w:pStyle w:val="TableParagraph"/>
              <w:spacing w:before="93"/>
              <w:ind w:left="83"/>
              <w:rPr>
                <w:sz w:val="18"/>
              </w:rPr>
            </w:pPr>
            <w:r>
              <w:rPr>
                <w:sz w:val="18"/>
              </w:rPr>
              <w:t>Plantel </w:t>
            </w:r>
            <w:r>
              <w:rPr>
                <w:spacing w:val="-2"/>
                <w:sz w:val="18"/>
              </w:rPr>
              <w:t>Público</w:t>
            </w:r>
          </w:p>
        </w:tc>
      </w:tr>
      <w:tr>
        <w:trPr>
          <w:trHeight w:val="1439" w:hRule="atLeast"/>
        </w:trPr>
        <w:tc>
          <w:tcPr>
            <w:tcW w:w="2640" w:type="dxa"/>
          </w:tcPr>
          <w:p>
            <w:pPr>
              <w:pStyle w:val="TableParagraph"/>
              <w:spacing w:line="242" w:lineRule="auto" w:before="11"/>
              <w:ind w:left="79"/>
              <w:rPr>
                <w:sz w:val="18"/>
              </w:rPr>
            </w:pPr>
            <w:r>
              <w:rPr>
                <w:sz w:val="18"/>
              </w:rPr>
              <w:t>Incorporación</w:t>
            </w:r>
            <w:r>
              <w:rPr>
                <w:spacing w:val="40"/>
                <w:sz w:val="18"/>
              </w:rPr>
              <w:t> </w:t>
            </w:r>
            <w:r>
              <w:rPr>
                <w:sz w:val="18"/>
              </w:rPr>
              <w:t>al</w:t>
            </w:r>
            <w:r>
              <w:rPr>
                <w:spacing w:val="40"/>
                <w:sz w:val="18"/>
              </w:rPr>
              <w:t> </w:t>
            </w:r>
            <w:r>
              <w:rPr>
                <w:sz w:val="18"/>
              </w:rPr>
              <w:t>Sistema</w:t>
            </w:r>
            <w:r>
              <w:rPr>
                <w:spacing w:val="40"/>
                <w:sz w:val="18"/>
              </w:rPr>
              <w:t> </w:t>
            </w:r>
            <w:r>
              <w:rPr>
                <w:sz w:val="18"/>
              </w:rPr>
              <w:t>del </w:t>
            </w:r>
            <w:r>
              <w:rPr>
                <w:spacing w:val="-2"/>
                <w:sz w:val="18"/>
              </w:rPr>
              <w:t>PAPPEMS</w:t>
            </w:r>
          </w:p>
        </w:tc>
        <w:tc>
          <w:tcPr>
            <w:tcW w:w="4005" w:type="dxa"/>
          </w:tcPr>
          <w:p>
            <w:pPr>
              <w:pStyle w:val="TableParagraph"/>
              <w:spacing w:line="242" w:lineRule="auto" w:before="11"/>
              <w:ind w:left="78" w:right="58"/>
              <w:jc w:val="both"/>
              <w:rPr>
                <w:sz w:val="18"/>
              </w:rPr>
            </w:pPr>
            <w:r>
              <w:rPr>
                <w:sz w:val="18"/>
              </w:rPr>
              <w:t>Dar de alta a los planteles públicos en </w:t>
            </w:r>
            <w:r>
              <w:rPr>
                <w:sz w:val="18"/>
              </w:rPr>
              <w:t>el Sistema del PAPPEMS, para el registro del Proyecto para el Avance en la Atención de la Educación Media Superior para Estudiantes</w:t>
            </w:r>
            <w:r>
              <w:rPr>
                <w:spacing w:val="80"/>
                <w:sz w:val="18"/>
              </w:rPr>
              <w:t> </w:t>
            </w:r>
            <w:r>
              <w:rPr>
                <w:sz w:val="18"/>
              </w:rPr>
              <w:t>con Discapacidad. Durante el período de vigencia de la convocatoria emitida.</w:t>
            </w:r>
          </w:p>
        </w:tc>
        <w:tc>
          <w:tcPr>
            <w:tcW w:w="2820" w:type="dxa"/>
          </w:tcPr>
          <w:p>
            <w:pPr>
              <w:pStyle w:val="TableParagraph"/>
              <w:spacing w:before="11"/>
              <w:ind w:left="83"/>
              <w:rPr>
                <w:sz w:val="18"/>
              </w:rPr>
            </w:pPr>
            <w:r>
              <w:rPr>
                <w:sz w:val="18"/>
              </w:rPr>
              <w:t>Plantel </w:t>
            </w:r>
            <w:r>
              <w:rPr>
                <w:spacing w:val="-2"/>
                <w:sz w:val="18"/>
              </w:rPr>
              <w:t>Público</w:t>
            </w:r>
          </w:p>
        </w:tc>
      </w:tr>
      <w:tr>
        <w:trPr>
          <w:trHeight w:val="2339" w:hRule="atLeast"/>
        </w:trPr>
        <w:tc>
          <w:tcPr>
            <w:tcW w:w="2640" w:type="dxa"/>
          </w:tcPr>
          <w:p>
            <w:pPr>
              <w:pStyle w:val="TableParagraph"/>
              <w:spacing w:line="242" w:lineRule="auto" w:before="11"/>
              <w:ind w:left="79" w:right="62"/>
              <w:jc w:val="both"/>
              <w:rPr>
                <w:sz w:val="18"/>
              </w:rPr>
            </w:pPr>
            <w:r>
              <w:rPr>
                <w:sz w:val="18"/>
              </w:rPr>
              <w:t>Elaboración</w:t>
            </w:r>
            <w:r>
              <w:rPr>
                <w:spacing w:val="-6"/>
                <w:sz w:val="18"/>
              </w:rPr>
              <w:t> </w:t>
            </w:r>
            <w:r>
              <w:rPr>
                <w:sz w:val="18"/>
              </w:rPr>
              <w:t>de</w:t>
            </w:r>
            <w:r>
              <w:rPr>
                <w:spacing w:val="-6"/>
                <w:sz w:val="18"/>
              </w:rPr>
              <w:t> </w:t>
            </w:r>
            <w:r>
              <w:rPr>
                <w:sz w:val="18"/>
              </w:rPr>
              <w:t>Proyectos</w:t>
            </w:r>
            <w:r>
              <w:rPr>
                <w:spacing w:val="-6"/>
                <w:sz w:val="18"/>
              </w:rPr>
              <w:t> </w:t>
            </w:r>
            <w:r>
              <w:rPr>
                <w:sz w:val="18"/>
              </w:rPr>
              <w:t>para el</w:t>
            </w:r>
            <w:r>
              <w:rPr>
                <w:spacing w:val="-3"/>
                <w:sz w:val="18"/>
              </w:rPr>
              <w:t> </w:t>
            </w:r>
            <w:r>
              <w:rPr>
                <w:sz w:val="18"/>
              </w:rPr>
              <w:t>Avance en la</w:t>
            </w:r>
            <w:r>
              <w:rPr>
                <w:spacing w:val="-3"/>
                <w:sz w:val="18"/>
              </w:rPr>
              <w:t> </w:t>
            </w:r>
            <w:r>
              <w:rPr>
                <w:sz w:val="18"/>
              </w:rPr>
              <w:t>Atención de la Educación Media Superior</w:t>
            </w:r>
            <w:r>
              <w:rPr>
                <w:spacing w:val="40"/>
                <w:sz w:val="18"/>
              </w:rPr>
              <w:t> </w:t>
            </w:r>
            <w:r>
              <w:rPr>
                <w:sz w:val="18"/>
              </w:rPr>
              <w:t>para Estudiantes con </w:t>
            </w:r>
            <w:r>
              <w:rPr>
                <w:spacing w:val="-2"/>
                <w:sz w:val="18"/>
              </w:rPr>
              <w:t>Discapacidad</w:t>
            </w:r>
          </w:p>
        </w:tc>
        <w:tc>
          <w:tcPr>
            <w:tcW w:w="4005" w:type="dxa"/>
          </w:tcPr>
          <w:p>
            <w:pPr>
              <w:pStyle w:val="TableParagraph"/>
              <w:spacing w:line="242" w:lineRule="auto" w:before="11"/>
              <w:ind w:left="78" w:right="58"/>
              <w:jc w:val="both"/>
              <w:rPr>
                <w:sz w:val="18"/>
              </w:rPr>
            </w:pPr>
            <w:r>
              <w:rPr>
                <w:sz w:val="18"/>
              </w:rPr>
              <w:t>Elaborar un Proyecto para el Avance en </w:t>
            </w:r>
            <w:r>
              <w:rPr>
                <w:sz w:val="18"/>
              </w:rPr>
              <w:t>la Atención de la Educación Media Superior para Estudiantes con Discapacidad en el que se precisará la situación y requerimientos al</w:t>
            </w:r>
            <w:r>
              <w:rPr>
                <w:spacing w:val="40"/>
                <w:sz w:val="18"/>
              </w:rPr>
              <w:t> </w:t>
            </w:r>
            <w:r>
              <w:rPr>
                <w:sz w:val="18"/>
              </w:rPr>
              <w:t>interior del plantel para la atención de las y los estudiantes con discapacidad, cumpliendo con los requisitos de elegibilidad señalados en el numeral 3.3.1. de las presentes RO durante el plazo establecido en la convocatoria emitida.</w:t>
            </w:r>
          </w:p>
        </w:tc>
        <w:tc>
          <w:tcPr>
            <w:tcW w:w="2820" w:type="dxa"/>
          </w:tcPr>
          <w:p>
            <w:pPr>
              <w:pStyle w:val="TableParagraph"/>
              <w:spacing w:before="11"/>
              <w:ind w:left="83"/>
              <w:rPr>
                <w:sz w:val="18"/>
              </w:rPr>
            </w:pPr>
            <w:r>
              <w:rPr>
                <w:sz w:val="18"/>
              </w:rPr>
              <w:t>Plantel </w:t>
            </w:r>
            <w:r>
              <w:rPr>
                <w:spacing w:val="-2"/>
                <w:sz w:val="18"/>
              </w:rPr>
              <w:t>Público</w:t>
            </w:r>
          </w:p>
        </w:tc>
      </w:tr>
      <w:tr>
        <w:trPr>
          <w:trHeight w:val="1664" w:hRule="atLeast"/>
        </w:trPr>
        <w:tc>
          <w:tcPr>
            <w:tcW w:w="2640" w:type="dxa"/>
          </w:tcPr>
          <w:p>
            <w:pPr>
              <w:pStyle w:val="TableParagraph"/>
              <w:spacing w:line="242" w:lineRule="auto" w:before="11"/>
              <w:ind w:left="79" w:right="62"/>
              <w:jc w:val="both"/>
              <w:rPr>
                <w:sz w:val="18"/>
              </w:rPr>
            </w:pPr>
            <w:r>
              <w:rPr>
                <w:sz w:val="18"/>
              </w:rPr>
              <w:t>Recepción de Proyectos </w:t>
            </w:r>
            <w:r>
              <w:rPr>
                <w:sz w:val="18"/>
              </w:rPr>
              <w:t>para el</w:t>
            </w:r>
            <w:r>
              <w:rPr>
                <w:spacing w:val="-3"/>
                <w:sz w:val="18"/>
              </w:rPr>
              <w:t> </w:t>
            </w:r>
            <w:r>
              <w:rPr>
                <w:sz w:val="18"/>
              </w:rPr>
              <w:t>Avance en la</w:t>
            </w:r>
            <w:r>
              <w:rPr>
                <w:spacing w:val="-3"/>
                <w:sz w:val="18"/>
              </w:rPr>
              <w:t> </w:t>
            </w:r>
            <w:r>
              <w:rPr>
                <w:sz w:val="18"/>
              </w:rPr>
              <w:t>Atención de la Educación Media Superior</w:t>
            </w:r>
            <w:r>
              <w:rPr>
                <w:spacing w:val="40"/>
                <w:sz w:val="18"/>
              </w:rPr>
              <w:t> </w:t>
            </w:r>
            <w:r>
              <w:rPr>
                <w:sz w:val="18"/>
              </w:rPr>
              <w:t>para Estudiantes con Discapacidad de planteles </w:t>
            </w:r>
            <w:r>
              <w:rPr>
                <w:spacing w:val="-2"/>
                <w:sz w:val="18"/>
              </w:rPr>
              <w:t>públicos</w:t>
            </w:r>
          </w:p>
        </w:tc>
        <w:tc>
          <w:tcPr>
            <w:tcW w:w="4005" w:type="dxa"/>
          </w:tcPr>
          <w:p>
            <w:pPr>
              <w:pStyle w:val="TableParagraph"/>
              <w:spacing w:line="242" w:lineRule="auto" w:before="11"/>
              <w:ind w:left="78" w:right="58"/>
              <w:jc w:val="both"/>
              <w:rPr>
                <w:sz w:val="18"/>
              </w:rPr>
            </w:pPr>
            <w:r>
              <w:rPr>
                <w:sz w:val="18"/>
              </w:rPr>
              <w:t>Recibir las propuestas y verificar que </w:t>
            </w:r>
            <w:r>
              <w:rPr>
                <w:sz w:val="18"/>
              </w:rPr>
              <w:t>cumplen los</w:t>
            </w:r>
            <w:r>
              <w:rPr>
                <w:spacing w:val="-2"/>
                <w:sz w:val="18"/>
              </w:rPr>
              <w:t> </w:t>
            </w:r>
            <w:r>
              <w:rPr>
                <w:sz w:val="18"/>
              </w:rPr>
              <w:t>requisitos</w:t>
            </w:r>
            <w:r>
              <w:rPr>
                <w:spacing w:val="-2"/>
                <w:sz w:val="18"/>
              </w:rPr>
              <w:t> </w:t>
            </w:r>
            <w:r>
              <w:rPr>
                <w:sz w:val="18"/>
              </w:rPr>
              <w:t>mencionados</w:t>
            </w:r>
            <w:r>
              <w:rPr>
                <w:spacing w:val="-2"/>
                <w:sz w:val="18"/>
              </w:rPr>
              <w:t> </w:t>
            </w:r>
            <w:r>
              <w:rPr>
                <w:sz w:val="18"/>
              </w:rPr>
              <w:t>en</w:t>
            </w:r>
            <w:r>
              <w:rPr>
                <w:spacing w:val="-2"/>
                <w:sz w:val="18"/>
              </w:rPr>
              <w:t> </w:t>
            </w:r>
            <w:r>
              <w:rPr>
                <w:sz w:val="18"/>
              </w:rPr>
              <w:t>el</w:t>
            </w:r>
            <w:r>
              <w:rPr>
                <w:spacing w:val="-2"/>
                <w:sz w:val="18"/>
              </w:rPr>
              <w:t> </w:t>
            </w:r>
            <w:r>
              <w:rPr>
                <w:sz w:val="18"/>
              </w:rPr>
              <w:t>punto</w:t>
            </w:r>
            <w:r>
              <w:rPr>
                <w:spacing w:val="-2"/>
                <w:sz w:val="18"/>
              </w:rPr>
              <w:t> </w:t>
            </w:r>
            <w:r>
              <w:rPr>
                <w:sz w:val="18"/>
              </w:rPr>
              <w:t>anterior, de acuerdo con los tiempos establecidos en la convocatoria.</w:t>
            </w:r>
            <w:r>
              <w:rPr>
                <w:spacing w:val="-4"/>
                <w:sz w:val="18"/>
              </w:rPr>
              <w:t> </w:t>
            </w:r>
            <w:r>
              <w:rPr>
                <w:sz w:val="18"/>
              </w:rPr>
              <w:t>Durante</w:t>
            </w:r>
            <w:r>
              <w:rPr>
                <w:spacing w:val="-4"/>
                <w:sz w:val="18"/>
              </w:rPr>
              <w:t> </w:t>
            </w:r>
            <w:r>
              <w:rPr>
                <w:sz w:val="18"/>
              </w:rPr>
              <w:t>el</w:t>
            </w:r>
            <w:r>
              <w:rPr>
                <w:spacing w:val="-4"/>
                <w:sz w:val="18"/>
              </w:rPr>
              <w:t> </w:t>
            </w:r>
            <w:r>
              <w:rPr>
                <w:sz w:val="18"/>
              </w:rPr>
              <w:t>plazo</w:t>
            </w:r>
            <w:r>
              <w:rPr>
                <w:spacing w:val="-4"/>
                <w:sz w:val="18"/>
              </w:rPr>
              <w:t> </w:t>
            </w:r>
            <w:r>
              <w:rPr>
                <w:sz w:val="18"/>
              </w:rPr>
              <w:t>establecido</w:t>
            </w:r>
            <w:r>
              <w:rPr>
                <w:spacing w:val="-4"/>
                <w:sz w:val="18"/>
              </w:rPr>
              <w:t> </w:t>
            </w:r>
            <w:r>
              <w:rPr>
                <w:sz w:val="18"/>
              </w:rPr>
              <w:t>en</w:t>
            </w:r>
            <w:r>
              <w:rPr>
                <w:spacing w:val="-4"/>
                <w:sz w:val="18"/>
              </w:rPr>
              <w:t> </w:t>
            </w:r>
            <w:r>
              <w:rPr>
                <w:sz w:val="18"/>
              </w:rPr>
              <w:t>la convocatoria emitida.</w:t>
            </w:r>
          </w:p>
        </w:tc>
        <w:tc>
          <w:tcPr>
            <w:tcW w:w="2820" w:type="dxa"/>
          </w:tcPr>
          <w:p>
            <w:pPr>
              <w:pStyle w:val="TableParagraph"/>
              <w:spacing w:before="11"/>
              <w:ind w:left="83"/>
              <w:rPr>
                <w:sz w:val="18"/>
              </w:rPr>
            </w:pPr>
            <w:r>
              <w:rPr>
                <w:spacing w:val="-2"/>
                <w:sz w:val="18"/>
              </w:rPr>
              <w:t>CSPyA/SEMS</w:t>
            </w:r>
          </w:p>
        </w:tc>
      </w:tr>
    </w:tbl>
    <w:p>
      <w:pPr>
        <w:spacing w:after="0"/>
        <w:rPr>
          <w:sz w:val="18"/>
        </w:rPr>
        <w:sectPr>
          <w:pgSz w:w="12240" w:h="15840"/>
          <w:pgMar w:header="269" w:footer="260" w:top="460" w:bottom="440" w:left="860" w:right="720"/>
        </w:sectPr>
      </w:pPr>
    </w:p>
    <w:p>
      <w:pPr>
        <w:pStyle w:val="BodyText"/>
        <w:spacing w:before="5"/>
        <w:ind w:left="0" w:right="0" w:firstLine="0"/>
        <w:jc w:val="left"/>
        <w:rPr>
          <w:rFonts w:ascii="Arial"/>
          <w:b/>
          <w:sz w:val="7"/>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40"/>
        <w:gridCol w:w="4005"/>
        <w:gridCol w:w="2820"/>
      </w:tblGrid>
      <w:tr>
        <w:trPr>
          <w:trHeight w:val="1664" w:hRule="atLeast"/>
        </w:trPr>
        <w:tc>
          <w:tcPr>
            <w:tcW w:w="2640" w:type="dxa"/>
          </w:tcPr>
          <w:p>
            <w:pPr>
              <w:pStyle w:val="TableParagraph"/>
              <w:tabs>
                <w:tab w:pos="1249" w:val="left" w:leader="none"/>
                <w:tab w:pos="1839" w:val="left" w:leader="none"/>
              </w:tabs>
              <w:spacing w:line="242" w:lineRule="auto" w:before="11"/>
              <w:ind w:left="79" w:right="63"/>
              <w:rPr>
                <w:sz w:val="18"/>
              </w:rPr>
            </w:pPr>
            <w:r>
              <w:rPr>
                <w:spacing w:val="-2"/>
                <w:sz w:val="18"/>
              </w:rPr>
              <w:t>Selección</w:t>
            </w:r>
            <w:r>
              <w:rPr>
                <w:sz w:val="18"/>
              </w:rPr>
              <w:tab/>
            </w:r>
            <w:r>
              <w:rPr>
                <w:spacing w:val="-6"/>
                <w:sz w:val="18"/>
              </w:rPr>
              <w:t>de</w:t>
            </w:r>
            <w:r>
              <w:rPr>
                <w:sz w:val="18"/>
              </w:rPr>
              <w:tab/>
            </w:r>
            <w:r>
              <w:rPr>
                <w:spacing w:val="-2"/>
                <w:sz w:val="18"/>
              </w:rPr>
              <w:t>planteles </w:t>
            </w:r>
            <w:r>
              <w:rPr>
                <w:sz w:val="18"/>
              </w:rPr>
              <w:t>públicos beneficiarios</w:t>
            </w:r>
          </w:p>
        </w:tc>
        <w:tc>
          <w:tcPr>
            <w:tcW w:w="4005" w:type="dxa"/>
          </w:tcPr>
          <w:p>
            <w:pPr>
              <w:pStyle w:val="TableParagraph"/>
              <w:spacing w:line="242" w:lineRule="auto" w:before="11"/>
              <w:ind w:left="78" w:right="58"/>
              <w:jc w:val="both"/>
              <w:rPr>
                <w:sz w:val="18"/>
              </w:rPr>
            </w:pPr>
            <w:r>
              <w:rPr>
                <w:sz w:val="18"/>
              </w:rPr>
              <w:t>Determinar los planteles públicos de </w:t>
            </w:r>
            <w:r>
              <w:rPr>
                <w:sz w:val="18"/>
              </w:rPr>
              <w:t>educación media superior que recibirán el apoyo económico, de acuerdo con la disponibilidad presupuestaria y los criterios de selección y priorización establecidos en las presentes RO. En el plazo establecido en la convocatoria </w:t>
            </w:r>
            <w:r>
              <w:rPr>
                <w:spacing w:val="-2"/>
                <w:sz w:val="18"/>
              </w:rPr>
              <w:t>emitida.</w:t>
            </w:r>
          </w:p>
        </w:tc>
        <w:tc>
          <w:tcPr>
            <w:tcW w:w="2820" w:type="dxa"/>
          </w:tcPr>
          <w:p>
            <w:pPr>
              <w:pStyle w:val="TableParagraph"/>
              <w:spacing w:before="11"/>
              <w:ind w:left="83"/>
              <w:rPr>
                <w:sz w:val="18"/>
              </w:rPr>
            </w:pPr>
            <w:r>
              <w:rPr>
                <w:spacing w:val="-4"/>
                <w:sz w:val="18"/>
              </w:rPr>
              <w:t>SEMS</w:t>
            </w:r>
          </w:p>
        </w:tc>
      </w:tr>
      <w:tr>
        <w:trPr>
          <w:trHeight w:val="1664" w:hRule="atLeast"/>
        </w:trPr>
        <w:tc>
          <w:tcPr>
            <w:tcW w:w="2640" w:type="dxa"/>
          </w:tcPr>
          <w:p>
            <w:pPr>
              <w:pStyle w:val="TableParagraph"/>
              <w:spacing w:line="242" w:lineRule="auto" w:before="11"/>
              <w:ind w:left="79"/>
              <w:rPr>
                <w:sz w:val="18"/>
              </w:rPr>
            </w:pPr>
            <w:r>
              <w:rPr>
                <w:sz w:val="18"/>
              </w:rPr>
              <w:t>Publicación</w:t>
            </w:r>
            <w:r>
              <w:rPr>
                <w:spacing w:val="40"/>
                <w:sz w:val="18"/>
              </w:rPr>
              <w:t> </w:t>
            </w:r>
            <w:r>
              <w:rPr>
                <w:sz w:val="18"/>
              </w:rPr>
              <w:t>de</w:t>
            </w:r>
            <w:r>
              <w:rPr>
                <w:spacing w:val="40"/>
                <w:sz w:val="18"/>
              </w:rPr>
              <w:t> </w:t>
            </w:r>
            <w:r>
              <w:rPr>
                <w:sz w:val="18"/>
              </w:rPr>
              <w:t>Resultados</w:t>
            </w:r>
            <w:r>
              <w:rPr>
                <w:spacing w:val="40"/>
                <w:sz w:val="18"/>
              </w:rPr>
              <w:t> </w:t>
            </w:r>
            <w:r>
              <w:rPr>
                <w:sz w:val="18"/>
              </w:rPr>
              <w:t>y </w:t>
            </w:r>
            <w:r>
              <w:rPr>
                <w:spacing w:val="-2"/>
                <w:sz w:val="18"/>
              </w:rPr>
              <w:t>Notificación</w:t>
            </w:r>
          </w:p>
        </w:tc>
        <w:tc>
          <w:tcPr>
            <w:tcW w:w="4005" w:type="dxa"/>
          </w:tcPr>
          <w:p>
            <w:pPr>
              <w:pStyle w:val="TableParagraph"/>
              <w:spacing w:line="242" w:lineRule="auto" w:before="11"/>
              <w:ind w:left="78" w:right="58"/>
              <w:jc w:val="both"/>
              <w:rPr>
                <w:sz w:val="18"/>
              </w:rPr>
            </w:pPr>
            <w:r>
              <w:rPr>
                <w:sz w:val="18"/>
              </w:rPr>
              <w:t>Publicar los resultados en la página de </w:t>
            </w:r>
            <w:r>
              <w:rPr>
                <w:sz w:val="18"/>
              </w:rPr>
              <w:t>la</w:t>
            </w:r>
            <w:r>
              <w:rPr>
                <w:spacing w:val="40"/>
                <w:sz w:val="18"/>
              </w:rPr>
              <w:t> </w:t>
            </w:r>
            <w:r>
              <w:rPr>
                <w:sz w:val="18"/>
              </w:rPr>
              <w:t>SEMS, notificar a los planteles públicos beneficiarios y enviar la relación de los</w:t>
            </w:r>
            <w:r>
              <w:rPr>
                <w:spacing w:val="40"/>
                <w:sz w:val="18"/>
              </w:rPr>
              <w:t> </w:t>
            </w:r>
            <w:r>
              <w:rPr>
                <w:sz w:val="18"/>
              </w:rPr>
              <w:t>planteles públicos seleccionados a las AEL. Durante los 20 (veinte) días naturales posteriores al término de la selección de </w:t>
            </w:r>
            <w:r>
              <w:rPr>
                <w:spacing w:val="-2"/>
                <w:sz w:val="18"/>
              </w:rPr>
              <w:t>beneficiarios.</w:t>
            </w:r>
          </w:p>
        </w:tc>
        <w:tc>
          <w:tcPr>
            <w:tcW w:w="2820" w:type="dxa"/>
          </w:tcPr>
          <w:p>
            <w:pPr>
              <w:pStyle w:val="TableParagraph"/>
              <w:spacing w:before="11"/>
              <w:ind w:left="83"/>
              <w:rPr>
                <w:sz w:val="18"/>
              </w:rPr>
            </w:pPr>
            <w:r>
              <w:rPr>
                <w:spacing w:val="-4"/>
                <w:sz w:val="18"/>
              </w:rPr>
              <w:t>SEMS</w:t>
            </w:r>
          </w:p>
        </w:tc>
      </w:tr>
      <w:tr>
        <w:trPr>
          <w:trHeight w:val="1454" w:hRule="atLeast"/>
        </w:trPr>
        <w:tc>
          <w:tcPr>
            <w:tcW w:w="2640" w:type="dxa"/>
          </w:tcPr>
          <w:p>
            <w:pPr>
              <w:pStyle w:val="TableParagraph"/>
              <w:spacing w:line="242" w:lineRule="auto" w:before="11"/>
              <w:ind w:left="79" w:right="62"/>
              <w:jc w:val="both"/>
              <w:rPr>
                <w:sz w:val="18"/>
              </w:rPr>
            </w:pPr>
            <w:r>
              <w:rPr>
                <w:sz w:val="18"/>
              </w:rPr>
              <w:t>Seguimiento</w:t>
            </w:r>
            <w:r>
              <w:rPr>
                <w:spacing w:val="-6"/>
                <w:sz w:val="18"/>
              </w:rPr>
              <w:t> </w:t>
            </w:r>
            <w:r>
              <w:rPr>
                <w:sz w:val="18"/>
              </w:rPr>
              <w:t>del</w:t>
            </w:r>
            <w:r>
              <w:rPr>
                <w:spacing w:val="-6"/>
                <w:sz w:val="18"/>
              </w:rPr>
              <w:t> </w:t>
            </w:r>
            <w:r>
              <w:rPr>
                <w:sz w:val="18"/>
              </w:rPr>
              <w:t>Proyecto</w:t>
            </w:r>
            <w:r>
              <w:rPr>
                <w:spacing w:val="-6"/>
                <w:sz w:val="18"/>
              </w:rPr>
              <w:t> </w:t>
            </w:r>
            <w:r>
              <w:rPr>
                <w:sz w:val="18"/>
              </w:rPr>
              <w:t>para el</w:t>
            </w:r>
            <w:r>
              <w:rPr>
                <w:spacing w:val="-3"/>
                <w:sz w:val="18"/>
              </w:rPr>
              <w:t> </w:t>
            </w:r>
            <w:r>
              <w:rPr>
                <w:sz w:val="18"/>
              </w:rPr>
              <w:t>Avance en la</w:t>
            </w:r>
            <w:r>
              <w:rPr>
                <w:spacing w:val="-3"/>
                <w:sz w:val="18"/>
              </w:rPr>
              <w:t> </w:t>
            </w:r>
            <w:r>
              <w:rPr>
                <w:sz w:val="18"/>
              </w:rPr>
              <w:t>Atención de la Educación Media Superior</w:t>
            </w:r>
            <w:r>
              <w:rPr>
                <w:spacing w:val="40"/>
                <w:sz w:val="18"/>
              </w:rPr>
              <w:t> </w:t>
            </w:r>
            <w:r>
              <w:rPr>
                <w:sz w:val="18"/>
              </w:rPr>
              <w:t>para Estudiantes con </w:t>
            </w:r>
            <w:r>
              <w:rPr>
                <w:spacing w:val="-2"/>
                <w:sz w:val="18"/>
              </w:rPr>
              <w:t>Discapacidad</w:t>
            </w:r>
          </w:p>
        </w:tc>
        <w:tc>
          <w:tcPr>
            <w:tcW w:w="4005" w:type="dxa"/>
          </w:tcPr>
          <w:p>
            <w:pPr>
              <w:pStyle w:val="TableParagraph"/>
              <w:spacing w:line="242" w:lineRule="auto" w:before="11"/>
              <w:ind w:left="78" w:right="58"/>
              <w:jc w:val="both"/>
              <w:rPr>
                <w:sz w:val="18"/>
              </w:rPr>
            </w:pPr>
            <w:r>
              <w:rPr>
                <w:sz w:val="18"/>
              </w:rPr>
              <w:t>Seguimiento del Proyecto para el Avance en </w:t>
            </w:r>
            <w:r>
              <w:rPr>
                <w:sz w:val="18"/>
              </w:rPr>
              <w:t>la Atención de la Educación Media Superior para Estudiantes con Discapacidad beneficiario del PAPPEMS. Desde la radicación del recurso, hasta el término del ejercicio fiscal.</w:t>
            </w:r>
          </w:p>
        </w:tc>
        <w:tc>
          <w:tcPr>
            <w:tcW w:w="2820" w:type="dxa"/>
          </w:tcPr>
          <w:p>
            <w:pPr>
              <w:pStyle w:val="TableParagraph"/>
              <w:spacing w:before="11"/>
              <w:ind w:left="83"/>
              <w:rPr>
                <w:sz w:val="18"/>
              </w:rPr>
            </w:pPr>
            <w:r>
              <w:rPr>
                <w:sz w:val="18"/>
              </w:rPr>
              <w:t>SEMS a través de la </w:t>
            </w:r>
            <w:r>
              <w:rPr>
                <w:spacing w:val="-2"/>
                <w:sz w:val="18"/>
              </w:rPr>
              <w:t>CSPyA</w:t>
            </w:r>
          </w:p>
        </w:tc>
      </w:tr>
    </w:tbl>
    <w:p>
      <w:pPr>
        <w:pStyle w:val="BodyText"/>
        <w:spacing w:before="107"/>
        <w:ind w:left="0" w:right="0" w:firstLine="0"/>
        <w:jc w:val="left"/>
        <w:rPr>
          <w:rFonts w:ascii="Arial"/>
          <w:b/>
        </w:rPr>
      </w:pPr>
    </w:p>
    <w:p>
      <w:pPr>
        <w:pStyle w:val="BodyText"/>
        <w:spacing w:line="242" w:lineRule="auto" w:before="0"/>
      </w:pPr>
      <w:r>
        <w:rPr/>
        <w:t>La SEMS podrá seleccionar a los planteles públicos beneficiarios, con base al orden de recepción de los Proyectos para el Avance en la Atención de la Educación Media Superior para Estudiantes con Discapacidad completos enviados por estos, al número de estudiantes a beneficiar y de acuerdo con la disponibilidad presupuestaria.</w:t>
      </w:r>
    </w:p>
    <w:p>
      <w:pPr>
        <w:pStyle w:val="BodyText"/>
        <w:spacing w:line="242" w:lineRule="auto" w:before="93"/>
        <w:ind w:right="117"/>
      </w:pPr>
      <w:r>
        <w:rPr/>
        <w:t>Cuando las/los beneficiarias(os) sean personas físicas, la participación de mujeres y hombres en la solicitud y elegibilidad </w:t>
      </w:r>
      <w:r>
        <w:rPr/>
        <w:t>de los apoyos que proporciona el presente Programa, será en igualdad de condiciones y oportunidades, por lo que, ser mujer u hombre no será motivo de restricción para la participación y elegibilidad en la obtención de los apoyos; asimismo, buscará fomentar la igualdad de oportunidades entre mujeres y hombres; y, el respeto a los derechos humanos.</w:t>
      </w:r>
    </w:p>
    <w:p>
      <w:pPr>
        <w:pStyle w:val="BodyText"/>
        <w:spacing w:line="242" w:lineRule="auto" w:before="94"/>
      </w:pPr>
      <w:r>
        <w:rPr/>
        <w:t>Sólo podrán exigirse los datos y documentos anexos estrictamente necesarios para tramitar la solicitud y acreditar si el potencial beneficiario/a cumple con los criterios de elegibilidad.</w:t>
      </w:r>
    </w:p>
    <w:p>
      <w:pPr>
        <w:pStyle w:val="BodyText"/>
        <w:spacing w:line="242" w:lineRule="auto" w:before="91"/>
      </w:pPr>
      <w:r>
        <w:rPr/>
        <w:t>El</w:t>
      </w:r>
      <w:r>
        <w:rPr>
          <w:spacing w:val="-2"/>
        </w:rPr>
        <w:t> </w:t>
      </w:r>
      <w:r>
        <w:rPr/>
        <w:t>PAPPEMS</w:t>
      </w:r>
      <w:r>
        <w:rPr>
          <w:spacing w:val="-2"/>
        </w:rPr>
        <w:t> </w:t>
      </w:r>
      <w:r>
        <w:rPr/>
        <w:t>adoptará,</w:t>
      </w:r>
      <w:r>
        <w:rPr>
          <w:spacing w:val="-2"/>
        </w:rPr>
        <w:t> </w:t>
      </w:r>
      <w:r>
        <w:rPr/>
        <w:t>en</w:t>
      </w:r>
      <w:r>
        <w:rPr>
          <w:spacing w:val="-2"/>
        </w:rPr>
        <w:t> </w:t>
      </w:r>
      <w:r>
        <w:rPr/>
        <w:t>lo</w:t>
      </w:r>
      <w:r>
        <w:rPr>
          <w:spacing w:val="-2"/>
        </w:rPr>
        <w:t> </w:t>
      </w:r>
      <w:r>
        <w:rPr/>
        <w:t>procedente,</w:t>
      </w:r>
      <w:r>
        <w:rPr>
          <w:spacing w:val="-2"/>
        </w:rPr>
        <w:t> </w:t>
      </w:r>
      <w:r>
        <w:rPr/>
        <w:t>el</w:t>
      </w:r>
      <w:r>
        <w:rPr>
          <w:spacing w:val="-2"/>
        </w:rPr>
        <w:t> </w:t>
      </w:r>
      <w:r>
        <w:rPr/>
        <w:t>modelo</w:t>
      </w:r>
      <w:r>
        <w:rPr>
          <w:spacing w:val="-2"/>
        </w:rPr>
        <w:t> </w:t>
      </w:r>
      <w:r>
        <w:rPr/>
        <w:t>de</w:t>
      </w:r>
      <w:r>
        <w:rPr>
          <w:spacing w:val="-2"/>
        </w:rPr>
        <w:t> </w:t>
      </w:r>
      <w:r>
        <w:rPr/>
        <w:t>estructura</w:t>
      </w:r>
      <w:r>
        <w:rPr>
          <w:spacing w:val="-2"/>
        </w:rPr>
        <w:t> </w:t>
      </w:r>
      <w:r>
        <w:rPr/>
        <w:t>de</w:t>
      </w:r>
      <w:r>
        <w:rPr>
          <w:spacing w:val="-2"/>
        </w:rPr>
        <w:t> </w:t>
      </w:r>
      <w:r>
        <w:rPr/>
        <w:t>datos</w:t>
      </w:r>
      <w:r>
        <w:rPr>
          <w:spacing w:val="-2"/>
        </w:rPr>
        <w:t> </w:t>
      </w:r>
      <w:r>
        <w:rPr/>
        <w:t>del</w:t>
      </w:r>
      <w:r>
        <w:rPr>
          <w:spacing w:val="-2"/>
        </w:rPr>
        <w:t> </w:t>
      </w:r>
      <w:r>
        <w:rPr/>
        <w:t>domicilio</w:t>
      </w:r>
      <w:r>
        <w:rPr>
          <w:spacing w:val="-2"/>
        </w:rPr>
        <w:t> </w:t>
      </w:r>
      <w:r>
        <w:rPr/>
        <w:t>geográfico</w:t>
      </w:r>
      <w:r>
        <w:rPr>
          <w:spacing w:val="-2"/>
        </w:rPr>
        <w:t> </w:t>
      </w:r>
      <w:r>
        <w:rPr/>
        <w:t>establecido</w:t>
      </w:r>
      <w:r>
        <w:rPr>
          <w:spacing w:val="-2"/>
        </w:rPr>
        <w:t> </w:t>
      </w:r>
      <w:r>
        <w:rPr/>
        <w:t>en</w:t>
      </w:r>
      <w:r>
        <w:rPr>
          <w:spacing w:val="-2"/>
        </w:rPr>
        <w:t> </w:t>
      </w:r>
      <w:r>
        <w:rPr/>
        <w:t>el</w:t>
      </w:r>
      <w:r>
        <w:rPr>
          <w:spacing w:val="-2"/>
        </w:rPr>
        <w:t> </w:t>
      </w:r>
      <w:r>
        <w:rPr/>
        <w:t>"Acuerdo por el que se aprueba la Norma Técnica sobre Domicilios Geográficos", emitido por el Instituto Nacional de Estadística </w:t>
      </w:r>
      <w:r>
        <w:rPr/>
        <w:t>y Geografía, publicado en el DOF el 12 de noviembre de 2010. Lo anterior en estricta observancia al Acuerdo antes referido y al oficio circular números 801.1.-279 y SSFP/400/124/2010 emitidos por la SHCP y la SFP, respectivamente.</w:t>
      </w:r>
    </w:p>
    <w:p>
      <w:pPr>
        <w:pStyle w:val="BodyText"/>
        <w:spacing w:before="94"/>
        <w:ind w:left="402" w:right="0" w:firstLine="0"/>
      </w:pPr>
      <w:r>
        <w:rPr/>
        <w:t>Los componentes que integran el modelo de estructura de datos del Domicilio Geográfico </w:t>
      </w:r>
      <w:r>
        <w:rPr>
          <w:spacing w:val="-4"/>
        </w:rPr>
        <w:t>son:</w:t>
      </w:r>
    </w:p>
    <w:p>
      <w:pPr>
        <w:pStyle w:val="BodyText"/>
        <w:spacing w:before="5"/>
        <w:ind w:left="0" w:right="0" w:firstLine="0"/>
        <w:jc w:val="left"/>
        <w:rPr>
          <w:sz w:val="8"/>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45"/>
        <w:gridCol w:w="3585"/>
        <w:gridCol w:w="1875"/>
        <w:gridCol w:w="689"/>
        <w:gridCol w:w="239"/>
        <w:gridCol w:w="339"/>
        <w:gridCol w:w="294"/>
      </w:tblGrid>
      <w:tr>
        <w:trPr>
          <w:trHeight w:val="314" w:hRule="atLeast"/>
        </w:trPr>
        <w:tc>
          <w:tcPr>
            <w:tcW w:w="9466" w:type="dxa"/>
            <w:gridSpan w:val="7"/>
          </w:tcPr>
          <w:p>
            <w:pPr>
              <w:pStyle w:val="TableParagraph"/>
              <w:spacing w:before="11"/>
              <w:ind w:left="8"/>
              <w:jc w:val="center"/>
              <w:rPr>
                <w:rFonts w:ascii="Arial"/>
                <w:b/>
                <w:sz w:val="18"/>
              </w:rPr>
            </w:pPr>
            <w:r>
              <w:rPr>
                <w:rFonts w:ascii="Arial"/>
                <w:b/>
                <w:spacing w:val="-2"/>
                <w:sz w:val="18"/>
              </w:rPr>
              <w:t>COMPONENTES</w:t>
            </w:r>
          </w:p>
        </w:tc>
      </w:tr>
      <w:tr>
        <w:trPr>
          <w:trHeight w:val="329" w:hRule="atLeast"/>
        </w:trPr>
        <w:tc>
          <w:tcPr>
            <w:tcW w:w="2445" w:type="dxa"/>
          </w:tcPr>
          <w:p>
            <w:pPr>
              <w:pStyle w:val="TableParagraph"/>
              <w:spacing w:before="11"/>
              <w:ind w:left="79"/>
              <w:rPr>
                <w:rFonts w:ascii="Arial"/>
                <w:b/>
                <w:sz w:val="18"/>
              </w:rPr>
            </w:pPr>
            <w:r>
              <w:rPr>
                <w:rFonts w:ascii="Arial"/>
                <w:b/>
                <w:spacing w:val="-2"/>
                <w:sz w:val="18"/>
              </w:rPr>
              <w:t>ESPACIALES</w:t>
            </w:r>
          </w:p>
        </w:tc>
        <w:tc>
          <w:tcPr>
            <w:tcW w:w="3585" w:type="dxa"/>
          </w:tcPr>
          <w:p>
            <w:pPr>
              <w:pStyle w:val="TableParagraph"/>
              <w:spacing w:before="11"/>
              <w:ind w:left="75"/>
              <w:rPr>
                <w:rFonts w:ascii="Arial"/>
                <w:b/>
                <w:sz w:val="18"/>
              </w:rPr>
            </w:pPr>
            <w:r>
              <w:rPr>
                <w:rFonts w:ascii="Arial"/>
                <w:b/>
                <w:sz w:val="18"/>
              </w:rPr>
              <w:t>DE </w:t>
            </w:r>
            <w:r>
              <w:rPr>
                <w:rFonts w:ascii="Arial"/>
                <w:b/>
                <w:spacing w:val="-2"/>
                <w:sz w:val="18"/>
              </w:rPr>
              <w:t>REFERENCIA</w:t>
            </w:r>
          </w:p>
        </w:tc>
        <w:tc>
          <w:tcPr>
            <w:tcW w:w="3436" w:type="dxa"/>
            <w:gridSpan w:val="5"/>
          </w:tcPr>
          <w:p>
            <w:pPr>
              <w:pStyle w:val="TableParagraph"/>
              <w:spacing w:before="11"/>
              <w:ind w:left="86"/>
              <w:rPr>
                <w:rFonts w:ascii="Arial" w:hAnsi="Arial"/>
                <w:b/>
                <w:sz w:val="18"/>
              </w:rPr>
            </w:pPr>
            <w:r>
              <w:rPr>
                <w:rFonts w:ascii="Arial" w:hAnsi="Arial"/>
                <w:b/>
                <w:spacing w:val="-2"/>
                <w:sz w:val="18"/>
              </w:rPr>
              <w:t>GEOESTADÍSTICOS</w:t>
            </w:r>
          </w:p>
        </w:tc>
      </w:tr>
      <w:tr>
        <w:trPr>
          <w:trHeight w:val="539" w:hRule="atLeast"/>
        </w:trPr>
        <w:tc>
          <w:tcPr>
            <w:tcW w:w="2445" w:type="dxa"/>
          </w:tcPr>
          <w:p>
            <w:pPr>
              <w:pStyle w:val="TableParagraph"/>
              <w:spacing w:before="11"/>
              <w:ind w:left="79"/>
              <w:rPr>
                <w:sz w:val="18"/>
              </w:rPr>
            </w:pPr>
            <w:r>
              <w:rPr>
                <w:spacing w:val="-2"/>
                <w:sz w:val="18"/>
              </w:rPr>
              <w:t>Vialidad</w:t>
            </w:r>
          </w:p>
        </w:tc>
        <w:tc>
          <w:tcPr>
            <w:tcW w:w="3585" w:type="dxa"/>
          </w:tcPr>
          <w:p>
            <w:pPr>
              <w:pStyle w:val="TableParagraph"/>
              <w:spacing w:before="11"/>
              <w:ind w:left="75"/>
              <w:rPr>
                <w:sz w:val="18"/>
              </w:rPr>
            </w:pPr>
            <w:r>
              <w:rPr>
                <w:sz w:val="18"/>
              </w:rPr>
              <w:t>No. </w:t>
            </w:r>
            <w:r>
              <w:rPr>
                <w:spacing w:val="-2"/>
                <w:sz w:val="18"/>
              </w:rPr>
              <w:t>Exterior</w:t>
            </w:r>
          </w:p>
        </w:tc>
        <w:tc>
          <w:tcPr>
            <w:tcW w:w="1875" w:type="dxa"/>
            <w:tcBorders>
              <w:right w:val="nil"/>
            </w:tcBorders>
          </w:tcPr>
          <w:p>
            <w:pPr>
              <w:pStyle w:val="TableParagraph"/>
              <w:spacing w:line="242" w:lineRule="auto" w:before="11"/>
              <w:ind w:left="86" w:right="59"/>
              <w:rPr>
                <w:sz w:val="18"/>
              </w:rPr>
            </w:pPr>
            <w:r>
              <w:rPr>
                <w:sz w:val="18"/>
              </w:rPr>
              <w:t>Área</w:t>
            </w:r>
            <w:r>
              <w:rPr>
                <w:spacing w:val="40"/>
                <w:sz w:val="18"/>
              </w:rPr>
              <w:t> </w:t>
            </w:r>
            <w:r>
              <w:rPr>
                <w:sz w:val="18"/>
              </w:rPr>
              <w:t>Geoestadística Ciudad de México.</w:t>
            </w:r>
          </w:p>
        </w:tc>
        <w:tc>
          <w:tcPr>
            <w:tcW w:w="689" w:type="dxa"/>
            <w:tcBorders>
              <w:left w:val="nil"/>
              <w:right w:val="nil"/>
            </w:tcBorders>
          </w:tcPr>
          <w:p>
            <w:pPr>
              <w:pStyle w:val="TableParagraph"/>
              <w:spacing w:before="11"/>
              <w:ind w:left="76"/>
              <w:rPr>
                <w:sz w:val="18"/>
              </w:rPr>
            </w:pPr>
            <w:r>
              <w:rPr>
                <w:spacing w:val="-2"/>
                <w:sz w:val="18"/>
              </w:rPr>
              <w:t>Estatal</w:t>
            </w:r>
          </w:p>
        </w:tc>
        <w:tc>
          <w:tcPr>
            <w:tcW w:w="239" w:type="dxa"/>
            <w:tcBorders>
              <w:left w:val="nil"/>
              <w:right w:val="nil"/>
            </w:tcBorders>
          </w:tcPr>
          <w:p>
            <w:pPr>
              <w:pStyle w:val="TableParagraph"/>
              <w:spacing w:before="11"/>
              <w:ind w:left="76"/>
              <w:rPr>
                <w:sz w:val="18"/>
              </w:rPr>
            </w:pPr>
            <w:r>
              <w:rPr>
                <w:spacing w:val="-10"/>
                <w:sz w:val="18"/>
              </w:rPr>
              <w:t>o</w:t>
            </w:r>
          </w:p>
        </w:tc>
        <w:tc>
          <w:tcPr>
            <w:tcW w:w="339" w:type="dxa"/>
            <w:tcBorders>
              <w:left w:val="nil"/>
              <w:right w:val="nil"/>
            </w:tcBorders>
          </w:tcPr>
          <w:p>
            <w:pPr>
              <w:pStyle w:val="TableParagraph"/>
              <w:spacing w:before="11"/>
              <w:ind w:left="76"/>
              <w:rPr>
                <w:sz w:val="18"/>
              </w:rPr>
            </w:pPr>
            <w:r>
              <w:rPr>
                <w:spacing w:val="-5"/>
                <w:sz w:val="18"/>
              </w:rPr>
              <w:t>de</w:t>
            </w:r>
          </w:p>
        </w:tc>
        <w:tc>
          <w:tcPr>
            <w:tcW w:w="294" w:type="dxa"/>
            <w:tcBorders>
              <w:left w:val="nil"/>
            </w:tcBorders>
          </w:tcPr>
          <w:p>
            <w:pPr>
              <w:pStyle w:val="TableParagraph"/>
              <w:spacing w:before="11"/>
              <w:ind w:left="76"/>
              <w:rPr>
                <w:sz w:val="18"/>
              </w:rPr>
            </w:pPr>
            <w:r>
              <w:rPr>
                <w:spacing w:val="-5"/>
                <w:sz w:val="18"/>
              </w:rPr>
              <w:t>la</w:t>
            </w:r>
          </w:p>
        </w:tc>
      </w:tr>
      <w:tr>
        <w:trPr>
          <w:trHeight w:val="749" w:hRule="atLeast"/>
        </w:trPr>
        <w:tc>
          <w:tcPr>
            <w:tcW w:w="2445" w:type="dxa"/>
          </w:tcPr>
          <w:p>
            <w:pPr>
              <w:pStyle w:val="TableParagraph"/>
              <w:spacing w:before="11"/>
              <w:ind w:left="79"/>
              <w:rPr>
                <w:sz w:val="18"/>
              </w:rPr>
            </w:pPr>
            <w:r>
              <w:rPr>
                <w:spacing w:val="-2"/>
                <w:sz w:val="18"/>
              </w:rPr>
              <w:t>Carretera</w:t>
            </w:r>
          </w:p>
        </w:tc>
        <w:tc>
          <w:tcPr>
            <w:tcW w:w="3585" w:type="dxa"/>
          </w:tcPr>
          <w:p>
            <w:pPr>
              <w:pStyle w:val="TableParagraph"/>
              <w:spacing w:before="11"/>
              <w:ind w:left="75"/>
              <w:rPr>
                <w:sz w:val="18"/>
              </w:rPr>
            </w:pPr>
            <w:r>
              <w:rPr>
                <w:sz w:val="18"/>
              </w:rPr>
              <w:t>No. </w:t>
            </w:r>
            <w:r>
              <w:rPr>
                <w:spacing w:val="-2"/>
                <w:sz w:val="18"/>
              </w:rPr>
              <w:t>Interior</w:t>
            </w:r>
          </w:p>
        </w:tc>
        <w:tc>
          <w:tcPr>
            <w:tcW w:w="3436" w:type="dxa"/>
            <w:gridSpan w:val="5"/>
          </w:tcPr>
          <w:p>
            <w:pPr>
              <w:pStyle w:val="TableParagraph"/>
              <w:spacing w:line="242" w:lineRule="auto" w:before="11"/>
              <w:ind w:left="86" w:right="68"/>
              <w:jc w:val="both"/>
              <w:rPr>
                <w:sz w:val="18"/>
              </w:rPr>
            </w:pPr>
            <w:r>
              <w:rPr>
                <w:sz w:val="18"/>
              </w:rPr>
              <w:t>Área Geoestadística Municipal </w:t>
            </w:r>
            <w:r>
              <w:rPr>
                <w:sz w:val="18"/>
              </w:rPr>
              <w:t>o Demarcación Territorial de la Ciudad de </w:t>
            </w:r>
            <w:r>
              <w:rPr>
                <w:spacing w:val="-2"/>
                <w:sz w:val="18"/>
              </w:rPr>
              <w:t>México.</w:t>
            </w:r>
          </w:p>
        </w:tc>
      </w:tr>
      <w:tr>
        <w:trPr>
          <w:trHeight w:val="329" w:hRule="atLeast"/>
        </w:trPr>
        <w:tc>
          <w:tcPr>
            <w:tcW w:w="2445" w:type="dxa"/>
          </w:tcPr>
          <w:p>
            <w:pPr>
              <w:pStyle w:val="TableParagraph"/>
              <w:spacing w:before="11"/>
              <w:ind w:left="79"/>
              <w:rPr>
                <w:sz w:val="18"/>
              </w:rPr>
            </w:pPr>
            <w:r>
              <w:rPr>
                <w:spacing w:val="-2"/>
                <w:sz w:val="18"/>
              </w:rPr>
              <w:t>Camino</w:t>
            </w:r>
          </w:p>
        </w:tc>
        <w:tc>
          <w:tcPr>
            <w:tcW w:w="3585" w:type="dxa"/>
          </w:tcPr>
          <w:p>
            <w:pPr>
              <w:pStyle w:val="TableParagraph"/>
              <w:spacing w:before="11"/>
              <w:ind w:left="75"/>
              <w:rPr>
                <w:sz w:val="18"/>
              </w:rPr>
            </w:pPr>
            <w:r>
              <w:rPr>
                <w:sz w:val="18"/>
              </w:rPr>
              <w:t>Asentamiento </w:t>
            </w:r>
            <w:r>
              <w:rPr>
                <w:spacing w:val="-2"/>
                <w:sz w:val="18"/>
              </w:rPr>
              <w:t>Humano</w:t>
            </w:r>
          </w:p>
        </w:tc>
        <w:tc>
          <w:tcPr>
            <w:tcW w:w="3436" w:type="dxa"/>
            <w:gridSpan w:val="5"/>
          </w:tcPr>
          <w:p>
            <w:pPr>
              <w:pStyle w:val="TableParagraph"/>
              <w:spacing w:before="11"/>
              <w:ind w:left="86"/>
              <w:rPr>
                <w:sz w:val="18"/>
              </w:rPr>
            </w:pPr>
            <w:r>
              <w:rPr>
                <w:spacing w:val="-2"/>
                <w:sz w:val="18"/>
              </w:rPr>
              <w:t>Localidad</w:t>
            </w:r>
          </w:p>
        </w:tc>
      </w:tr>
      <w:tr>
        <w:trPr>
          <w:trHeight w:val="314" w:hRule="atLeast"/>
        </w:trPr>
        <w:tc>
          <w:tcPr>
            <w:tcW w:w="2445" w:type="dxa"/>
          </w:tcPr>
          <w:p>
            <w:pPr>
              <w:pStyle w:val="TableParagraph"/>
              <w:rPr>
                <w:rFonts w:ascii="Times New Roman"/>
                <w:sz w:val="16"/>
              </w:rPr>
            </w:pPr>
          </w:p>
        </w:tc>
        <w:tc>
          <w:tcPr>
            <w:tcW w:w="3585" w:type="dxa"/>
          </w:tcPr>
          <w:p>
            <w:pPr>
              <w:pStyle w:val="TableParagraph"/>
              <w:spacing w:before="11"/>
              <w:ind w:left="75"/>
              <w:rPr>
                <w:sz w:val="18"/>
              </w:rPr>
            </w:pPr>
            <w:r>
              <w:rPr>
                <w:sz w:val="18"/>
              </w:rPr>
              <w:t>Código </w:t>
            </w:r>
            <w:r>
              <w:rPr>
                <w:spacing w:val="-2"/>
                <w:sz w:val="18"/>
              </w:rPr>
              <w:t>Postal</w:t>
            </w:r>
          </w:p>
        </w:tc>
        <w:tc>
          <w:tcPr>
            <w:tcW w:w="3436" w:type="dxa"/>
            <w:gridSpan w:val="5"/>
          </w:tcPr>
          <w:p>
            <w:pPr>
              <w:pStyle w:val="TableParagraph"/>
              <w:rPr>
                <w:rFonts w:ascii="Times New Roman"/>
                <w:sz w:val="16"/>
              </w:rPr>
            </w:pPr>
          </w:p>
        </w:tc>
      </w:tr>
      <w:tr>
        <w:trPr>
          <w:trHeight w:val="329" w:hRule="atLeast"/>
        </w:trPr>
        <w:tc>
          <w:tcPr>
            <w:tcW w:w="2445" w:type="dxa"/>
          </w:tcPr>
          <w:p>
            <w:pPr>
              <w:pStyle w:val="TableParagraph"/>
              <w:rPr>
                <w:rFonts w:ascii="Times New Roman"/>
                <w:sz w:val="16"/>
              </w:rPr>
            </w:pPr>
          </w:p>
        </w:tc>
        <w:tc>
          <w:tcPr>
            <w:tcW w:w="3585" w:type="dxa"/>
          </w:tcPr>
          <w:p>
            <w:pPr>
              <w:pStyle w:val="TableParagraph"/>
              <w:spacing w:before="11"/>
              <w:ind w:left="75"/>
              <w:rPr>
                <w:sz w:val="18"/>
              </w:rPr>
            </w:pPr>
            <w:r>
              <w:rPr>
                <w:sz w:val="18"/>
              </w:rPr>
              <w:t>Descripción de </w:t>
            </w:r>
            <w:r>
              <w:rPr>
                <w:spacing w:val="-2"/>
                <w:sz w:val="18"/>
              </w:rPr>
              <w:t>Ubicación</w:t>
            </w:r>
          </w:p>
        </w:tc>
        <w:tc>
          <w:tcPr>
            <w:tcW w:w="3436" w:type="dxa"/>
            <w:gridSpan w:val="5"/>
          </w:tcPr>
          <w:p>
            <w:pPr>
              <w:pStyle w:val="TableParagraph"/>
              <w:rPr>
                <w:rFonts w:ascii="Times New Roman"/>
                <w:sz w:val="16"/>
              </w:rPr>
            </w:pPr>
          </w:p>
        </w:tc>
      </w:tr>
    </w:tbl>
    <w:p>
      <w:pPr>
        <w:pStyle w:val="BodyText"/>
        <w:spacing w:before="96"/>
        <w:ind w:left="0" w:right="0" w:firstLine="0"/>
        <w:jc w:val="left"/>
      </w:pPr>
    </w:p>
    <w:p>
      <w:pPr>
        <w:pStyle w:val="Heading2"/>
        <w:numPr>
          <w:ilvl w:val="1"/>
          <w:numId w:val="2"/>
        </w:numPr>
        <w:tabs>
          <w:tab w:pos="752" w:val="left" w:leader="none"/>
        </w:tabs>
        <w:spacing w:line="240" w:lineRule="auto" w:before="0" w:after="0"/>
        <w:ind w:left="752" w:right="0" w:hanging="350"/>
        <w:jc w:val="left"/>
      </w:pPr>
      <w:r>
        <w:rPr/>
        <w:t>Características de los apoyos (tipo y </w:t>
      </w:r>
      <w:r>
        <w:rPr>
          <w:spacing w:val="-2"/>
        </w:rPr>
        <w:t>monto)</w:t>
      </w:r>
    </w:p>
    <w:p>
      <w:pPr>
        <w:pStyle w:val="BodyText"/>
        <w:spacing w:line="242" w:lineRule="auto" w:before="93"/>
      </w:pPr>
      <w:r>
        <w:rPr/>
        <w:t>Los subsidios son las asignaciones de recursos federales previstas en el Presupuesto de Egresos de la Federación que, a través de las dependencias y entidades, se otorgan a los diferentes sectores de la sociedad, los gobiernos de las Entidades Federativas y, en su caso, los Municipios para fomentar el desarrollo de actividades sociales o económicas prioritarias de </w:t>
      </w:r>
      <w:r>
        <w:rPr/>
        <w:t>interés </w:t>
      </w:r>
      <w:r>
        <w:rPr>
          <w:spacing w:val="-2"/>
        </w:rPr>
        <w:t>general.</w:t>
      </w:r>
    </w:p>
    <w:p>
      <w:pPr>
        <w:pStyle w:val="BodyText"/>
        <w:spacing w:line="242" w:lineRule="auto" w:before="4"/>
      </w:pPr>
      <w:r>
        <w:rPr/>
        <w:t>El otorgamiento de los subsidios deberá sujetarse a lo dispuesto en los artículos 74 al 79 de la LFPRH; y, 174 al 181 de su Reglamento, y a lo previsto en las presentes RO.</w:t>
      </w:r>
    </w:p>
    <w:p>
      <w:pPr>
        <w:pStyle w:val="BodyText"/>
        <w:spacing w:line="242" w:lineRule="auto" w:before="92"/>
      </w:pPr>
      <w:r>
        <w:rPr/>
        <w:t>Los convenios que se suscriban con las Entidades Federativas con el propósito de formalizar el otorgamiento de subsidios a cargo de este Programa no tienen carácter de convenio de coordinación para transferir recursos del presupuesto de la Secretaría de Educación Pública a los gobiernos de las Entidades Federativas o, en su caso, Municipios con el propósito de descentralizar o reasignar la ejecución de funciones, programas o proyectos federales o, en su caso, recursos humanos y materiales a que </w:t>
      </w:r>
      <w:r>
        <w:rPr/>
        <w:t>hace referencia los artículos 82 y 83 de la LFPRH, en correlación con los artículos 223 y 224 del RLFPRH.</w:t>
      </w:r>
    </w:p>
    <w:p>
      <w:pPr>
        <w:spacing w:after="0" w:line="242" w:lineRule="auto"/>
        <w:sectPr>
          <w:pgSz w:w="12240" w:h="15840"/>
          <w:pgMar w:header="269" w:footer="260" w:top="460" w:bottom="440" w:left="860" w:right="720"/>
        </w:sectPr>
      </w:pPr>
    </w:p>
    <w:p>
      <w:pPr>
        <w:pStyle w:val="BodyText"/>
        <w:spacing w:line="242" w:lineRule="auto" w:before="82"/>
      </w:pPr>
      <w:r>
        <w:rPr/>
        <w:t>Los subsidios que se otorguen tendrán la temporalidad y características que se autoricen en el marco de las presentes RO. Los subsidios se considerarán devengados de acuerdo a los criterios señalados en el numeral 3.4.1.1 "Devengos".</w:t>
      </w:r>
    </w:p>
    <w:p>
      <w:pPr>
        <w:pStyle w:val="BodyText"/>
        <w:spacing w:line="242" w:lineRule="auto" w:before="92"/>
        <w:ind w:right="117"/>
      </w:pPr>
      <w:r>
        <w:rPr/>
        <w:t>La SEMS, unidad responsable de la asignación de los recursos, deberá verificar que se cuenta con la disponibilidad </w:t>
      </w:r>
      <w:r>
        <w:rPr>
          <w:spacing w:val="-2"/>
        </w:rPr>
        <w:t>presupuestaria.</w:t>
      </w:r>
    </w:p>
    <w:p>
      <w:pPr>
        <w:pStyle w:val="BodyText"/>
        <w:spacing w:before="3" w:after="1"/>
        <w:ind w:left="0" w:right="0" w:firstLine="0"/>
        <w:jc w:val="left"/>
        <w:rPr>
          <w:sz w:val="8"/>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05"/>
        <w:gridCol w:w="2325"/>
        <w:gridCol w:w="1950"/>
        <w:gridCol w:w="2235"/>
      </w:tblGrid>
      <w:tr>
        <w:trPr>
          <w:trHeight w:val="524" w:hRule="atLeast"/>
        </w:trPr>
        <w:tc>
          <w:tcPr>
            <w:tcW w:w="3105" w:type="dxa"/>
          </w:tcPr>
          <w:p>
            <w:pPr>
              <w:pStyle w:val="TableParagraph"/>
              <w:spacing w:before="11"/>
              <w:ind w:left="842"/>
              <w:rPr>
                <w:rFonts w:ascii="Arial"/>
                <w:b/>
                <w:sz w:val="18"/>
              </w:rPr>
            </w:pPr>
            <w:r>
              <w:rPr>
                <w:rFonts w:ascii="Arial"/>
                <w:b/>
                <w:sz w:val="18"/>
              </w:rPr>
              <w:t>Tipo</w:t>
            </w:r>
            <w:r>
              <w:rPr>
                <w:rFonts w:ascii="Arial"/>
                <w:b/>
                <w:spacing w:val="-4"/>
                <w:sz w:val="18"/>
              </w:rPr>
              <w:t> </w:t>
            </w:r>
            <w:r>
              <w:rPr>
                <w:rFonts w:ascii="Arial"/>
                <w:b/>
                <w:sz w:val="18"/>
              </w:rPr>
              <w:t>de</w:t>
            </w:r>
            <w:r>
              <w:rPr>
                <w:rFonts w:ascii="Arial"/>
                <w:b/>
                <w:spacing w:val="-2"/>
                <w:sz w:val="18"/>
              </w:rPr>
              <w:t> subsidio</w:t>
            </w:r>
          </w:p>
        </w:tc>
        <w:tc>
          <w:tcPr>
            <w:tcW w:w="2325" w:type="dxa"/>
          </w:tcPr>
          <w:p>
            <w:pPr>
              <w:pStyle w:val="TableParagraph"/>
              <w:spacing w:before="11"/>
              <w:ind w:left="366"/>
              <w:rPr>
                <w:rFonts w:ascii="Arial" w:hAnsi="Arial"/>
                <w:b/>
                <w:sz w:val="18"/>
              </w:rPr>
            </w:pPr>
            <w:r>
              <w:rPr>
                <w:rFonts w:ascii="Arial" w:hAnsi="Arial"/>
                <w:b/>
                <w:sz w:val="18"/>
              </w:rPr>
              <w:t>Población </w:t>
            </w:r>
            <w:r>
              <w:rPr>
                <w:rFonts w:ascii="Arial" w:hAnsi="Arial"/>
                <w:b/>
                <w:spacing w:val="-2"/>
                <w:sz w:val="18"/>
              </w:rPr>
              <w:t>objetivo</w:t>
            </w:r>
          </w:p>
        </w:tc>
        <w:tc>
          <w:tcPr>
            <w:tcW w:w="1950" w:type="dxa"/>
          </w:tcPr>
          <w:p>
            <w:pPr>
              <w:pStyle w:val="TableParagraph"/>
              <w:spacing w:line="242" w:lineRule="auto" w:before="11"/>
              <w:ind w:left="523" w:right="56" w:firstLine="105"/>
              <w:rPr>
                <w:rFonts w:ascii="Arial"/>
                <w:b/>
                <w:sz w:val="18"/>
              </w:rPr>
            </w:pPr>
            <w:r>
              <w:rPr>
                <w:rFonts w:ascii="Arial"/>
                <w:b/>
                <w:sz w:val="18"/>
              </w:rPr>
              <w:t>Monto o </w:t>
            </w:r>
            <w:r>
              <w:rPr>
                <w:rFonts w:ascii="Arial"/>
                <w:b/>
                <w:spacing w:val="-2"/>
                <w:sz w:val="18"/>
              </w:rPr>
              <w:t>porcentaje</w:t>
            </w:r>
          </w:p>
        </w:tc>
        <w:tc>
          <w:tcPr>
            <w:tcW w:w="2235" w:type="dxa"/>
          </w:tcPr>
          <w:p>
            <w:pPr>
              <w:pStyle w:val="TableParagraph"/>
              <w:spacing w:before="11"/>
              <w:ind w:left="25"/>
              <w:jc w:val="center"/>
              <w:rPr>
                <w:rFonts w:ascii="Arial"/>
                <w:b/>
                <w:sz w:val="18"/>
              </w:rPr>
            </w:pPr>
            <w:r>
              <w:rPr>
                <w:rFonts w:ascii="Arial"/>
                <w:b/>
                <w:spacing w:val="-2"/>
                <w:sz w:val="18"/>
              </w:rPr>
              <w:t>Periodicidad</w:t>
            </w:r>
          </w:p>
        </w:tc>
      </w:tr>
      <w:tr>
        <w:trPr>
          <w:trHeight w:val="2024" w:hRule="atLeast"/>
        </w:trPr>
        <w:tc>
          <w:tcPr>
            <w:tcW w:w="3105" w:type="dxa"/>
          </w:tcPr>
          <w:p>
            <w:pPr>
              <w:pStyle w:val="TableParagraph"/>
              <w:spacing w:before="11"/>
              <w:ind w:left="79"/>
              <w:jc w:val="both"/>
              <w:rPr>
                <w:sz w:val="18"/>
              </w:rPr>
            </w:pPr>
            <w:r>
              <w:rPr>
                <w:sz w:val="18"/>
              </w:rPr>
              <w:t>Tipo</w:t>
            </w:r>
            <w:r>
              <w:rPr>
                <w:spacing w:val="-3"/>
                <w:sz w:val="18"/>
              </w:rPr>
              <w:t> </w:t>
            </w:r>
            <w:r>
              <w:rPr>
                <w:sz w:val="18"/>
              </w:rPr>
              <w:t>de</w:t>
            </w:r>
            <w:r>
              <w:rPr>
                <w:spacing w:val="-12"/>
                <w:sz w:val="18"/>
              </w:rPr>
              <w:t> </w:t>
            </w:r>
            <w:r>
              <w:rPr>
                <w:sz w:val="18"/>
              </w:rPr>
              <w:t>Apoyo</w:t>
            </w:r>
            <w:r>
              <w:rPr>
                <w:spacing w:val="-12"/>
                <w:sz w:val="18"/>
              </w:rPr>
              <w:t> </w:t>
            </w:r>
            <w:r>
              <w:rPr>
                <w:spacing w:val="-10"/>
                <w:sz w:val="18"/>
              </w:rPr>
              <w:t>A</w:t>
            </w:r>
          </w:p>
          <w:p>
            <w:pPr>
              <w:pStyle w:val="TableParagraph"/>
              <w:spacing w:line="242" w:lineRule="auto" w:before="93"/>
              <w:ind w:left="79" w:right="55"/>
              <w:jc w:val="both"/>
              <w:rPr>
                <w:sz w:val="18"/>
              </w:rPr>
            </w:pPr>
            <w:r>
              <w:rPr>
                <w:sz w:val="18"/>
              </w:rPr>
              <w:t>Apoyos financieros para adecuar </w:t>
            </w:r>
            <w:r>
              <w:rPr>
                <w:sz w:val="18"/>
              </w:rPr>
              <w:t>y acondicionar la infraestructura educativa, Servicios generales y Mobiliario</w:t>
            </w:r>
            <w:r>
              <w:rPr>
                <w:spacing w:val="-4"/>
                <w:sz w:val="18"/>
              </w:rPr>
              <w:t> </w:t>
            </w:r>
            <w:r>
              <w:rPr>
                <w:sz w:val="18"/>
              </w:rPr>
              <w:t>ordinario</w:t>
            </w:r>
            <w:r>
              <w:rPr>
                <w:spacing w:val="-4"/>
                <w:sz w:val="18"/>
              </w:rPr>
              <w:t> </w:t>
            </w:r>
            <w:r>
              <w:rPr>
                <w:sz w:val="18"/>
              </w:rPr>
              <w:t>y</w:t>
            </w:r>
            <w:r>
              <w:rPr>
                <w:spacing w:val="-4"/>
                <w:sz w:val="18"/>
              </w:rPr>
              <w:t> </w:t>
            </w:r>
            <w:r>
              <w:rPr>
                <w:sz w:val="18"/>
              </w:rPr>
              <w:t>específico</w:t>
            </w:r>
            <w:r>
              <w:rPr>
                <w:spacing w:val="-4"/>
                <w:sz w:val="18"/>
              </w:rPr>
              <w:t> </w:t>
            </w:r>
            <w:r>
              <w:rPr>
                <w:sz w:val="18"/>
              </w:rPr>
              <w:t>para estudiantes con discapacidad.</w:t>
            </w:r>
          </w:p>
        </w:tc>
        <w:tc>
          <w:tcPr>
            <w:tcW w:w="2325" w:type="dxa"/>
          </w:tcPr>
          <w:p>
            <w:pPr>
              <w:pStyle w:val="TableParagraph"/>
              <w:spacing w:line="242" w:lineRule="auto" w:before="11"/>
              <w:ind w:left="86" w:right="61"/>
              <w:jc w:val="both"/>
              <w:rPr>
                <w:sz w:val="18"/>
              </w:rPr>
            </w:pPr>
            <w:r>
              <w:rPr>
                <w:sz w:val="18"/>
              </w:rPr>
              <w:t>Planteles públicos </w:t>
            </w:r>
            <w:r>
              <w:rPr>
                <w:sz w:val="18"/>
              </w:rPr>
              <w:t>de educación media superior que</w:t>
            </w:r>
            <w:r>
              <w:rPr>
                <w:spacing w:val="-15"/>
                <w:sz w:val="18"/>
              </w:rPr>
              <w:t> </w:t>
            </w:r>
            <w:r>
              <w:rPr>
                <w:sz w:val="18"/>
              </w:rPr>
              <w:t>proporcionan</w:t>
            </w:r>
            <w:r>
              <w:rPr>
                <w:spacing w:val="-12"/>
                <w:sz w:val="18"/>
              </w:rPr>
              <w:t> </w:t>
            </w:r>
            <w:r>
              <w:rPr>
                <w:sz w:val="18"/>
              </w:rPr>
              <w:t>servicios educativos a estudiantes con discapacidad, en las modalidades</w:t>
            </w:r>
            <w:r>
              <w:rPr>
                <w:spacing w:val="-9"/>
                <w:sz w:val="18"/>
              </w:rPr>
              <w:t> </w:t>
            </w:r>
            <w:r>
              <w:rPr>
                <w:sz w:val="18"/>
              </w:rPr>
              <w:t>escolarizada, no escolarizada y mixta.</w:t>
            </w:r>
          </w:p>
        </w:tc>
        <w:tc>
          <w:tcPr>
            <w:tcW w:w="1950" w:type="dxa"/>
          </w:tcPr>
          <w:p>
            <w:pPr>
              <w:pStyle w:val="TableParagraph"/>
              <w:tabs>
                <w:tab w:pos="442" w:val="left" w:leader="none"/>
                <w:tab w:pos="1014" w:val="left" w:leader="none"/>
                <w:tab w:pos="1686" w:val="left" w:leader="none"/>
              </w:tabs>
              <w:spacing w:line="242" w:lineRule="auto" w:before="11"/>
              <w:ind w:left="80" w:right="56"/>
              <w:rPr>
                <w:sz w:val="18"/>
              </w:rPr>
            </w:pPr>
            <w:r>
              <w:rPr>
                <w:sz w:val="18"/>
              </w:rPr>
              <w:t>El monto asignado </w:t>
            </w:r>
            <w:r>
              <w:rPr>
                <w:sz w:val="18"/>
              </w:rPr>
              <w:t>en </w:t>
            </w:r>
            <w:r>
              <w:rPr>
                <w:spacing w:val="-6"/>
                <w:sz w:val="18"/>
              </w:rPr>
              <w:t>el</w:t>
            </w:r>
            <w:r>
              <w:rPr>
                <w:sz w:val="18"/>
              </w:rPr>
              <w:tab/>
            </w:r>
            <w:r>
              <w:rPr>
                <w:spacing w:val="-4"/>
                <w:sz w:val="18"/>
              </w:rPr>
              <w:t>PEF</w:t>
            </w:r>
            <w:r>
              <w:rPr>
                <w:sz w:val="18"/>
              </w:rPr>
              <w:tab/>
            </w:r>
            <w:r>
              <w:rPr>
                <w:spacing w:val="-2"/>
                <w:sz w:val="18"/>
              </w:rPr>
              <w:t>2024,</w:t>
            </w:r>
            <w:r>
              <w:rPr>
                <w:sz w:val="18"/>
              </w:rPr>
              <w:tab/>
            </w:r>
            <w:r>
              <w:rPr>
                <w:spacing w:val="-6"/>
                <w:sz w:val="18"/>
              </w:rPr>
              <w:t>se </w:t>
            </w:r>
            <w:r>
              <w:rPr>
                <w:sz w:val="18"/>
              </w:rPr>
              <w:t>dividirá entre aquellos </w:t>
            </w:r>
            <w:r>
              <w:rPr>
                <w:spacing w:val="-2"/>
                <w:sz w:val="18"/>
              </w:rPr>
              <w:t>planteles</w:t>
            </w:r>
            <w:r>
              <w:rPr>
                <w:spacing w:val="80"/>
                <w:sz w:val="18"/>
              </w:rPr>
              <w:t> </w:t>
            </w:r>
            <w:r>
              <w:rPr>
                <w:spacing w:val="-2"/>
                <w:sz w:val="18"/>
              </w:rPr>
              <w:t>beneficiarios.</w:t>
            </w:r>
          </w:p>
        </w:tc>
        <w:tc>
          <w:tcPr>
            <w:tcW w:w="2235" w:type="dxa"/>
          </w:tcPr>
          <w:p>
            <w:pPr>
              <w:pStyle w:val="TableParagraph"/>
              <w:spacing w:before="11"/>
              <w:ind w:left="25"/>
              <w:jc w:val="center"/>
              <w:rPr>
                <w:sz w:val="18"/>
              </w:rPr>
            </w:pPr>
            <w:r>
              <w:rPr>
                <w:spacing w:val="-2"/>
                <w:sz w:val="18"/>
              </w:rPr>
              <w:t>Anual</w:t>
            </w:r>
          </w:p>
        </w:tc>
      </w:tr>
      <w:tr>
        <w:trPr>
          <w:trHeight w:val="299" w:hRule="atLeast"/>
        </w:trPr>
        <w:tc>
          <w:tcPr>
            <w:tcW w:w="3105" w:type="dxa"/>
          </w:tcPr>
          <w:p>
            <w:pPr>
              <w:pStyle w:val="TableParagraph"/>
              <w:spacing w:before="11"/>
              <w:ind w:left="79"/>
              <w:rPr>
                <w:sz w:val="18"/>
              </w:rPr>
            </w:pPr>
            <w:r>
              <w:rPr>
                <w:sz w:val="18"/>
              </w:rPr>
              <w:t>Tipo</w:t>
            </w:r>
            <w:r>
              <w:rPr>
                <w:spacing w:val="-3"/>
                <w:sz w:val="18"/>
              </w:rPr>
              <w:t> </w:t>
            </w:r>
            <w:r>
              <w:rPr>
                <w:sz w:val="18"/>
              </w:rPr>
              <w:t>de</w:t>
            </w:r>
            <w:r>
              <w:rPr>
                <w:spacing w:val="-12"/>
                <w:sz w:val="18"/>
              </w:rPr>
              <w:t> </w:t>
            </w:r>
            <w:r>
              <w:rPr>
                <w:sz w:val="18"/>
              </w:rPr>
              <w:t>Apoyo</w:t>
            </w:r>
            <w:r>
              <w:rPr>
                <w:spacing w:val="-2"/>
                <w:sz w:val="18"/>
              </w:rPr>
              <w:t> </w:t>
            </w:r>
            <w:r>
              <w:rPr>
                <w:spacing w:val="-10"/>
                <w:sz w:val="18"/>
              </w:rPr>
              <w:t>B</w:t>
            </w:r>
          </w:p>
        </w:tc>
        <w:tc>
          <w:tcPr>
            <w:tcW w:w="2325" w:type="dxa"/>
          </w:tcPr>
          <w:p>
            <w:pPr>
              <w:pStyle w:val="TableParagraph"/>
              <w:rPr>
                <w:rFonts w:ascii="Times New Roman"/>
                <w:sz w:val="16"/>
              </w:rPr>
            </w:pPr>
          </w:p>
        </w:tc>
        <w:tc>
          <w:tcPr>
            <w:tcW w:w="1950" w:type="dxa"/>
          </w:tcPr>
          <w:p>
            <w:pPr>
              <w:pStyle w:val="TableParagraph"/>
              <w:rPr>
                <w:rFonts w:ascii="Times New Roman"/>
                <w:sz w:val="16"/>
              </w:rPr>
            </w:pPr>
          </w:p>
        </w:tc>
        <w:tc>
          <w:tcPr>
            <w:tcW w:w="2235" w:type="dxa"/>
          </w:tcPr>
          <w:p>
            <w:pPr>
              <w:pStyle w:val="TableParagraph"/>
              <w:spacing w:before="11"/>
              <w:ind w:left="25"/>
              <w:jc w:val="center"/>
              <w:rPr>
                <w:sz w:val="18"/>
              </w:rPr>
            </w:pPr>
            <w:r>
              <w:rPr>
                <w:spacing w:val="-2"/>
                <w:sz w:val="18"/>
              </w:rPr>
              <w:t>Anual</w:t>
            </w:r>
          </w:p>
        </w:tc>
      </w:tr>
      <w:tr>
        <w:trPr>
          <w:trHeight w:val="1994" w:hRule="atLeast"/>
        </w:trPr>
        <w:tc>
          <w:tcPr>
            <w:tcW w:w="3105" w:type="dxa"/>
          </w:tcPr>
          <w:p>
            <w:pPr>
              <w:pStyle w:val="TableParagraph"/>
              <w:tabs>
                <w:tab w:pos="1445" w:val="left" w:leader="none"/>
                <w:tab w:pos="2071" w:val="left" w:leader="none"/>
              </w:tabs>
              <w:spacing w:line="242" w:lineRule="auto" w:before="11"/>
              <w:ind w:left="79" w:right="55"/>
              <w:jc w:val="both"/>
              <w:rPr>
                <w:sz w:val="18"/>
              </w:rPr>
            </w:pPr>
            <w:r>
              <w:rPr>
                <w:sz w:val="18"/>
              </w:rPr>
              <w:t>Apoyos financieros para </w:t>
            </w:r>
            <w:r>
              <w:rPr>
                <w:sz w:val="18"/>
              </w:rPr>
              <w:t>la adquisición de material didáctico, </w:t>
            </w:r>
            <w:r>
              <w:rPr>
                <w:spacing w:val="-2"/>
                <w:sz w:val="18"/>
              </w:rPr>
              <w:t>materiales</w:t>
            </w:r>
            <w:r>
              <w:rPr>
                <w:sz w:val="18"/>
              </w:rPr>
              <w:tab/>
            </w:r>
            <w:r>
              <w:rPr>
                <w:spacing w:val="-10"/>
                <w:sz w:val="18"/>
              </w:rPr>
              <w:t>y</w:t>
            </w:r>
            <w:r>
              <w:rPr>
                <w:sz w:val="18"/>
              </w:rPr>
              <w:tab/>
            </w:r>
            <w:r>
              <w:rPr>
                <w:spacing w:val="-2"/>
                <w:sz w:val="18"/>
              </w:rPr>
              <w:t>suministros, </w:t>
            </w:r>
            <w:r>
              <w:rPr>
                <w:sz w:val="18"/>
              </w:rPr>
              <w:t>equipamiento especializado y tecnologías de la información, para fomentar la comunicación, conocimiento y aprendizaje digitales diseñados para estudiantes con </w:t>
            </w:r>
            <w:r>
              <w:rPr>
                <w:spacing w:val="-2"/>
                <w:sz w:val="18"/>
              </w:rPr>
              <w:t>discapacidad.</w:t>
            </w:r>
          </w:p>
        </w:tc>
        <w:tc>
          <w:tcPr>
            <w:tcW w:w="2325" w:type="dxa"/>
          </w:tcPr>
          <w:p>
            <w:pPr>
              <w:pStyle w:val="TableParagraph"/>
              <w:rPr>
                <w:rFonts w:ascii="Times New Roman"/>
                <w:sz w:val="16"/>
              </w:rPr>
            </w:pPr>
          </w:p>
        </w:tc>
        <w:tc>
          <w:tcPr>
            <w:tcW w:w="1950" w:type="dxa"/>
          </w:tcPr>
          <w:p>
            <w:pPr>
              <w:pStyle w:val="TableParagraph"/>
              <w:rPr>
                <w:rFonts w:ascii="Times New Roman"/>
                <w:sz w:val="16"/>
              </w:rPr>
            </w:pPr>
          </w:p>
        </w:tc>
        <w:tc>
          <w:tcPr>
            <w:tcW w:w="2235" w:type="dxa"/>
          </w:tcPr>
          <w:p>
            <w:pPr>
              <w:pStyle w:val="TableParagraph"/>
              <w:rPr>
                <w:rFonts w:ascii="Times New Roman"/>
                <w:sz w:val="16"/>
              </w:rPr>
            </w:pPr>
          </w:p>
        </w:tc>
      </w:tr>
      <w:tr>
        <w:trPr>
          <w:trHeight w:val="1349" w:hRule="atLeast"/>
        </w:trPr>
        <w:tc>
          <w:tcPr>
            <w:tcW w:w="3105" w:type="dxa"/>
          </w:tcPr>
          <w:p>
            <w:pPr>
              <w:pStyle w:val="TableParagraph"/>
              <w:spacing w:line="242" w:lineRule="auto" w:before="11"/>
              <w:ind w:left="79"/>
              <w:rPr>
                <w:sz w:val="18"/>
              </w:rPr>
            </w:pPr>
            <w:r>
              <w:rPr>
                <w:sz w:val="18"/>
              </w:rPr>
              <w:t>Gastos de operación central para </w:t>
            </w:r>
            <w:r>
              <w:rPr>
                <w:sz w:val="18"/>
              </w:rPr>
              <w:t>el </w:t>
            </w:r>
            <w:r>
              <w:rPr>
                <w:spacing w:val="-2"/>
                <w:sz w:val="18"/>
              </w:rPr>
              <w:t>PAPPEMS</w:t>
            </w:r>
          </w:p>
        </w:tc>
        <w:tc>
          <w:tcPr>
            <w:tcW w:w="2325" w:type="dxa"/>
          </w:tcPr>
          <w:p>
            <w:pPr>
              <w:pStyle w:val="TableParagraph"/>
              <w:rPr>
                <w:rFonts w:ascii="Times New Roman"/>
                <w:sz w:val="16"/>
              </w:rPr>
            </w:pPr>
          </w:p>
        </w:tc>
        <w:tc>
          <w:tcPr>
            <w:tcW w:w="1950" w:type="dxa"/>
          </w:tcPr>
          <w:p>
            <w:pPr>
              <w:pStyle w:val="TableParagraph"/>
              <w:tabs>
                <w:tab w:pos="1676" w:val="left" w:leader="none"/>
              </w:tabs>
              <w:spacing w:line="242" w:lineRule="auto" w:before="11"/>
              <w:ind w:left="80" w:right="56"/>
              <w:jc w:val="both"/>
              <w:rPr>
                <w:sz w:val="18"/>
              </w:rPr>
            </w:pPr>
            <w:r>
              <w:rPr>
                <w:sz w:val="18"/>
              </w:rPr>
              <w:t>De acuerdo con </w:t>
            </w:r>
            <w:r>
              <w:rPr>
                <w:sz w:val="18"/>
              </w:rPr>
              <w:t>lo estipulado en el numeral 18 y 29 del </w:t>
            </w:r>
            <w:r>
              <w:rPr>
                <w:spacing w:val="-2"/>
                <w:sz w:val="18"/>
              </w:rPr>
              <w:t>Manual</w:t>
            </w:r>
            <w:r>
              <w:rPr>
                <w:sz w:val="18"/>
              </w:rPr>
              <w:tab/>
            </w:r>
            <w:r>
              <w:rPr>
                <w:spacing w:val="-5"/>
                <w:sz w:val="18"/>
              </w:rPr>
              <w:t>de</w:t>
            </w:r>
          </w:p>
          <w:p>
            <w:pPr>
              <w:pStyle w:val="TableParagraph"/>
              <w:tabs>
                <w:tab w:pos="1786" w:val="left" w:leader="none"/>
              </w:tabs>
              <w:spacing w:line="242" w:lineRule="auto" w:before="4"/>
              <w:ind w:left="80" w:right="56"/>
              <w:jc w:val="both"/>
              <w:rPr>
                <w:sz w:val="18"/>
              </w:rPr>
            </w:pPr>
            <w:r>
              <w:rPr>
                <w:spacing w:val="-2"/>
                <w:sz w:val="18"/>
              </w:rPr>
              <w:t>Programación</w:t>
            </w:r>
            <w:r>
              <w:rPr>
                <w:sz w:val="18"/>
              </w:rPr>
              <w:tab/>
            </w:r>
            <w:r>
              <w:rPr>
                <w:spacing w:val="-10"/>
                <w:sz w:val="18"/>
              </w:rPr>
              <w:t>y</w:t>
            </w:r>
            <w:r>
              <w:rPr>
                <w:sz w:val="18"/>
              </w:rPr>
              <w:t> Presupuesto 2024.</w:t>
            </w:r>
          </w:p>
        </w:tc>
        <w:tc>
          <w:tcPr>
            <w:tcW w:w="2235" w:type="dxa"/>
          </w:tcPr>
          <w:p>
            <w:pPr>
              <w:pStyle w:val="TableParagraph"/>
              <w:spacing w:before="11"/>
              <w:ind w:left="25"/>
              <w:jc w:val="center"/>
              <w:rPr>
                <w:sz w:val="18"/>
              </w:rPr>
            </w:pPr>
            <w:r>
              <w:rPr>
                <w:spacing w:val="-2"/>
                <w:sz w:val="18"/>
              </w:rPr>
              <w:t>Anual</w:t>
            </w:r>
          </w:p>
        </w:tc>
      </w:tr>
    </w:tbl>
    <w:p>
      <w:pPr>
        <w:pStyle w:val="BodyText"/>
        <w:spacing w:before="64"/>
        <w:ind w:left="0" w:right="0" w:firstLine="0"/>
        <w:jc w:val="left"/>
      </w:pPr>
    </w:p>
    <w:p>
      <w:pPr>
        <w:pStyle w:val="BodyText"/>
        <w:spacing w:line="242" w:lineRule="auto" w:before="0"/>
        <w:ind w:right="117"/>
      </w:pPr>
      <w:r>
        <w:rPr/>
        <w:t>Respecto al subsidio directo</w:t>
      </w:r>
      <w:r>
        <w:rPr>
          <w:spacing w:val="-1"/>
        </w:rPr>
        <w:t> </w:t>
      </w:r>
      <w:r>
        <w:rPr/>
        <w:t>TG 1, en ningún caso, estos recursos se podrán utilizar para el pago de prestaciones de carácter económico, compensaciones, sueldos o sobresueldos a personal directivo, docente o empleadas/os, que laboren en la SEP, en</w:t>
      </w:r>
      <w:r>
        <w:rPr>
          <w:spacing w:val="40"/>
        </w:rPr>
        <w:t> </w:t>
      </w:r>
      <w:r>
        <w:rPr/>
        <w:t>las Secretarías de Educación Estatales o en la</w:t>
      </w:r>
      <w:r>
        <w:rPr>
          <w:spacing w:val="-8"/>
        </w:rPr>
        <w:t> </w:t>
      </w:r>
      <w:r>
        <w:rPr/>
        <w:t>AEFCM; así como tampoco para pasajes y viáticos internacionales, </w:t>
      </w:r>
      <w:r>
        <w:rPr/>
        <w:t>arrendamiento para oficinas y equipo, becas, tratamientos médicos o apoyos económicos directos a los educandos.</w:t>
      </w:r>
    </w:p>
    <w:p>
      <w:pPr>
        <w:pStyle w:val="BodyText"/>
        <w:spacing w:line="242" w:lineRule="auto" w:before="64"/>
      </w:pPr>
      <w:r>
        <w:rPr/>
        <w:t>Del mismo modo, las AEL o la AEFCM, en ningún caso podrán utilizar los apoyos para gastos de operación local para la adquisición de equipo de cómputo, celulares, equipo administrativo, línea blanca, material de oficina, papelería (excepto </w:t>
      </w:r>
      <w:r>
        <w:rPr/>
        <w:t>para evaluaciones) o vehículos.</w:t>
      </w:r>
    </w:p>
    <w:p>
      <w:pPr>
        <w:pStyle w:val="BodyText"/>
        <w:spacing w:line="242" w:lineRule="auto" w:before="78"/>
      </w:pPr>
      <w:r>
        <w:rPr/>
        <w:t>Para el</w:t>
      </w:r>
      <w:r>
        <w:rPr>
          <w:spacing w:val="-1"/>
        </w:rPr>
        <w:t> </w:t>
      </w:r>
      <w:r>
        <w:rPr/>
        <w:t>TG 7, los recursos asignados se podrán utilizar en cualquier partida de gasto específica prevista en el Clasificador </w:t>
      </w:r>
      <w:r>
        <w:rPr/>
        <w:t>por Objeto del Gasto Corriente, de conformidad con el numeral 18 del Manual de Programación y Presupuesto 2024, para dar</w:t>
      </w:r>
      <w:r>
        <w:rPr>
          <w:spacing w:val="40"/>
        </w:rPr>
        <w:t> </w:t>
      </w:r>
      <w:r>
        <w:rPr/>
        <w:t>atención a los gastos indirectos de operación de las RO deberán ser asignados bajo criterios de austeridad presupuestaria, y con sujeción al PEF.</w:t>
      </w:r>
    </w:p>
    <w:p>
      <w:pPr>
        <w:pStyle w:val="BodyText"/>
        <w:spacing w:line="242" w:lineRule="auto" w:before="63"/>
        <w:ind w:right="117"/>
      </w:pPr>
      <w:r>
        <w:rPr/>
        <w:t>Los apoyos antes referidos corresponden a los siguientes conceptos específicos, que deberán incluirse en el Proyecto para el Avance en la Atención de la Educación Media Superior para Estudiantes con Discapacidad que presente el plantel público de educación media superior:</w:t>
      </w:r>
    </w:p>
    <w:p>
      <w:pPr>
        <w:pStyle w:val="Heading2"/>
        <w:spacing w:before="63"/>
      </w:pPr>
      <w:r>
        <w:rPr/>
        <w:t>Tipo</w:t>
      </w:r>
      <w:r>
        <w:rPr>
          <w:spacing w:val="-2"/>
        </w:rPr>
        <w:t> </w:t>
      </w:r>
      <w:r>
        <w:rPr/>
        <w:t>de</w:t>
      </w:r>
      <w:r>
        <w:rPr>
          <w:spacing w:val="-8"/>
        </w:rPr>
        <w:t> </w:t>
      </w:r>
      <w:r>
        <w:rPr/>
        <w:t>Apoyo</w:t>
      </w:r>
      <w:r>
        <w:rPr>
          <w:spacing w:val="-8"/>
        </w:rPr>
        <w:t> </w:t>
      </w:r>
      <w:r>
        <w:rPr>
          <w:spacing w:val="-10"/>
        </w:rPr>
        <w:t>A</w:t>
      </w:r>
    </w:p>
    <w:p>
      <w:pPr>
        <w:pStyle w:val="BodyText"/>
        <w:spacing w:before="9"/>
        <w:ind w:left="0" w:right="0" w:firstLine="0"/>
        <w:jc w:val="left"/>
        <w:rPr>
          <w:rFonts w:ascii="Arial"/>
          <w:b/>
          <w:sz w:val="5"/>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50"/>
      </w:tblGrid>
      <w:tr>
        <w:trPr>
          <w:trHeight w:val="959" w:hRule="atLeast"/>
        </w:trPr>
        <w:tc>
          <w:tcPr>
            <w:tcW w:w="9150" w:type="dxa"/>
          </w:tcPr>
          <w:p>
            <w:pPr>
              <w:pStyle w:val="TableParagraph"/>
              <w:numPr>
                <w:ilvl w:val="0"/>
                <w:numId w:val="6"/>
              </w:numPr>
              <w:tabs>
                <w:tab w:pos="361" w:val="left" w:leader="none"/>
                <w:tab w:pos="439" w:val="left" w:leader="none"/>
              </w:tabs>
              <w:spacing w:line="242" w:lineRule="auto" w:before="9" w:after="0"/>
              <w:ind w:left="439" w:right="69" w:hanging="360"/>
              <w:jc w:val="both"/>
              <w:rPr>
                <w:sz w:val="18"/>
              </w:rPr>
            </w:pPr>
            <w:r>
              <w:rPr>
                <w:sz w:val="18"/>
              </w:rPr>
              <w:t>Las adecuaciones necesarias que permitan a las personas con alguna discapacidad la accesibilidad al plantel, como pueden ser: rampas de acceso, pasamanos, accesos amplios o adecuados, guías </w:t>
            </w:r>
            <w:r>
              <w:rPr>
                <w:sz w:val="18"/>
              </w:rPr>
              <w:t>táctiles, señales para todo tipo de discapacidad (braille, auditivas, táctiles, visuales), sanitarios acondicionados para personas con discapacidad, entre otros.</w:t>
            </w:r>
          </w:p>
        </w:tc>
      </w:tr>
      <w:tr>
        <w:trPr>
          <w:trHeight w:val="539" w:hRule="atLeast"/>
        </w:trPr>
        <w:tc>
          <w:tcPr>
            <w:tcW w:w="9150" w:type="dxa"/>
          </w:tcPr>
          <w:p>
            <w:pPr>
              <w:pStyle w:val="TableParagraph"/>
              <w:numPr>
                <w:ilvl w:val="0"/>
                <w:numId w:val="7"/>
              </w:numPr>
              <w:tabs>
                <w:tab w:pos="313" w:val="left" w:leader="none"/>
                <w:tab w:pos="439" w:val="left" w:leader="none"/>
              </w:tabs>
              <w:spacing w:line="237" w:lineRule="auto" w:before="11" w:after="0"/>
              <w:ind w:left="439" w:right="70" w:hanging="360"/>
              <w:jc w:val="left"/>
              <w:rPr>
                <w:sz w:val="18"/>
              </w:rPr>
            </w:pPr>
            <w:r>
              <w:rPr>
                <w:sz w:val="18"/>
              </w:rPr>
              <w:t>Servicios generales necesarios que apoyan la operación del plantel público, y que permitan a las personas</w:t>
            </w:r>
            <w:r>
              <w:rPr>
                <w:spacing w:val="40"/>
                <w:sz w:val="18"/>
              </w:rPr>
              <w:t> </w:t>
            </w:r>
            <w:r>
              <w:rPr>
                <w:sz w:val="18"/>
              </w:rPr>
              <w:t>con alguna discapacidad acceder al plantel. Por ejemplo, los servicios de mantenimiento.</w:t>
            </w:r>
          </w:p>
        </w:tc>
      </w:tr>
      <w:tr>
        <w:trPr>
          <w:trHeight w:val="539" w:hRule="atLeast"/>
        </w:trPr>
        <w:tc>
          <w:tcPr>
            <w:tcW w:w="9150" w:type="dxa"/>
          </w:tcPr>
          <w:p>
            <w:pPr>
              <w:pStyle w:val="TableParagraph"/>
              <w:numPr>
                <w:ilvl w:val="0"/>
                <w:numId w:val="8"/>
              </w:numPr>
              <w:tabs>
                <w:tab w:pos="289" w:val="left" w:leader="none"/>
                <w:tab w:pos="439" w:val="left" w:leader="none"/>
              </w:tabs>
              <w:spacing w:line="237" w:lineRule="auto" w:before="11" w:after="0"/>
              <w:ind w:left="439" w:right="69" w:hanging="360"/>
              <w:jc w:val="left"/>
              <w:rPr>
                <w:sz w:val="18"/>
              </w:rPr>
            </w:pPr>
            <w:r>
              <w:rPr>
                <w:sz w:val="18"/>
              </w:rPr>
              <w:t>Mobiliario ordinario, específico y/o adaptado para las alumnas y los alumnos con discapacidad (sillas, mesas, atriles, entre otros), o compra de material para elaborar mobiliario específico.</w:t>
            </w:r>
          </w:p>
        </w:tc>
      </w:tr>
    </w:tbl>
    <w:p>
      <w:pPr>
        <w:pStyle w:val="BodyText"/>
        <w:spacing w:before="63"/>
        <w:ind w:left="0" w:right="0" w:firstLine="0"/>
        <w:jc w:val="left"/>
        <w:rPr>
          <w:rFonts w:ascii="Arial"/>
          <w:b/>
        </w:rPr>
      </w:pPr>
    </w:p>
    <w:p>
      <w:pPr>
        <w:spacing w:before="0"/>
        <w:ind w:left="402" w:right="0" w:firstLine="0"/>
        <w:jc w:val="left"/>
        <w:rPr>
          <w:rFonts w:ascii="Arial"/>
          <w:b/>
          <w:sz w:val="18"/>
        </w:rPr>
      </w:pPr>
      <w:r>
        <w:rPr>
          <w:rFonts w:ascii="Arial"/>
          <w:b/>
          <w:sz w:val="18"/>
        </w:rPr>
        <w:t>Tipo</w:t>
      </w:r>
      <w:r>
        <w:rPr>
          <w:rFonts w:ascii="Arial"/>
          <w:b/>
          <w:spacing w:val="-2"/>
          <w:sz w:val="18"/>
        </w:rPr>
        <w:t> </w:t>
      </w:r>
      <w:r>
        <w:rPr>
          <w:rFonts w:ascii="Arial"/>
          <w:b/>
          <w:sz w:val="18"/>
        </w:rPr>
        <w:t>de</w:t>
      </w:r>
      <w:r>
        <w:rPr>
          <w:rFonts w:ascii="Arial"/>
          <w:b/>
          <w:spacing w:val="-8"/>
          <w:sz w:val="18"/>
        </w:rPr>
        <w:t> </w:t>
      </w:r>
      <w:r>
        <w:rPr>
          <w:rFonts w:ascii="Arial"/>
          <w:b/>
          <w:sz w:val="18"/>
        </w:rPr>
        <w:t>Apoyo</w:t>
      </w:r>
      <w:r>
        <w:rPr>
          <w:rFonts w:ascii="Arial"/>
          <w:b/>
          <w:spacing w:val="-1"/>
          <w:sz w:val="18"/>
        </w:rPr>
        <w:t> </w:t>
      </w:r>
      <w:r>
        <w:rPr>
          <w:rFonts w:ascii="Arial"/>
          <w:b/>
          <w:spacing w:val="-10"/>
          <w:sz w:val="18"/>
        </w:rPr>
        <w:t>B</w:t>
      </w:r>
    </w:p>
    <w:p>
      <w:pPr>
        <w:pStyle w:val="BodyText"/>
        <w:spacing w:before="1"/>
        <w:ind w:left="0" w:right="0" w:firstLine="0"/>
        <w:jc w:val="left"/>
        <w:rPr>
          <w:rFonts w:ascii="Arial"/>
          <w:b/>
          <w:sz w:val="7"/>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50"/>
      </w:tblGrid>
      <w:tr>
        <w:trPr>
          <w:trHeight w:val="539" w:hRule="atLeast"/>
        </w:trPr>
        <w:tc>
          <w:tcPr>
            <w:tcW w:w="9150" w:type="dxa"/>
          </w:tcPr>
          <w:p>
            <w:pPr>
              <w:pStyle w:val="TableParagraph"/>
              <w:numPr>
                <w:ilvl w:val="0"/>
                <w:numId w:val="9"/>
              </w:numPr>
              <w:tabs>
                <w:tab w:pos="296" w:val="left" w:leader="none"/>
                <w:tab w:pos="439" w:val="left" w:leader="none"/>
              </w:tabs>
              <w:spacing w:line="237" w:lineRule="auto" w:before="11" w:after="0"/>
              <w:ind w:left="439" w:right="70" w:hanging="360"/>
              <w:jc w:val="left"/>
              <w:rPr>
                <w:sz w:val="18"/>
              </w:rPr>
            </w:pPr>
            <w:r>
              <w:rPr>
                <w:sz w:val="18"/>
              </w:rPr>
              <w:t>Programas de cómputo especializados para apoyar las actividades de aprendizaje que realicen las personas usuarias por tipo de discapacidad, como visual, auditiva o motriz.</w:t>
            </w:r>
          </w:p>
        </w:tc>
      </w:tr>
    </w:tbl>
    <w:p>
      <w:pPr>
        <w:spacing w:after="0" w:line="237" w:lineRule="auto"/>
        <w:jc w:val="left"/>
        <w:rPr>
          <w:sz w:val="18"/>
        </w:rPr>
        <w:sectPr>
          <w:pgSz w:w="12240" w:h="15840"/>
          <w:pgMar w:header="269" w:footer="260" w:top="460" w:bottom="440" w:left="860" w:right="720"/>
        </w:sectPr>
      </w:pPr>
    </w:p>
    <w:p>
      <w:pPr>
        <w:pStyle w:val="BodyText"/>
        <w:spacing w:before="5"/>
        <w:ind w:left="0" w:right="0" w:firstLine="0"/>
        <w:jc w:val="left"/>
        <w:rPr>
          <w:rFonts w:ascii="Arial"/>
          <w:b/>
          <w:sz w:val="7"/>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50"/>
      </w:tblGrid>
      <w:tr>
        <w:trPr>
          <w:trHeight w:val="539" w:hRule="atLeast"/>
        </w:trPr>
        <w:tc>
          <w:tcPr>
            <w:tcW w:w="9150" w:type="dxa"/>
          </w:tcPr>
          <w:p>
            <w:pPr>
              <w:pStyle w:val="TableParagraph"/>
              <w:numPr>
                <w:ilvl w:val="0"/>
                <w:numId w:val="10"/>
              </w:numPr>
              <w:tabs>
                <w:tab w:pos="321" w:val="left" w:leader="none"/>
                <w:tab w:pos="439" w:val="left" w:leader="none"/>
              </w:tabs>
              <w:spacing w:line="237" w:lineRule="auto" w:before="11" w:after="0"/>
              <w:ind w:left="439" w:right="70" w:hanging="360"/>
              <w:jc w:val="left"/>
              <w:rPr>
                <w:sz w:val="18"/>
              </w:rPr>
            </w:pPr>
            <w:r>
              <w:rPr>
                <w:sz w:val="18"/>
              </w:rPr>
              <w:t>Impresoras braille, sistemas de audio y de proyección, así como cualquier otro dispositivo para apoyar las</w:t>
            </w:r>
            <w:r>
              <w:rPr>
                <w:spacing w:val="80"/>
                <w:sz w:val="18"/>
              </w:rPr>
              <w:t> </w:t>
            </w:r>
            <w:r>
              <w:rPr>
                <w:sz w:val="18"/>
              </w:rPr>
              <w:t>actividades de aprendizaje de las y los estudiantes con discapacidad.</w:t>
            </w:r>
          </w:p>
        </w:tc>
      </w:tr>
      <w:tr>
        <w:trPr>
          <w:trHeight w:val="539" w:hRule="atLeast"/>
        </w:trPr>
        <w:tc>
          <w:tcPr>
            <w:tcW w:w="9150" w:type="dxa"/>
          </w:tcPr>
          <w:p>
            <w:pPr>
              <w:pStyle w:val="TableParagraph"/>
              <w:numPr>
                <w:ilvl w:val="0"/>
                <w:numId w:val="11"/>
              </w:numPr>
              <w:tabs>
                <w:tab w:pos="319" w:val="left" w:leader="none"/>
                <w:tab w:pos="439" w:val="left" w:leader="none"/>
              </w:tabs>
              <w:spacing w:line="237" w:lineRule="auto" w:before="11" w:after="0"/>
              <w:ind w:left="439" w:right="69" w:hanging="360"/>
              <w:jc w:val="left"/>
              <w:rPr>
                <w:sz w:val="18"/>
              </w:rPr>
            </w:pPr>
            <w:r>
              <w:rPr>
                <w:sz w:val="18"/>
              </w:rPr>
              <w:t>Adquisición de material didáctico y/o especializado para la atención educativa de las y los estudiantes con</w:t>
            </w:r>
            <w:r>
              <w:rPr>
                <w:spacing w:val="80"/>
                <w:sz w:val="18"/>
              </w:rPr>
              <w:t> </w:t>
            </w:r>
            <w:r>
              <w:rPr>
                <w:spacing w:val="-2"/>
                <w:sz w:val="18"/>
              </w:rPr>
              <w:t>discapacidad.</w:t>
            </w:r>
          </w:p>
        </w:tc>
      </w:tr>
      <w:tr>
        <w:trPr>
          <w:trHeight w:val="539" w:hRule="atLeast"/>
        </w:trPr>
        <w:tc>
          <w:tcPr>
            <w:tcW w:w="9150" w:type="dxa"/>
          </w:tcPr>
          <w:p>
            <w:pPr>
              <w:pStyle w:val="TableParagraph"/>
              <w:numPr>
                <w:ilvl w:val="0"/>
                <w:numId w:val="12"/>
              </w:numPr>
              <w:tabs>
                <w:tab w:pos="319" w:val="left" w:leader="none"/>
                <w:tab w:pos="439" w:val="left" w:leader="none"/>
              </w:tabs>
              <w:spacing w:line="237" w:lineRule="auto" w:before="11" w:after="0"/>
              <w:ind w:left="439" w:right="70" w:hanging="360"/>
              <w:jc w:val="left"/>
              <w:rPr>
                <w:sz w:val="18"/>
              </w:rPr>
            </w:pPr>
            <w:r>
              <w:rPr>
                <w:sz w:val="18"/>
              </w:rPr>
              <w:t>Adquisición de materiales y suministros requeridos para la atención educativa de las y los estudiantes con</w:t>
            </w:r>
            <w:r>
              <w:rPr>
                <w:spacing w:val="80"/>
                <w:sz w:val="18"/>
              </w:rPr>
              <w:t> </w:t>
            </w:r>
            <w:r>
              <w:rPr>
                <w:spacing w:val="-2"/>
                <w:sz w:val="18"/>
              </w:rPr>
              <w:t>discapacidad.</w:t>
            </w:r>
          </w:p>
        </w:tc>
      </w:tr>
      <w:tr>
        <w:trPr>
          <w:trHeight w:val="539" w:hRule="atLeast"/>
        </w:trPr>
        <w:tc>
          <w:tcPr>
            <w:tcW w:w="9150" w:type="dxa"/>
          </w:tcPr>
          <w:p>
            <w:pPr>
              <w:pStyle w:val="TableParagraph"/>
              <w:numPr>
                <w:ilvl w:val="0"/>
                <w:numId w:val="13"/>
              </w:numPr>
              <w:tabs>
                <w:tab w:pos="317" w:val="left" w:leader="none"/>
                <w:tab w:pos="439" w:val="left" w:leader="none"/>
              </w:tabs>
              <w:spacing w:line="237" w:lineRule="auto" w:before="11" w:after="0"/>
              <w:ind w:left="439" w:right="69" w:hanging="360"/>
              <w:jc w:val="left"/>
              <w:rPr>
                <w:sz w:val="18"/>
              </w:rPr>
            </w:pPr>
            <w:r>
              <w:rPr>
                <w:sz w:val="18"/>
              </w:rPr>
              <w:t>Computadoras y su equipo periférico, como impresoras, lectores ópticos, escáner, reguladores de voltaje y</w:t>
            </w:r>
            <w:r>
              <w:rPr>
                <w:spacing w:val="40"/>
                <w:sz w:val="18"/>
              </w:rPr>
              <w:t> </w:t>
            </w:r>
            <w:r>
              <w:rPr>
                <w:sz w:val="18"/>
              </w:rPr>
              <w:t>multicontactos, alertas especiales visuales y auditivas, entre otros.</w:t>
            </w:r>
          </w:p>
        </w:tc>
      </w:tr>
    </w:tbl>
    <w:p>
      <w:pPr>
        <w:pStyle w:val="BodyText"/>
        <w:spacing w:before="93"/>
        <w:ind w:left="0" w:right="0" w:firstLine="0"/>
        <w:jc w:val="left"/>
        <w:rPr>
          <w:rFonts w:ascii="Arial"/>
          <w:b/>
        </w:rPr>
      </w:pPr>
    </w:p>
    <w:p>
      <w:pPr>
        <w:pStyle w:val="BodyText"/>
        <w:spacing w:line="242" w:lineRule="auto" w:before="0"/>
      </w:pPr>
      <w:r>
        <w:rPr/>
        <w:t>Estos bienes y servicios destinados a la operación de los planteles públicos se mencionan con fines enunciativos, más no limitativos. Sin embargo, no podrán rebasar el monto autorizado del Proyecto para el Avance en la Atención de la Educación Media Superior para Estudiantes con Discapacidad presentado.</w:t>
      </w:r>
    </w:p>
    <w:p>
      <w:pPr>
        <w:pStyle w:val="BodyText"/>
        <w:spacing w:line="242" w:lineRule="auto"/>
      </w:pPr>
      <w:r>
        <w:rPr/>
        <w:t>Los recursos serán asignados conforme a la disponibilidad presupuestaria en la SEMS y sólo podrán ser utilizados en </w:t>
      </w:r>
      <w:r>
        <w:rPr/>
        <w:t>los rubros del Proyecto para el</w:t>
      </w:r>
      <w:r>
        <w:rPr>
          <w:spacing w:val="-7"/>
        </w:rPr>
        <w:t> </w:t>
      </w:r>
      <w:r>
        <w:rPr/>
        <w:t>Avance en la</w:t>
      </w:r>
      <w:r>
        <w:rPr>
          <w:spacing w:val="-7"/>
        </w:rPr>
        <w:t> </w:t>
      </w:r>
      <w:r>
        <w:rPr/>
        <w:t>Atención de la Educación Media Superior para Estudiantes con Discapacidad aprobado.</w:t>
      </w:r>
    </w:p>
    <w:p>
      <w:pPr>
        <w:pStyle w:val="BodyText"/>
        <w:spacing w:line="242" w:lineRule="auto" w:before="107"/>
      </w:pPr>
      <w:r>
        <w:rPr/>
        <w:t>Durante la operación del Programa, la UR 600 Subsecretaría de Educación Media Superior como responsable del ejercicio de su presupuesto autorizado, la instancia ejecutora del apoyo otorgado, las</w:t>
      </w:r>
      <w:r>
        <w:rPr>
          <w:spacing w:val="-10"/>
        </w:rPr>
        <w:t> </w:t>
      </w:r>
      <w:r>
        <w:rPr/>
        <w:t>AEL</w:t>
      </w:r>
      <w:r>
        <w:rPr>
          <w:spacing w:val="-7"/>
        </w:rPr>
        <w:t> </w:t>
      </w:r>
      <w:r>
        <w:rPr/>
        <w:t>y la población beneficiaria, deberán observar que la administración de los recursos públicos se realice bajo los criterios de legalidad, honestidad, eficiencia, eficacia, economía, racionalidad, austeridad, transparencia, control de rendición de cuentas y equidad de género, establecidos en los artículos 1, 75 </w:t>
      </w:r>
      <w:r>
        <w:rPr/>
        <w:t>y 77 de la LFPRH, en el Título Cuarto, Capítulo XII, sección IV del RLFPRH, así como en las demás disposiciones que para tal efecto emita la SHCP, y disponga el PEF para el ejercicio fiscal 2024.</w:t>
      </w:r>
    </w:p>
    <w:p>
      <w:pPr>
        <w:pStyle w:val="BodyText"/>
        <w:spacing w:line="242" w:lineRule="auto" w:before="110"/>
        <w:ind w:right="117"/>
      </w:pPr>
      <w:r>
        <w:rPr/>
        <w:t>Los Gobiernos de las Entidades Federativas deberán promover ante los beneficiarios de los subsidios que se otorgan en el marco del presente Programa, en los casos que aplique, el reintegro a la TESOFE de los recursos que no se destinen a los fines autorizados y aquéllos que al cierre del ejercicio fiscal 2024, no se hayan devengado, o que no se encuentren vinculados formalmente a compromisos y obligaciones de pago, en términos de lo dispuesto en los artículos 54 de la LFPRH; 176, primer párrafo del RLFPRH, y en caso de que aplique, el artículo 17 de la LDFEFM.</w:t>
      </w:r>
    </w:p>
    <w:p>
      <w:pPr>
        <w:pStyle w:val="BodyText"/>
        <w:spacing w:line="242" w:lineRule="auto" w:before="95"/>
      </w:pPr>
      <w:r>
        <w:rPr/>
        <w:t>Las erogaciones previstas en el PEF del presente ejercicio fiscal que no se encuentren devengadas al 31 de diciembre </w:t>
      </w:r>
      <w:r>
        <w:rPr/>
        <w:t>de 2024, no podrán ejercerse.</w:t>
      </w:r>
    </w:p>
    <w:p>
      <w:pPr>
        <w:pStyle w:val="Heading2"/>
        <w:numPr>
          <w:ilvl w:val="2"/>
          <w:numId w:val="2"/>
        </w:numPr>
        <w:tabs>
          <w:tab w:pos="902" w:val="left" w:leader="none"/>
        </w:tabs>
        <w:spacing w:line="240" w:lineRule="auto" w:before="107" w:after="0"/>
        <w:ind w:left="902" w:right="0" w:hanging="500"/>
        <w:jc w:val="left"/>
      </w:pPr>
      <w:r>
        <w:rPr/>
        <w:t>Devengos, aplicación y reintegro de los </w:t>
      </w:r>
      <w:r>
        <w:rPr>
          <w:spacing w:val="-2"/>
        </w:rPr>
        <w:t>recursos</w:t>
      </w:r>
    </w:p>
    <w:p>
      <w:pPr>
        <w:pStyle w:val="ListParagraph"/>
        <w:numPr>
          <w:ilvl w:val="3"/>
          <w:numId w:val="2"/>
        </w:numPr>
        <w:tabs>
          <w:tab w:pos="1002" w:val="left" w:leader="none"/>
        </w:tabs>
        <w:spacing w:line="240" w:lineRule="auto" w:before="108" w:after="0"/>
        <w:ind w:left="1002" w:right="0" w:hanging="600"/>
        <w:jc w:val="left"/>
        <w:rPr>
          <w:rFonts w:ascii="Arial"/>
          <w:b/>
          <w:sz w:val="18"/>
        </w:rPr>
      </w:pPr>
      <w:r>
        <w:rPr>
          <w:rFonts w:ascii="Arial"/>
          <w:b/>
          <w:spacing w:val="-2"/>
          <w:sz w:val="18"/>
        </w:rPr>
        <w:t>Devengos</w:t>
      </w:r>
    </w:p>
    <w:p>
      <w:pPr>
        <w:pStyle w:val="BodyText"/>
        <w:spacing w:line="242" w:lineRule="auto" w:before="93"/>
        <w:ind w:right="117"/>
      </w:pPr>
      <w:r>
        <w:rPr/>
        <w:t>Cuando el/la beneficiario/a del presente Programa sea una persona física o, en su caso, personas morales distintas a </w:t>
      </w:r>
      <w:r>
        <w:rPr/>
        <w:t>los gobiernos de las Entidades Federativas; o, en su caso, Municipios, los recursos se considerarán devengados una vez que se</w:t>
      </w:r>
      <w:r>
        <w:rPr>
          <w:spacing w:val="80"/>
        </w:rPr>
        <w:t> </w:t>
      </w:r>
      <w:r>
        <w:rPr/>
        <w:t>haya constituido la obligación de entregar el recurso al/la beneficiario/a por haberse acreditado su elegibilidad antes del 31 de diciembre</w:t>
      </w:r>
      <w:r>
        <w:rPr>
          <w:spacing w:val="-2"/>
        </w:rPr>
        <w:t> </w:t>
      </w:r>
      <w:r>
        <w:rPr/>
        <w:t>del</w:t>
      </w:r>
      <w:r>
        <w:rPr>
          <w:spacing w:val="-2"/>
        </w:rPr>
        <w:t> </w:t>
      </w:r>
      <w:r>
        <w:rPr/>
        <w:t>ejercicio</w:t>
      </w:r>
      <w:r>
        <w:rPr>
          <w:spacing w:val="-2"/>
        </w:rPr>
        <w:t> </w:t>
      </w:r>
      <w:r>
        <w:rPr/>
        <w:t>fiscal</w:t>
      </w:r>
      <w:r>
        <w:rPr>
          <w:spacing w:val="-2"/>
        </w:rPr>
        <w:t> </w:t>
      </w:r>
      <w:r>
        <w:rPr/>
        <w:t>2024,</w:t>
      </w:r>
      <w:r>
        <w:rPr>
          <w:spacing w:val="-2"/>
        </w:rPr>
        <w:t> </w:t>
      </w:r>
      <w:r>
        <w:rPr/>
        <w:t>con</w:t>
      </w:r>
      <w:r>
        <w:rPr>
          <w:spacing w:val="-2"/>
        </w:rPr>
        <w:t> </w:t>
      </w:r>
      <w:r>
        <w:rPr/>
        <w:t>independencia</w:t>
      </w:r>
      <w:r>
        <w:rPr>
          <w:spacing w:val="-2"/>
        </w:rPr>
        <w:t> </w:t>
      </w:r>
      <w:r>
        <w:rPr/>
        <w:t>de</w:t>
      </w:r>
      <w:r>
        <w:rPr>
          <w:spacing w:val="-2"/>
        </w:rPr>
        <w:t> </w:t>
      </w:r>
      <w:r>
        <w:rPr/>
        <w:t>la</w:t>
      </w:r>
      <w:r>
        <w:rPr>
          <w:spacing w:val="-2"/>
        </w:rPr>
        <w:t> </w:t>
      </w:r>
      <w:r>
        <w:rPr/>
        <w:t>fecha</w:t>
      </w:r>
      <w:r>
        <w:rPr>
          <w:spacing w:val="-2"/>
        </w:rPr>
        <w:t> </w:t>
      </w:r>
      <w:r>
        <w:rPr/>
        <w:t>en</w:t>
      </w:r>
      <w:r>
        <w:rPr>
          <w:spacing w:val="-2"/>
        </w:rPr>
        <w:t> </w:t>
      </w:r>
      <w:r>
        <w:rPr/>
        <w:t>la</w:t>
      </w:r>
      <w:r>
        <w:rPr>
          <w:spacing w:val="-2"/>
        </w:rPr>
        <w:t> </w:t>
      </w:r>
      <w:r>
        <w:rPr/>
        <w:t>que</w:t>
      </w:r>
      <w:r>
        <w:rPr>
          <w:spacing w:val="-2"/>
        </w:rPr>
        <w:t> </w:t>
      </w:r>
      <w:r>
        <w:rPr/>
        <w:t>dichos</w:t>
      </w:r>
      <w:r>
        <w:rPr>
          <w:spacing w:val="-2"/>
        </w:rPr>
        <w:t> </w:t>
      </w:r>
      <w:r>
        <w:rPr/>
        <w:t>recursos</w:t>
      </w:r>
      <w:r>
        <w:rPr>
          <w:spacing w:val="-2"/>
        </w:rPr>
        <w:t> </w:t>
      </w:r>
      <w:r>
        <w:rPr/>
        <w:t>se</w:t>
      </w:r>
      <w:r>
        <w:rPr>
          <w:spacing w:val="-2"/>
        </w:rPr>
        <w:t> </w:t>
      </w:r>
      <w:r>
        <w:rPr/>
        <w:t>pongan</w:t>
      </w:r>
      <w:r>
        <w:rPr>
          <w:spacing w:val="-2"/>
        </w:rPr>
        <w:t> </w:t>
      </w:r>
      <w:r>
        <w:rPr/>
        <w:t>a</w:t>
      </w:r>
      <w:r>
        <w:rPr>
          <w:spacing w:val="-2"/>
        </w:rPr>
        <w:t> </w:t>
      </w:r>
      <w:r>
        <w:rPr/>
        <w:t>disposición</w:t>
      </w:r>
      <w:r>
        <w:rPr>
          <w:spacing w:val="-2"/>
        </w:rPr>
        <w:t> </w:t>
      </w:r>
      <w:r>
        <w:rPr/>
        <w:t>para</w:t>
      </w:r>
      <w:r>
        <w:rPr>
          <w:spacing w:val="-2"/>
        </w:rPr>
        <w:t> </w:t>
      </w:r>
      <w:r>
        <w:rPr/>
        <w:t>el</w:t>
      </w:r>
      <w:r>
        <w:rPr>
          <w:spacing w:val="-2"/>
        </w:rPr>
        <w:t> </w:t>
      </w:r>
      <w:r>
        <w:rPr/>
        <w:t>cobro correspondiente, a través de los mecanismos previstos en estas RO y en las demás disposiciones aplicables. La UR o, en su</w:t>
      </w:r>
      <w:r>
        <w:rPr>
          <w:spacing w:val="40"/>
        </w:rPr>
        <w:t> </w:t>
      </w:r>
      <w:r>
        <w:rPr/>
        <w:t>caso, la instancia ejecutora, será responsable de gestionar la entrega del apoyo a más tardar el 31 de diciembre de 2024.</w:t>
      </w:r>
    </w:p>
    <w:p>
      <w:pPr>
        <w:pStyle w:val="BodyText"/>
        <w:spacing w:line="242" w:lineRule="auto" w:before="111"/>
        <w:ind w:right="117"/>
      </w:pPr>
      <w:r>
        <w:rPr/>
        <w:t>Los recursos se considerarán devengados para efecto de los/as beneficiarios/as cuando en sus registros contables, presupuestarios o a través de instrumentos legales, reconozcan obligaciones de pago a favor de terceros.</w:t>
      </w:r>
    </w:p>
    <w:p>
      <w:pPr>
        <w:pStyle w:val="BodyText"/>
        <w:spacing w:line="242" w:lineRule="auto" w:before="107"/>
        <w:ind w:right="117"/>
      </w:pPr>
      <w:r>
        <w:rPr/>
        <w:t>Los recursos se considerarán vinculados formalmente a compromisos y obligaciones de pago cuando a través de un instrumento legal se haya asumido la obligación o compromiso de realizar una erogación en favor de un tercero</w:t>
      </w:r>
    </w:p>
    <w:p>
      <w:pPr>
        <w:pStyle w:val="BodyText"/>
        <w:spacing w:line="242" w:lineRule="auto" w:before="106"/>
      </w:pPr>
      <w:r>
        <w:rPr/>
        <w:t>Cuando el beneficiario del presente Programa sean los gobiernos de las Entidades Federativas y, en su caso, los Municipios, los recursos se considerarán devengados a partir de su entrega a dichos órdenes de gobierno, la SEMS o, en su caso, la</w:t>
      </w:r>
      <w:r>
        <w:rPr>
          <w:spacing w:val="40"/>
        </w:rPr>
        <w:t> </w:t>
      </w:r>
      <w:r>
        <w:rPr/>
        <w:t>instancia ejecutora en su carácter de UR del Programa, será responsable de gestionar la entrega del apoyo a más tardar el 31 </w:t>
      </w:r>
      <w:r>
        <w:rPr/>
        <w:t>de diciembre de 2024.</w:t>
      </w:r>
    </w:p>
    <w:p>
      <w:pPr>
        <w:pStyle w:val="Heading2"/>
        <w:numPr>
          <w:ilvl w:val="3"/>
          <w:numId w:val="2"/>
        </w:numPr>
        <w:tabs>
          <w:tab w:pos="995" w:val="left" w:leader="none"/>
        </w:tabs>
        <w:spacing w:line="240" w:lineRule="auto" w:before="4" w:after="0"/>
        <w:ind w:left="995" w:right="0" w:hanging="593"/>
        <w:jc w:val="left"/>
      </w:pPr>
      <w:r>
        <w:rPr>
          <w:spacing w:val="-2"/>
        </w:rPr>
        <w:t>Aplicación</w:t>
      </w:r>
    </w:p>
    <w:p>
      <w:pPr>
        <w:pStyle w:val="BodyText"/>
        <w:spacing w:line="242" w:lineRule="auto" w:before="93"/>
      </w:pPr>
      <w:r>
        <w:rPr/>
        <w:t>Los gobiernos de las Entidades Federativas beneficiarias de los apoyos tendrán la obligación de aplicar los recursos recibidos para el objeto y los fines que les fueron otorgados.</w:t>
      </w:r>
    </w:p>
    <w:p>
      <w:pPr>
        <w:pStyle w:val="BodyText"/>
        <w:spacing w:line="242" w:lineRule="auto" w:before="107"/>
      </w:pPr>
      <w:r>
        <w:rPr/>
        <w:t>Para la entrega de los recursos a los gobiernos de las Entidades Federativas y, en su caso, los Municipios, deberán contar, previo</w:t>
      </w:r>
      <w:r>
        <w:rPr>
          <w:spacing w:val="-1"/>
        </w:rPr>
        <w:t> </w:t>
      </w:r>
      <w:r>
        <w:rPr/>
        <w:t>a</w:t>
      </w:r>
      <w:r>
        <w:rPr>
          <w:spacing w:val="-1"/>
        </w:rPr>
        <w:t> </w:t>
      </w:r>
      <w:r>
        <w:rPr/>
        <w:t>la</w:t>
      </w:r>
      <w:r>
        <w:rPr>
          <w:spacing w:val="-1"/>
        </w:rPr>
        <w:t> </w:t>
      </w:r>
      <w:r>
        <w:rPr/>
        <w:t>entrega</w:t>
      </w:r>
      <w:r>
        <w:rPr>
          <w:spacing w:val="-1"/>
        </w:rPr>
        <w:t> </w:t>
      </w:r>
      <w:r>
        <w:rPr/>
        <w:t>de</w:t>
      </w:r>
      <w:r>
        <w:rPr>
          <w:spacing w:val="-1"/>
        </w:rPr>
        <w:t> </w:t>
      </w:r>
      <w:r>
        <w:rPr/>
        <w:t>los</w:t>
      </w:r>
      <w:r>
        <w:rPr>
          <w:spacing w:val="-1"/>
        </w:rPr>
        <w:t> </w:t>
      </w:r>
      <w:r>
        <w:rPr/>
        <w:t>mismos,</w:t>
      </w:r>
      <w:r>
        <w:rPr>
          <w:spacing w:val="-1"/>
        </w:rPr>
        <w:t> </w:t>
      </w:r>
      <w:r>
        <w:rPr/>
        <w:t>con</w:t>
      </w:r>
      <w:r>
        <w:rPr>
          <w:spacing w:val="-1"/>
        </w:rPr>
        <w:t> </w:t>
      </w:r>
      <w:r>
        <w:rPr/>
        <w:t>una</w:t>
      </w:r>
      <w:r>
        <w:rPr>
          <w:spacing w:val="-1"/>
        </w:rPr>
        <w:t> </w:t>
      </w:r>
      <w:r>
        <w:rPr/>
        <w:t>cuenta</w:t>
      </w:r>
      <w:r>
        <w:rPr>
          <w:spacing w:val="-1"/>
        </w:rPr>
        <w:t> </w:t>
      </w:r>
      <w:r>
        <w:rPr/>
        <w:t>bancaria</w:t>
      </w:r>
      <w:r>
        <w:rPr>
          <w:spacing w:val="-1"/>
        </w:rPr>
        <w:t> </w:t>
      </w:r>
      <w:r>
        <w:rPr/>
        <w:t>productiva,</w:t>
      </w:r>
      <w:r>
        <w:rPr>
          <w:spacing w:val="-1"/>
        </w:rPr>
        <w:t> </w:t>
      </w:r>
      <w:r>
        <w:rPr/>
        <w:t>específica</w:t>
      </w:r>
      <w:r>
        <w:rPr>
          <w:spacing w:val="-1"/>
        </w:rPr>
        <w:t> </w:t>
      </w:r>
      <w:r>
        <w:rPr/>
        <w:t>y</w:t>
      </w:r>
      <w:r>
        <w:rPr>
          <w:spacing w:val="-1"/>
        </w:rPr>
        <w:t> </w:t>
      </w:r>
      <w:r>
        <w:rPr/>
        <w:t>exclusiva</w:t>
      </w:r>
      <w:r>
        <w:rPr>
          <w:spacing w:val="-1"/>
        </w:rPr>
        <w:t> </w:t>
      </w:r>
      <w:r>
        <w:rPr/>
        <w:t>para</w:t>
      </w:r>
      <w:r>
        <w:rPr>
          <w:spacing w:val="-1"/>
        </w:rPr>
        <w:t> </w:t>
      </w:r>
      <w:r>
        <w:rPr/>
        <w:t>la</w:t>
      </w:r>
      <w:r>
        <w:rPr>
          <w:spacing w:val="-1"/>
        </w:rPr>
        <w:t> </w:t>
      </w:r>
      <w:r>
        <w:rPr/>
        <w:t>administración</w:t>
      </w:r>
      <w:r>
        <w:rPr>
          <w:spacing w:val="-1"/>
        </w:rPr>
        <w:t> </w:t>
      </w:r>
      <w:r>
        <w:rPr/>
        <w:t>y</w:t>
      </w:r>
      <w:r>
        <w:rPr>
          <w:spacing w:val="-1"/>
        </w:rPr>
        <w:t> </w:t>
      </w:r>
      <w:r>
        <w:rPr/>
        <w:t>ejercicio</w:t>
      </w:r>
      <w:r>
        <w:rPr>
          <w:spacing w:val="-1"/>
        </w:rPr>
        <w:t> </w:t>
      </w:r>
      <w:r>
        <w:rPr/>
        <w:t>de los recursos federales otorgados, que distinga contablemente su origen e identifique que las erogaciones correspondan al fin autorizado, conforme a lo establecido en las presentes RO.</w:t>
      </w:r>
    </w:p>
    <w:p>
      <w:pPr>
        <w:pStyle w:val="BodyText"/>
        <w:spacing w:line="242" w:lineRule="auto" w:before="109"/>
      </w:pPr>
      <w:r>
        <w:rPr/>
        <w:t>Los gobiernos de las Entidades Federativas y, en su caso, los Municipios serán responsables de no incorporar en esa cuenta recursos locales, ni aportaciones o ningún otro tipo de recursos distintos al apoyo recibido, aun cuando pudieran tener el </w:t>
      </w:r>
      <w:r>
        <w:rPr/>
        <w:t>mismo </w:t>
      </w:r>
      <w:r>
        <w:rPr>
          <w:spacing w:val="-2"/>
        </w:rPr>
        <w:t>propósito.</w:t>
      </w:r>
    </w:p>
    <w:p>
      <w:pPr>
        <w:pStyle w:val="BodyText"/>
        <w:spacing w:line="242" w:lineRule="auto" w:before="93"/>
      </w:pPr>
      <w:r>
        <w:rPr/>
        <w:t>Los recursos que se otorgan mediante este Programa, no pierden su carácter Federal por lo que en su asignación y </w:t>
      </w:r>
      <w:r>
        <w:rPr/>
        <w:t>ejecución deberán observarse en todo momento las disposiciones jurídicas federales aplicables.</w:t>
      </w:r>
    </w:p>
    <w:p>
      <w:pPr>
        <w:pStyle w:val="BodyText"/>
        <w:spacing w:line="242" w:lineRule="auto" w:before="107"/>
        <w:ind w:right="117"/>
      </w:pPr>
      <w:r>
        <w:rPr/>
        <w:t>Los gobiernos de las Entidades Federativas y, en su caso, los Municipios serán los responsables de mantener la documentación original que justifique y compruebe el gasto en que incurran, con cargo a los recursos que reciban por </w:t>
      </w:r>
      <w:r>
        <w:rPr/>
        <w:t>concepto</w:t>
      </w:r>
      <w:r>
        <w:rPr>
          <w:spacing w:val="80"/>
        </w:rPr>
        <w:t> </w:t>
      </w:r>
      <w:r>
        <w:rPr/>
        <w:t>de</w:t>
      </w:r>
      <w:r>
        <w:rPr>
          <w:spacing w:val="-1"/>
        </w:rPr>
        <w:t> </w:t>
      </w:r>
      <w:r>
        <w:rPr/>
        <w:t>los</w:t>
      </w:r>
      <w:r>
        <w:rPr>
          <w:spacing w:val="-1"/>
        </w:rPr>
        <w:t> </w:t>
      </w:r>
      <w:r>
        <w:rPr/>
        <w:t>subsidios</w:t>
      </w:r>
      <w:r>
        <w:rPr>
          <w:spacing w:val="-1"/>
        </w:rPr>
        <w:t> </w:t>
      </w:r>
      <w:r>
        <w:rPr/>
        <w:t>otorgados</w:t>
      </w:r>
      <w:r>
        <w:rPr>
          <w:spacing w:val="-1"/>
        </w:rPr>
        <w:t> </w:t>
      </w:r>
      <w:r>
        <w:rPr/>
        <w:t>mediante</w:t>
      </w:r>
      <w:r>
        <w:rPr>
          <w:spacing w:val="-1"/>
        </w:rPr>
        <w:t> </w:t>
      </w:r>
      <w:r>
        <w:rPr/>
        <w:t>este</w:t>
      </w:r>
      <w:r>
        <w:rPr>
          <w:spacing w:val="-1"/>
        </w:rPr>
        <w:t> </w:t>
      </w:r>
      <w:r>
        <w:rPr/>
        <w:t>Programa,</w:t>
      </w:r>
      <w:r>
        <w:rPr>
          <w:spacing w:val="-1"/>
        </w:rPr>
        <w:t> </w:t>
      </w:r>
      <w:r>
        <w:rPr/>
        <w:t>así</w:t>
      </w:r>
      <w:r>
        <w:rPr>
          <w:spacing w:val="-1"/>
        </w:rPr>
        <w:t> </w:t>
      </w:r>
      <w:r>
        <w:rPr/>
        <w:t>como</w:t>
      </w:r>
      <w:r>
        <w:rPr>
          <w:spacing w:val="-1"/>
        </w:rPr>
        <w:t> </w:t>
      </w:r>
      <w:r>
        <w:rPr/>
        <w:t>de</w:t>
      </w:r>
      <w:r>
        <w:rPr>
          <w:spacing w:val="-1"/>
        </w:rPr>
        <w:t> </w:t>
      </w:r>
      <w:r>
        <w:rPr/>
        <w:t>presentarla</w:t>
      </w:r>
      <w:r>
        <w:rPr>
          <w:spacing w:val="-1"/>
        </w:rPr>
        <w:t> </w:t>
      </w:r>
      <w:r>
        <w:rPr/>
        <w:t>a</w:t>
      </w:r>
      <w:r>
        <w:rPr>
          <w:spacing w:val="-1"/>
        </w:rPr>
        <w:t> </w:t>
      </w:r>
      <w:r>
        <w:rPr/>
        <w:t>los</w:t>
      </w:r>
      <w:r>
        <w:rPr>
          <w:spacing w:val="-1"/>
        </w:rPr>
        <w:t> </w:t>
      </w:r>
      <w:r>
        <w:rPr/>
        <w:t>órganos</w:t>
      </w:r>
      <w:r>
        <w:rPr>
          <w:spacing w:val="-1"/>
        </w:rPr>
        <w:t> </w:t>
      </w:r>
      <w:r>
        <w:rPr/>
        <w:t>competentes</w:t>
      </w:r>
      <w:r>
        <w:rPr>
          <w:spacing w:val="-1"/>
        </w:rPr>
        <w:t> </w:t>
      </w:r>
      <w:r>
        <w:rPr/>
        <w:t>de</w:t>
      </w:r>
      <w:r>
        <w:rPr>
          <w:spacing w:val="-1"/>
        </w:rPr>
        <w:t> </w:t>
      </w:r>
      <w:r>
        <w:rPr/>
        <w:t>control</w:t>
      </w:r>
      <w:r>
        <w:rPr>
          <w:spacing w:val="-1"/>
        </w:rPr>
        <w:t> </w:t>
      </w:r>
      <w:r>
        <w:rPr/>
        <w:t>y</w:t>
      </w:r>
      <w:r>
        <w:rPr>
          <w:spacing w:val="-1"/>
        </w:rPr>
        <w:t> </w:t>
      </w:r>
      <w:r>
        <w:rPr/>
        <w:t>fiscalización que la soliciten.</w:t>
      </w:r>
    </w:p>
    <w:p>
      <w:pPr>
        <w:spacing w:after="0" w:line="242" w:lineRule="auto"/>
        <w:sectPr>
          <w:pgSz w:w="12240" w:h="15840"/>
          <w:pgMar w:header="269" w:footer="260" w:top="460" w:bottom="440" w:left="860" w:right="720"/>
        </w:sectPr>
      </w:pPr>
    </w:p>
    <w:p>
      <w:pPr>
        <w:pStyle w:val="BodyText"/>
        <w:spacing w:line="242" w:lineRule="auto" w:before="82"/>
        <w:ind w:right="117"/>
      </w:pPr>
      <w:r>
        <w:rPr/>
        <w:t>En caso de que los apoyos otorgados no se encuentren formalmente comprometidos o debidamente devengados, al 31 </w:t>
      </w:r>
      <w:r>
        <w:rPr/>
        <w:t>de diciembre de 2024 en los términos de las disposiciones aplicables, deberán ser reintegrados a la TESOFE, a más tardar el 15 de enero del 2025, los recursos que correspondan junto con los rendimientos que se hubiesen generado.</w:t>
      </w:r>
    </w:p>
    <w:p>
      <w:pPr>
        <w:pStyle w:val="BodyText"/>
        <w:spacing w:line="242" w:lineRule="auto" w:before="78"/>
        <w:ind w:right="117"/>
      </w:pPr>
      <w:r>
        <w:rPr/>
        <w:t>Los recursos objeto del presente Programa que hayan sido comprometidos por los gobiernos de las Entidades Federativas </w:t>
      </w:r>
      <w:r>
        <w:rPr/>
        <w:t>y, en su caso los Municipios, y aquéllos que hayan sido devengados pero que no hayan sido pagados al 31 de diciembre de 2024, dichos órdenes de gobierno deberán cubrir los pagos respectivos a más tardar durante el primer trimestre de 2025; o bien, de conformidad con el calendario de ejecución establecido en el Convenio correspondiente. Una vez cumplido el plazo referido, los recursos remanentes deberán reintegrarse a la TESOFE a más tardar dentro de los 15 días naturales siguientes.</w:t>
      </w:r>
    </w:p>
    <w:p>
      <w:pPr>
        <w:pStyle w:val="BodyText"/>
        <w:spacing w:line="242" w:lineRule="auto" w:before="65"/>
        <w:ind w:right="117"/>
      </w:pPr>
      <w:r>
        <w:rPr/>
        <w:t>En el caso de que el beneficiario de los apoyos sea la</w:t>
      </w:r>
      <w:r>
        <w:rPr>
          <w:spacing w:val="-2"/>
        </w:rPr>
        <w:t> </w:t>
      </w:r>
      <w:r>
        <w:rPr/>
        <w:t>AEFCM, la aplicación de los mismos deberá sujetarse a lo previsto en las presentes RO, así como en la demás disposiciones presupuestarias y administrativas aplicables en la materia. En tal sentido, los recursos traspasados a esa AEL (AEFCM) durante el presente ejercicio fiscal en el marco de las presentes RO que no </w:t>
      </w:r>
      <w:r>
        <w:rPr/>
        <w:t>se encuentren</w:t>
      </w:r>
      <w:r>
        <w:rPr>
          <w:spacing w:val="-1"/>
        </w:rPr>
        <w:t> </w:t>
      </w:r>
      <w:r>
        <w:rPr/>
        <w:t>devengados</w:t>
      </w:r>
      <w:r>
        <w:rPr>
          <w:spacing w:val="-1"/>
        </w:rPr>
        <w:t> </w:t>
      </w:r>
      <w:r>
        <w:rPr/>
        <w:t>al</w:t>
      </w:r>
      <w:r>
        <w:rPr>
          <w:spacing w:val="-1"/>
        </w:rPr>
        <w:t> </w:t>
      </w:r>
      <w:r>
        <w:rPr/>
        <w:t>31</w:t>
      </w:r>
      <w:r>
        <w:rPr>
          <w:spacing w:val="-1"/>
        </w:rPr>
        <w:t> </w:t>
      </w:r>
      <w:r>
        <w:rPr/>
        <w:t>de</w:t>
      </w:r>
      <w:r>
        <w:rPr>
          <w:spacing w:val="-1"/>
        </w:rPr>
        <w:t> </w:t>
      </w:r>
      <w:r>
        <w:rPr/>
        <w:t>diciembre</w:t>
      </w:r>
      <w:r>
        <w:rPr>
          <w:spacing w:val="-1"/>
        </w:rPr>
        <w:t> </w:t>
      </w:r>
      <w:r>
        <w:rPr/>
        <w:t>de</w:t>
      </w:r>
      <w:r>
        <w:rPr>
          <w:spacing w:val="-1"/>
        </w:rPr>
        <w:t> </w:t>
      </w:r>
      <w:r>
        <w:rPr/>
        <w:t>2024,</w:t>
      </w:r>
      <w:r>
        <w:rPr>
          <w:spacing w:val="-1"/>
        </w:rPr>
        <w:t> </w:t>
      </w:r>
      <w:r>
        <w:rPr/>
        <w:t>no</w:t>
      </w:r>
      <w:r>
        <w:rPr>
          <w:spacing w:val="-1"/>
        </w:rPr>
        <w:t> </w:t>
      </w:r>
      <w:r>
        <w:rPr/>
        <w:t>podrán</w:t>
      </w:r>
      <w:r>
        <w:rPr>
          <w:spacing w:val="-1"/>
        </w:rPr>
        <w:t> </w:t>
      </w:r>
      <w:r>
        <w:rPr/>
        <w:t>ejercerse,</w:t>
      </w:r>
      <w:r>
        <w:rPr>
          <w:spacing w:val="-1"/>
        </w:rPr>
        <w:t> </w:t>
      </w:r>
      <w:r>
        <w:rPr/>
        <w:t>en</w:t>
      </w:r>
      <w:r>
        <w:rPr>
          <w:spacing w:val="-1"/>
        </w:rPr>
        <w:t> </w:t>
      </w:r>
      <w:r>
        <w:rPr/>
        <w:t>término</w:t>
      </w:r>
      <w:r>
        <w:rPr>
          <w:spacing w:val="-1"/>
        </w:rPr>
        <w:t> </w:t>
      </w:r>
      <w:r>
        <w:rPr/>
        <w:t>de</w:t>
      </w:r>
      <w:r>
        <w:rPr>
          <w:spacing w:val="-1"/>
        </w:rPr>
        <w:t> </w:t>
      </w:r>
      <w:r>
        <w:rPr/>
        <w:t>lo</w:t>
      </w:r>
      <w:r>
        <w:rPr>
          <w:spacing w:val="-1"/>
        </w:rPr>
        <w:t> </w:t>
      </w:r>
      <w:r>
        <w:rPr/>
        <w:t>previsto</w:t>
      </w:r>
      <w:r>
        <w:rPr>
          <w:spacing w:val="-1"/>
        </w:rPr>
        <w:t> </w:t>
      </w:r>
      <w:r>
        <w:rPr/>
        <w:t>en</w:t>
      </w:r>
      <w:r>
        <w:rPr>
          <w:spacing w:val="-1"/>
        </w:rPr>
        <w:t> </w:t>
      </w:r>
      <w:r>
        <w:rPr/>
        <w:t>el</w:t>
      </w:r>
      <w:r>
        <w:rPr>
          <w:spacing w:val="-1"/>
        </w:rPr>
        <w:t> </w:t>
      </w:r>
      <w:r>
        <w:rPr/>
        <w:t>segundo</w:t>
      </w:r>
      <w:r>
        <w:rPr>
          <w:spacing w:val="-1"/>
        </w:rPr>
        <w:t> </w:t>
      </w:r>
      <w:r>
        <w:rPr/>
        <w:t>y</w:t>
      </w:r>
      <w:r>
        <w:rPr>
          <w:spacing w:val="-1"/>
        </w:rPr>
        <w:t> </w:t>
      </w:r>
      <w:r>
        <w:rPr/>
        <w:t>último</w:t>
      </w:r>
      <w:r>
        <w:rPr>
          <w:spacing w:val="-1"/>
        </w:rPr>
        <w:t> </w:t>
      </w:r>
      <w:r>
        <w:rPr/>
        <w:t>párrafo del artículo 54 de la LFPRH.</w:t>
      </w:r>
    </w:p>
    <w:p>
      <w:pPr>
        <w:pStyle w:val="Heading2"/>
        <w:numPr>
          <w:ilvl w:val="3"/>
          <w:numId w:val="2"/>
        </w:numPr>
        <w:tabs>
          <w:tab w:pos="1002" w:val="left" w:leader="none"/>
        </w:tabs>
        <w:spacing w:line="240" w:lineRule="auto" w:before="79" w:after="0"/>
        <w:ind w:left="1002" w:right="0" w:hanging="600"/>
        <w:jc w:val="left"/>
      </w:pPr>
      <w:r>
        <w:rPr>
          <w:spacing w:val="-2"/>
        </w:rPr>
        <w:t>Reintegros</w:t>
      </w:r>
    </w:p>
    <w:p>
      <w:pPr>
        <w:pStyle w:val="BodyText"/>
        <w:spacing w:line="242" w:lineRule="auto" w:before="78"/>
      </w:pPr>
      <w:r>
        <w:rPr/>
        <w:t>En los casos en los que existan recursos por reintegrar a la TESOFE, en términos de lo dispuesto en el artículo 176 del RLFPRH, se realizarán mediante línea de captura, para lo cual el/la beneficiario/a deberá solicitar a la Instancia ejecutora del Programa (SEMS) e informar de la realización del reintegro a la misma, adjuntando el comprobante del depósito correspondiente en un plazo no mayor a tres días hábiles contados a partir de que haya sido realizado el reintegro.</w:t>
      </w:r>
    </w:p>
    <w:p>
      <w:pPr>
        <w:pStyle w:val="BodyText"/>
        <w:spacing w:line="242" w:lineRule="auto" w:before="64"/>
        <w:ind w:right="117"/>
      </w:pPr>
      <w:r>
        <w:rPr/>
        <w:t>Con fundamento en lo establecido en el artículo 54 párrafos segundo y tercero de la LFPRH, la Instancia Normativa del Programa, de acuerdo a lo previsto en el numeral 3.6.1 denominado "Instancia (s) ejecutora(s) y la persona beneficiaria que, al </w:t>
      </w:r>
      <w:r>
        <w:rPr/>
        <w:t>31 de diciembre de 2024, conserven recursos federales deberán reintegrarlos a la TESOFE, conjuntamente con los rendimientos financieros obtenidos, dentro de los 15 días naturales siguientes al cierre del ejercicio fiscal 2024.</w:t>
      </w:r>
    </w:p>
    <w:p>
      <w:pPr>
        <w:pStyle w:val="BodyText"/>
        <w:spacing w:line="242" w:lineRule="auto" w:before="79"/>
      </w:pPr>
      <w:r>
        <w:rPr/>
        <w:t>Los Gobiernos de las Entidades Federativas o, en su caso los Municipios por conducto de las Autoridades Estatales competentes, a más tardar el 15 de enero de 2025, deberán reintegrar a la TESOFE, los subsidios (transferencias federales etiquetadas, en términos del artículo 17 de la LDFEFM) que, al 31 de diciembre de 2024, no hayan sido devengadas por las Entidades Federativas.</w:t>
      </w:r>
    </w:p>
    <w:p>
      <w:pPr>
        <w:pStyle w:val="BodyText"/>
        <w:spacing w:line="242" w:lineRule="auto" w:before="79"/>
      </w:pPr>
      <w:r>
        <w:rPr/>
        <w:t>Los subsidios federales otorgados (transferencias federales etiquetadas, en términos del artículo 17 de la LDFEFM) que al 31 de</w:t>
      </w:r>
      <w:r>
        <w:rPr>
          <w:spacing w:val="-1"/>
        </w:rPr>
        <w:t> </w:t>
      </w:r>
      <w:r>
        <w:rPr/>
        <w:t>diciembre</w:t>
      </w:r>
      <w:r>
        <w:rPr>
          <w:spacing w:val="-1"/>
        </w:rPr>
        <w:t> </w:t>
      </w:r>
      <w:r>
        <w:rPr/>
        <w:t>de</w:t>
      </w:r>
      <w:r>
        <w:rPr>
          <w:spacing w:val="-1"/>
        </w:rPr>
        <w:t> </w:t>
      </w:r>
      <w:r>
        <w:rPr/>
        <w:t>2024,</w:t>
      </w:r>
      <w:r>
        <w:rPr>
          <w:spacing w:val="-1"/>
        </w:rPr>
        <w:t> </w:t>
      </w:r>
      <w:r>
        <w:rPr/>
        <w:t>se</w:t>
      </w:r>
      <w:r>
        <w:rPr>
          <w:spacing w:val="-1"/>
        </w:rPr>
        <w:t> </w:t>
      </w:r>
      <w:r>
        <w:rPr/>
        <w:t>hayan</w:t>
      </w:r>
      <w:r>
        <w:rPr>
          <w:spacing w:val="-1"/>
        </w:rPr>
        <w:t> </w:t>
      </w:r>
      <w:r>
        <w:rPr/>
        <w:t>comprometido</w:t>
      </w:r>
      <w:r>
        <w:rPr>
          <w:spacing w:val="-1"/>
        </w:rPr>
        <w:t> </w:t>
      </w:r>
      <w:r>
        <w:rPr/>
        <w:t>y</w:t>
      </w:r>
      <w:r>
        <w:rPr>
          <w:spacing w:val="-1"/>
        </w:rPr>
        <w:t> </w:t>
      </w:r>
      <w:r>
        <w:rPr/>
        <w:t>aquéllos</w:t>
      </w:r>
      <w:r>
        <w:rPr>
          <w:spacing w:val="-1"/>
        </w:rPr>
        <w:t> </w:t>
      </w:r>
      <w:r>
        <w:rPr/>
        <w:t>devengados</w:t>
      </w:r>
      <w:r>
        <w:rPr>
          <w:spacing w:val="-1"/>
        </w:rPr>
        <w:t> </w:t>
      </w:r>
      <w:r>
        <w:rPr/>
        <w:t>pero</w:t>
      </w:r>
      <w:r>
        <w:rPr>
          <w:spacing w:val="-1"/>
        </w:rPr>
        <w:t> </w:t>
      </w:r>
      <w:r>
        <w:rPr/>
        <w:t>que</w:t>
      </w:r>
      <w:r>
        <w:rPr>
          <w:spacing w:val="-1"/>
        </w:rPr>
        <w:t> </w:t>
      </w:r>
      <w:r>
        <w:rPr/>
        <w:t>no</w:t>
      </w:r>
      <w:r>
        <w:rPr>
          <w:spacing w:val="-1"/>
        </w:rPr>
        <w:t> </w:t>
      </w:r>
      <w:r>
        <w:rPr/>
        <w:t>hayan</w:t>
      </w:r>
      <w:r>
        <w:rPr>
          <w:spacing w:val="-1"/>
        </w:rPr>
        <w:t> </w:t>
      </w:r>
      <w:r>
        <w:rPr/>
        <w:t>sido</w:t>
      </w:r>
      <w:r>
        <w:rPr>
          <w:spacing w:val="-1"/>
        </w:rPr>
        <w:t> </w:t>
      </w:r>
      <w:r>
        <w:rPr/>
        <w:t>pagados,</w:t>
      </w:r>
      <w:r>
        <w:rPr>
          <w:spacing w:val="-1"/>
        </w:rPr>
        <w:t> </w:t>
      </w:r>
      <w:r>
        <w:rPr/>
        <w:t>deberán</w:t>
      </w:r>
      <w:r>
        <w:rPr>
          <w:spacing w:val="-1"/>
        </w:rPr>
        <w:t> </w:t>
      </w:r>
      <w:r>
        <w:rPr/>
        <w:t>cubrir</w:t>
      </w:r>
      <w:r>
        <w:rPr>
          <w:spacing w:val="-1"/>
        </w:rPr>
        <w:t> </w:t>
      </w:r>
      <w:r>
        <w:rPr/>
        <w:t>los</w:t>
      </w:r>
      <w:r>
        <w:rPr>
          <w:spacing w:val="-1"/>
        </w:rPr>
        <w:t> </w:t>
      </w:r>
      <w:r>
        <w:rPr/>
        <w:t>pagos respectivos, a más tardar durante el primer trimestre del ejercicio 2025; o bien, de conformidad con el calendario de ejecución establecido en el convenio correspondiente; una vez cumplido el plazo referido, los recursos remanentes junto con los rendimientos financieros generados, deberán reintegrarse a la TESOFE, a más tardar dentro de los 15 días naturales siguientes.</w:t>
      </w:r>
    </w:p>
    <w:p>
      <w:pPr>
        <w:pStyle w:val="BodyText"/>
        <w:spacing w:line="242" w:lineRule="auto" w:before="64"/>
        <w:ind w:right="117"/>
      </w:pPr>
      <w:r>
        <w:rPr/>
        <w:t>En el caso de la AEFCM, esta deberá sujetarse a lo previsto en el segundo y último párrafo del artículo 54 de la LFPRH y demás disposiciones normativas aplicables en la materia.</w:t>
      </w:r>
    </w:p>
    <w:p>
      <w:pPr>
        <w:pStyle w:val="BodyText"/>
        <w:spacing w:line="242" w:lineRule="auto" w:before="77"/>
        <w:ind w:right="117"/>
      </w:pPr>
      <w:r>
        <w:rPr/>
        <w:t>En los casos en que los Gobiernos de las Entidades Federativas beneficiarias de los apoyos, o de ser el caso, </w:t>
      </w:r>
      <w:r>
        <w:rPr/>
        <w:t>el/la beneficiario/a indirecto/a por conducto del Gobierno de la Entidad Federativa, esté obligada/o a reintegrar los recursos federales objeto de los apoyos otorgados, éstos no podrán deducir las comisiones bancarias que por manejo de cuenta y operaciones haya cobrado la institución financiera. Los Gobiernos de las Entidades Federativas beneficiarias de los apoyos, o de ser el caso, el/la beneficiario/a indirecto/a por conducto del Gobierno de la Entidad Federativa, deberá cubrir dichas comisiones con cargo a sus propios recursos.</w:t>
      </w:r>
    </w:p>
    <w:p>
      <w:pPr>
        <w:pStyle w:val="BodyText"/>
        <w:spacing w:line="242" w:lineRule="auto" w:before="81"/>
      </w:pPr>
      <w:r>
        <w:rPr/>
        <w:t>Los rendimientos que deban enterarse a la</w:t>
      </w:r>
      <w:r>
        <w:rPr>
          <w:spacing w:val="-2"/>
        </w:rPr>
        <w:t> </w:t>
      </w:r>
      <w:r>
        <w:rPr/>
        <w:t>TESOFE, por habérsele requerido el reintegro parcial o total de los recursos objeto de los apoyos otorgados, serán aquellos que puedan verificarse a través de los estados de cuenta bancarios, descontando el Impuesto Sobre la Renta (ISR).</w:t>
      </w:r>
    </w:p>
    <w:p>
      <w:pPr>
        <w:pStyle w:val="BodyText"/>
        <w:spacing w:line="242" w:lineRule="auto" w:before="63"/>
      </w:pPr>
      <w:r>
        <w:rPr/>
        <w:t>Cuando en las actividades de seguimiento o supervisión que defina la SEMS, identifique que los recursos fueron destinados a fines distintos a los autorizados, o bien, existan remanentes en su aplicación, solicitará a los Gobiernos de las Entidades Federativas beneficiarias de los apoyos realizar su reintegro a la TESOFE, quien estará obligado a realizarlo en un plazo </w:t>
      </w:r>
      <w:r>
        <w:rPr/>
        <w:t>no</w:t>
      </w:r>
      <w:r>
        <w:rPr>
          <w:spacing w:val="40"/>
        </w:rPr>
        <w:t> </w:t>
      </w:r>
      <w:r>
        <w:rPr/>
        <w:t>mayor a 15 días hábiles contados a partir de la fecha en que reciba de dicha instancia ejecutora la notificación formal con las instrucciones para efectuar dicho reintegro.</w:t>
      </w:r>
    </w:p>
    <w:p>
      <w:pPr>
        <w:pStyle w:val="BodyText"/>
        <w:spacing w:line="242" w:lineRule="auto" w:before="80"/>
      </w:pPr>
      <w:r>
        <w:rPr/>
        <w:t>En caso de que los Gobiernos de las Entidades Federativas beneficiarias de los apoyos, o de ser el caso, el/la beneficiario/a indirecto/a por conducto del Gobierno de la Entidad Federativa, no reintegre los recursos en el plazo establecido en las presentes RO, será sujeto de las sanciones y penas correspondientes, conforme a las disposiciones aplicables en la materia.</w:t>
      </w:r>
    </w:p>
    <w:p>
      <w:pPr>
        <w:pStyle w:val="BodyText"/>
        <w:spacing w:line="242" w:lineRule="auto" w:before="107"/>
      </w:pPr>
      <w:r>
        <w:rPr/>
        <w:t>La SEMS deberá prever en los instrumentos jurídicos a través de los cuales se canalicen recursos en el marco de las presentes</w:t>
      </w:r>
      <w:r>
        <w:rPr>
          <w:spacing w:val="-2"/>
        </w:rPr>
        <w:t> </w:t>
      </w:r>
      <w:r>
        <w:rPr/>
        <w:t>RO,</w:t>
      </w:r>
      <w:r>
        <w:rPr>
          <w:spacing w:val="-2"/>
        </w:rPr>
        <w:t> </w:t>
      </w:r>
      <w:r>
        <w:rPr/>
        <w:t>la</w:t>
      </w:r>
      <w:r>
        <w:rPr>
          <w:spacing w:val="-2"/>
        </w:rPr>
        <w:t> </w:t>
      </w:r>
      <w:r>
        <w:rPr/>
        <w:t>obligación</w:t>
      </w:r>
      <w:r>
        <w:rPr>
          <w:spacing w:val="-2"/>
        </w:rPr>
        <w:t> </w:t>
      </w:r>
      <w:r>
        <w:rPr/>
        <w:t>de</w:t>
      </w:r>
      <w:r>
        <w:rPr>
          <w:spacing w:val="-2"/>
        </w:rPr>
        <w:t> </w:t>
      </w:r>
      <w:r>
        <w:rPr/>
        <w:t>los/las</w:t>
      </w:r>
      <w:r>
        <w:rPr>
          <w:spacing w:val="-2"/>
        </w:rPr>
        <w:t> </w:t>
      </w:r>
      <w:r>
        <w:rPr/>
        <w:t>beneficiarios/as,</w:t>
      </w:r>
      <w:r>
        <w:rPr>
          <w:spacing w:val="-2"/>
        </w:rPr>
        <w:t> </w:t>
      </w:r>
      <w:r>
        <w:rPr/>
        <w:t>en</w:t>
      </w:r>
      <w:r>
        <w:rPr>
          <w:spacing w:val="-2"/>
        </w:rPr>
        <w:t> </w:t>
      </w:r>
      <w:r>
        <w:rPr/>
        <w:t>los</w:t>
      </w:r>
      <w:r>
        <w:rPr>
          <w:spacing w:val="-2"/>
        </w:rPr>
        <w:t> </w:t>
      </w:r>
      <w:r>
        <w:rPr/>
        <w:t>casos</w:t>
      </w:r>
      <w:r>
        <w:rPr>
          <w:spacing w:val="-2"/>
        </w:rPr>
        <w:t> </w:t>
      </w:r>
      <w:r>
        <w:rPr/>
        <w:t>que</w:t>
      </w:r>
      <w:r>
        <w:rPr>
          <w:spacing w:val="-2"/>
        </w:rPr>
        <w:t> </w:t>
      </w:r>
      <w:r>
        <w:rPr/>
        <w:t>corresponda,</w:t>
      </w:r>
      <w:r>
        <w:rPr>
          <w:spacing w:val="-2"/>
        </w:rPr>
        <w:t> </w:t>
      </w:r>
      <w:r>
        <w:rPr/>
        <w:t>de</w:t>
      </w:r>
      <w:r>
        <w:rPr>
          <w:spacing w:val="-2"/>
        </w:rPr>
        <w:t> </w:t>
      </w:r>
      <w:r>
        <w:rPr/>
        <w:t>reintegrar</w:t>
      </w:r>
      <w:r>
        <w:rPr>
          <w:spacing w:val="-2"/>
        </w:rPr>
        <w:t> </w:t>
      </w:r>
      <w:r>
        <w:rPr/>
        <w:t>a</w:t>
      </w:r>
      <w:r>
        <w:rPr>
          <w:spacing w:val="-2"/>
        </w:rPr>
        <w:t> </w:t>
      </w:r>
      <w:r>
        <w:rPr/>
        <w:t>la</w:t>
      </w:r>
      <w:r>
        <w:rPr>
          <w:spacing w:val="-6"/>
        </w:rPr>
        <w:t> </w:t>
      </w:r>
      <w:r>
        <w:rPr/>
        <w:t>TESOFE</w:t>
      </w:r>
      <w:r>
        <w:rPr>
          <w:spacing w:val="-2"/>
        </w:rPr>
        <w:t> </w:t>
      </w:r>
      <w:r>
        <w:rPr/>
        <w:t>los</w:t>
      </w:r>
      <w:r>
        <w:rPr>
          <w:spacing w:val="-2"/>
        </w:rPr>
        <w:t> </w:t>
      </w:r>
      <w:r>
        <w:rPr/>
        <w:t>recursos</w:t>
      </w:r>
      <w:r>
        <w:rPr>
          <w:spacing w:val="-2"/>
        </w:rPr>
        <w:t> </w:t>
      </w:r>
      <w:r>
        <w:rPr/>
        <w:t>que no se destinen a los fines autorizados y aquéllos que al cierre del ejercicio no se hayan devengado o que no se encuentren vinculados formalmente a compromisos y obligaciones de pago, en términos de lo dispuesto en los artículos 54 de la LFPRH; y, 176, primer párrafo del RLFPRH.</w:t>
      </w:r>
    </w:p>
    <w:p>
      <w:pPr>
        <w:pStyle w:val="BodyText"/>
        <w:spacing w:line="242" w:lineRule="auto" w:before="95"/>
        <w:ind w:right="117"/>
      </w:pPr>
      <w:r>
        <w:rPr/>
        <w:t>En caso de que la AEL no reintegre los recursos en el plazo establecido en las presentes RO o conforme las </w:t>
      </w:r>
      <w:r>
        <w:rPr/>
        <w:t>disposiciones normativas aplicables en la materia, será sujeto de las sanciones y penas correspondientes previstas por estas últimas.</w:t>
      </w:r>
    </w:p>
    <w:p>
      <w:pPr>
        <w:pStyle w:val="BodyText"/>
        <w:spacing w:line="242" w:lineRule="auto" w:before="107"/>
      </w:pPr>
      <w:r>
        <w:rPr/>
        <w:t>Será</w:t>
      </w:r>
      <w:r>
        <w:rPr>
          <w:spacing w:val="-2"/>
        </w:rPr>
        <w:t> </w:t>
      </w:r>
      <w:r>
        <w:rPr/>
        <w:t>de</w:t>
      </w:r>
      <w:r>
        <w:rPr>
          <w:spacing w:val="-2"/>
        </w:rPr>
        <w:t> </w:t>
      </w:r>
      <w:r>
        <w:rPr/>
        <w:t>la</w:t>
      </w:r>
      <w:r>
        <w:rPr>
          <w:spacing w:val="-2"/>
        </w:rPr>
        <w:t> </w:t>
      </w:r>
      <w:r>
        <w:rPr/>
        <w:t>total,</w:t>
      </w:r>
      <w:r>
        <w:rPr>
          <w:spacing w:val="-2"/>
        </w:rPr>
        <w:t> </w:t>
      </w:r>
      <w:r>
        <w:rPr/>
        <w:t>única</w:t>
      </w:r>
      <w:r>
        <w:rPr>
          <w:spacing w:val="-2"/>
        </w:rPr>
        <w:t> </w:t>
      </w:r>
      <w:r>
        <w:rPr/>
        <w:t>y</w:t>
      </w:r>
      <w:r>
        <w:rPr>
          <w:spacing w:val="-2"/>
        </w:rPr>
        <w:t> </w:t>
      </w:r>
      <w:r>
        <w:rPr/>
        <w:t>absoluta</w:t>
      </w:r>
      <w:r>
        <w:rPr>
          <w:spacing w:val="-2"/>
        </w:rPr>
        <w:t> </w:t>
      </w:r>
      <w:r>
        <w:rPr/>
        <w:t>responsabilidad</w:t>
      </w:r>
      <w:r>
        <w:rPr>
          <w:spacing w:val="-2"/>
        </w:rPr>
        <w:t> </w:t>
      </w:r>
      <w:r>
        <w:rPr/>
        <w:t>de</w:t>
      </w:r>
      <w:r>
        <w:rPr>
          <w:spacing w:val="-2"/>
        </w:rPr>
        <w:t> </w:t>
      </w:r>
      <w:r>
        <w:rPr/>
        <w:t>las</w:t>
      </w:r>
      <w:r>
        <w:rPr>
          <w:spacing w:val="-2"/>
        </w:rPr>
        <w:t> </w:t>
      </w:r>
      <w:r>
        <w:rPr/>
        <w:t>Entidades</w:t>
      </w:r>
      <w:r>
        <w:rPr>
          <w:spacing w:val="-2"/>
        </w:rPr>
        <w:t> </w:t>
      </w:r>
      <w:r>
        <w:rPr/>
        <w:t>Federativas</w:t>
      </w:r>
      <w:r>
        <w:rPr>
          <w:spacing w:val="-2"/>
        </w:rPr>
        <w:t> </w:t>
      </w:r>
      <w:r>
        <w:rPr/>
        <w:t>beneficiarias</w:t>
      </w:r>
      <w:r>
        <w:rPr>
          <w:spacing w:val="-2"/>
        </w:rPr>
        <w:t> </w:t>
      </w:r>
      <w:r>
        <w:rPr/>
        <w:t>de</w:t>
      </w:r>
      <w:r>
        <w:rPr>
          <w:spacing w:val="-2"/>
        </w:rPr>
        <w:t> </w:t>
      </w:r>
      <w:r>
        <w:rPr/>
        <w:t>los</w:t>
      </w:r>
      <w:r>
        <w:rPr>
          <w:spacing w:val="-2"/>
        </w:rPr>
        <w:t> </w:t>
      </w:r>
      <w:r>
        <w:rPr/>
        <w:t>apoyos</w:t>
      </w:r>
      <w:r>
        <w:rPr>
          <w:spacing w:val="-2"/>
        </w:rPr>
        <w:t> </w:t>
      </w:r>
      <w:r>
        <w:rPr/>
        <w:t>por</w:t>
      </w:r>
      <w:r>
        <w:rPr>
          <w:spacing w:val="-2"/>
        </w:rPr>
        <w:t> </w:t>
      </w:r>
      <w:r>
        <w:rPr/>
        <w:t>conducto</w:t>
      </w:r>
      <w:r>
        <w:rPr>
          <w:spacing w:val="-2"/>
        </w:rPr>
        <w:t> </w:t>
      </w:r>
      <w:r>
        <w:rPr/>
        <w:t>de</w:t>
      </w:r>
      <w:r>
        <w:rPr>
          <w:spacing w:val="-2"/>
        </w:rPr>
        <w:t> </w:t>
      </w:r>
      <w:r>
        <w:rPr/>
        <w:t>las autoridades competentes, calcular y pagar las cargas financieras que, en su caso corresponda, cuando los reintegros y/o enteros no se realicen dentro de los plazos señalados.</w:t>
      </w:r>
    </w:p>
    <w:p>
      <w:pPr>
        <w:pStyle w:val="Heading2"/>
      </w:pPr>
      <w:r>
        <w:rPr/>
        <w:t>Penas por atraso en </w:t>
      </w:r>
      <w:r>
        <w:rPr>
          <w:spacing w:val="-2"/>
        </w:rPr>
        <w:t>reintegros</w:t>
      </w:r>
    </w:p>
    <w:p>
      <w:pPr>
        <w:pStyle w:val="BodyText"/>
        <w:spacing w:line="242" w:lineRule="auto" w:before="93"/>
      </w:pPr>
      <w:r>
        <w:rPr/>
        <w:t>El cálculo de la pena por atraso en el reintegro deberá realizarse conforme a lo señalado en la Ley de Tesorería de la Federación</w:t>
      </w:r>
      <w:r>
        <w:rPr>
          <w:spacing w:val="5"/>
        </w:rPr>
        <w:t> </w:t>
      </w:r>
      <w:r>
        <w:rPr/>
        <w:t>y</w:t>
      </w:r>
      <w:r>
        <w:rPr>
          <w:spacing w:val="5"/>
        </w:rPr>
        <w:t> </w:t>
      </w:r>
      <w:r>
        <w:rPr/>
        <w:t>conforme</w:t>
      </w:r>
      <w:r>
        <w:rPr>
          <w:spacing w:val="5"/>
        </w:rPr>
        <w:t> </w:t>
      </w:r>
      <w:r>
        <w:rPr/>
        <w:t>a</w:t>
      </w:r>
      <w:r>
        <w:rPr>
          <w:spacing w:val="5"/>
        </w:rPr>
        <w:t> </w:t>
      </w:r>
      <w:r>
        <w:rPr/>
        <w:t>la</w:t>
      </w:r>
      <w:r>
        <w:rPr>
          <w:spacing w:val="5"/>
        </w:rPr>
        <w:t> </w:t>
      </w:r>
      <w:r>
        <w:rPr/>
        <w:t>tasa</w:t>
      </w:r>
      <w:r>
        <w:rPr>
          <w:spacing w:val="5"/>
        </w:rPr>
        <w:t> </w:t>
      </w:r>
      <w:r>
        <w:rPr/>
        <w:t>que</w:t>
      </w:r>
      <w:r>
        <w:rPr>
          <w:spacing w:val="5"/>
        </w:rPr>
        <w:t> </w:t>
      </w:r>
      <w:r>
        <w:rPr/>
        <w:t>se</w:t>
      </w:r>
      <w:r>
        <w:rPr>
          <w:spacing w:val="5"/>
        </w:rPr>
        <w:t> </w:t>
      </w:r>
      <w:r>
        <w:rPr/>
        <w:t>establezca</w:t>
      </w:r>
      <w:r>
        <w:rPr>
          <w:spacing w:val="5"/>
        </w:rPr>
        <w:t> </w:t>
      </w:r>
      <w:r>
        <w:rPr/>
        <w:t>en</w:t>
      </w:r>
      <w:r>
        <w:rPr>
          <w:spacing w:val="5"/>
        </w:rPr>
        <w:t> </w:t>
      </w:r>
      <w:r>
        <w:rPr/>
        <w:t>la</w:t>
      </w:r>
      <w:r>
        <w:rPr>
          <w:spacing w:val="5"/>
        </w:rPr>
        <w:t> </w:t>
      </w:r>
      <w:r>
        <w:rPr/>
        <w:t>Ley</w:t>
      </w:r>
      <w:r>
        <w:rPr>
          <w:spacing w:val="5"/>
        </w:rPr>
        <w:t> </w:t>
      </w:r>
      <w:r>
        <w:rPr/>
        <w:t>de</w:t>
      </w:r>
      <w:r>
        <w:rPr>
          <w:spacing w:val="5"/>
        </w:rPr>
        <w:t> </w:t>
      </w:r>
      <w:r>
        <w:rPr/>
        <w:t>Ingresos</w:t>
      </w:r>
      <w:r>
        <w:rPr>
          <w:spacing w:val="5"/>
        </w:rPr>
        <w:t> </w:t>
      </w:r>
      <w:r>
        <w:rPr/>
        <w:t>de</w:t>
      </w:r>
      <w:r>
        <w:rPr>
          <w:spacing w:val="5"/>
        </w:rPr>
        <w:t> </w:t>
      </w:r>
      <w:r>
        <w:rPr/>
        <w:t>la</w:t>
      </w:r>
      <w:r>
        <w:rPr>
          <w:spacing w:val="5"/>
        </w:rPr>
        <w:t> </w:t>
      </w:r>
      <w:r>
        <w:rPr/>
        <w:t>Federación</w:t>
      </w:r>
      <w:r>
        <w:rPr>
          <w:spacing w:val="5"/>
        </w:rPr>
        <w:t> </w:t>
      </w:r>
      <w:r>
        <w:rPr/>
        <w:t>para</w:t>
      </w:r>
      <w:r>
        <w:rPr>
          <w:spacing w:val="5"/>
        </w:rPr>
        <w:t> </w:t>
      </w:r>
      <w:r>
        <w:rPr/>
        <w:t>el</w:t>
      </w:r>
      <w:r>
        <w:rPr>
          <w:spacing w:val="5"/>
        </w:rPr>
        <w:t> </w:t>
      </w:r>
      <w:r>
        <w:rPr/>
        <w:t>ejercicio</w:t>
      </w:r>
      <w:r>
        <w:rPr>
          <w:spacing w:val="5"/>
        </w:rPr>
        <w:t> </w:t>
      </w:r>
      <w:r>
        <w:rPr/>
        <w:t>fiscal</w:t>
      </w:r>
      <w:r>
        <w:rPr>
          <w:spacing w:val="5"/>
        </w:rPr>
        <w:t> </w:t>
      </w:r>
      <w:r>
        <w:rPr/>
        <w:t>2024,</w:t>
      </w:r>
      <w:r>
        <w:rPr>
          <w:spacing w:val="5"/>
        </w:rPr>
        <w:t> </w:t>
      </w:r>
      <w:r>
        <w:rPr>
          <w:spacing w:val="-2"/>
        </w:rPr>
        <w:t>conforme</w:t>
      </w:r>
    </w:p>
    <w:p>
      <w:pPr>
        <w:spacing w:after="0" w:line="242" w:lineRule="auto"/>
        <w:sectPr>
          <w:pgSz w:w="12240" w:h="15840"/>
          <w:pgMar w:header="269" w:footer="260" w:top="460" w:bottom="440" w:left="860" w:right="720"/>
        </w:sectPr>
      </w:pPr>
    </w:p>
    <w:p>
      <w:pPr>
        <w:pStyle w:val="BodyText"/>
        <w:spacing w:before="82"/>
        <w:ind w:right="0" w:firstLine="0"/>
        <w:jc w:val="left"/>
      </w:pPr>
      <w:r>
        <w:rPr/>
        <w:t>a lo </w:t>
      </w:r>
      <w:r>
        <w:rPr>
          <w:spacing w:val="-2"/>
        </w:rPr>
        <w:t>siguiente:</w:t>
      </w:r>
    </w:p>
    <w:p>
      <w:pPr>
        <w:pStyle w:val="BodyText"/>
        <w:spacing w:line="242" w:lineRule="auto"/>
      </w:pPr>
      <w:r>
        <w:rPr/>
        <w:t>La/s persona/s beneficiaria/s que no reintegren los recursos en el plazo establecido en las presentes RO, deberá pagar </w:t>
      </w:r>
      <w:r>
        <w:rPr/>
        <w:t>una pena por atraso multiplicando el importe no reintegrado oportunamente por el número de días naturales de retraso y la tasa diaria, conforme a la siguiente fórmula:</w:t>
      </w:r>
    </w:p>
    <w:p>
      <w:pPr>
        <w:spacing w:before="93"/>
        <w:ind w:left="0" w:right="8112" w:firstLine="0"/>
        <w:jc w:val="right"/>
        <w:rPr>
          <w:rFonts w:ascii="Arial" w:hAnsi="Arial"/>
          <w:i/>
          <w:sz w:val="18"/>
        </w:rPr>
      </w:pPr>
      <w:r>
        <w:rPr>
          <w:rFonts w:ascii="Arial" w:hAnsi="Arial"/>
          <w:i/>
          <w:sz w:val="18"/>
        </w:rPr>
        <w:t>Pena = importe x días x </w:t>
      </w:r>
      <w:r>
        <w:rPr>
          <w:rFonts w:ascii="Arial" w:hAnsi="Arial"/>
          <w:i/>
          <w:spacing w:val="-4"/>
          <w:sz w:val="18"/>
          <w:u w:val="single"/>
        </w:rPr>
        <w:t>tasa</w:t>
      </w:r>
    </w:p>
    <w:p>
      <w:pPr>
        <w:spacing w:before="123"/>
        <w:ind w:left="0" w:right="8202" w:firstLine="0"/>
        <w:jc w:val="right"/>
        <w:rPr>
          <w:rFonts w:ascii="Arial"/>
          <w:i/>
          <w:sz w:val="18"/>
        </w:rPr>
      </w:pPr>
      <w:r>
        <w:rPr>
          <w:rFonts w:ascii="Arial"/>
          <w:i/>
          <w:spacing w:val="-5"/>
          <w:sz w:val="18"/>
        </w:rPr>
        <w:t>30</w:t>
      </w:r>
    </w:p>
    <w:p>
      <w:pPr>
        <w:pStyle w:val="BodyText"/>
        <w:spacing w:before="182"/>
        <w:ind w:left="0" w:right="0" w:firstLine="0"/>
        <w:jc w:val="left"/>
        <w:rPr>
          <w:rFonts w:ascii="Arial"/>
          <w:i/>
          <w:sz w:val="20"/>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85"/>
        <w:gridCol w:w="7515"/>
      </w:tblGrid>
      <w:tr>
        <w:trPr>
          <w:trHeight w:val="344" w:hRule="atLeast"/>
        </w:trPr>
        <w:tc>
          <w:tcPr>
            <w:tcW w:w="1785" w:type="dxa"/>
          </w:tcPr>
          <w:p>
            <w:pPr>
              <w:pStyle w:val="TableParagraph"/>
              <w:spacing w:before="11"/>
              <w:ind w:left="544"/>
              <w:rPr>
                <w:rFonts w:ascii="Arial"/>
                <w:b/>
                <w:sz w:val="18"/>
              </w:rPr>
            </w:pPr>
            <w:r>
              <w:rPr>
                <w:rFonts w:ascii="Arial"/>
                <w:b/>
                <w:spacing w:val="-2"/>
                <w:sz w:val="18"/>
              </w:rPr>
              <w:t>Variable</w:t>
            </w:r>
          </w:p>
        </w:tc>
        <w:tc>
          <w:tcPr>
            <w:tcW w:w="7515" w:type="dxa"/>
          </w:tcPr>
          <w:p>
            <w:pPr>
              <w:pStyle w:val="TableParagraph"/>
              <w:spacing w:before="11"/>
              <w:ind w:left="10"/>
              <w:jc w:val="center"/>
              <w:rPr>
                <w:rFonts w:ascii="Arial"/>
                <w:b/>
                <w:sz w:val="18"/>
              </w:rPr>
            </w:pPr>
            <w:r>
              <w:rPr>
                <w:rFonts w:ascii="Arial"/>
                <w:b/>
                <w:spacing w:val="-2"/>
                <w:sz w:val="18"/>
              </w:rPr>
              <w:t>Concepto</w:t>
            </w:r>
          </w:p>
        </w:tc>
      </w:tr>
      <w:tr>
        <w:trPr>
          <w:trHeight w:val="344" w:hRule="atLeast"/>
        </w:trPr>
        <w:tc>
          <w:tcPr>
            <w:tcW w:w="1785" w:type="dxa"/>
          </w:tcPr>
          <w:p>
            <w:pPr>
              <w:pStyle w:val="TableParagraph"/>
              <w:spacing w:before="11"/>
              <w:ind w:left="79"/>
              <w:rPr>
                <w:sz w:val="18"/>
              </w:rPr>
            </w:pPr>
            <w:r>
              <w:rPr>
                <w:spacing w:val="-2"/>
                <w:sz w:val="18"/>
              </w:rPr>
              <w:t>Importe</w:t>
            </w:r>
          </w:p>
        </w:tc>
        <w:tc>
          <w:tcPr>
            <w:tcW w:w="7515" w:type="dxa"/>
          </w:tcPr>
          <w:p>
            <w:pPr>
              <w:pStyle w:val="TableParagraph"/>
              <w:spacing w:before="11"/>
              <w:ind w:left="74"/>
              <w:rPr>
                <w:sz w:val="18"/>
              </w:rPr>
            </w:pPr>
            <w:r>
              <w:rPr>
                <w:sz w:val="18"/>
              </w:rPr>
              <w:t>Monto no reintegrado en el plazo </w:t>
            </w:r>
            <w:r>
              <w:rPr>
                <w:spacing w:val="-2"/>
                <w:sz w:val="18"/>
              </w:rPr>
              <w:t>establecido</w:t>
            </w:r>
          </w:p>
        </w:tc>
      </w:tr>
      <w:tr>
        <w:trPr>
          <w:trHeight w:val="554" w:hRule="atLeast"/>
        </w:trPr>
        <w:tc>
          <w:tcPr>
            <w:tcW w:w="1785" w:type="dxa"/>
          </w:tcPr>
          <w:p>
            <w:pPr>
              <w:pStyle w:val="TableParagraph"/>
              <w:spacing w:before="11"/>
              <w:ind w:left="79"/>
              <w:rPr>
                <w:sz w:val="18"/>
              </w:rPr>
            </w:pPr>
            <w:r>
              <w:rPr>
                <w:spacing w:val="-4"/>
                <w:sz w:val="18"/>
              </w:rPr>
              <w:t>Días</w:t>
            </w:r>
          </w:p>
        </w:tc>
        <w:tc>
          <w:tcPr>
            <w:tcW w:w="7515" w:type="dxa"/>
          </w:tcPr>
          <w:p>
            <w:pPr>
              <w:pStyle w:val="TableParagraph"/>
              <w:spacing w:line="242" w:lineRule="auto" w:before="11"/>
              <w:ind w:left="74"/>
              <w:rPr>
                <w:sz w:val="18"/>
              </w:rPr>
            </w:pPr>
            <w:r>
              <w:rPr>
                <w:sz w:val="18"/>
              </w:rPr>
              <w:t>Número de días naturales de atraso en reintegros contados a partir del día siguiente en que el plazo establecido venció</w:t>
            </w:r>
          </w:p>
        </w:tc>
      </w:tr>
      <w:tr>
        <w:trPr>
          <w:trHeight w:val="329" w:hRule="atLeast"/>
        </w:trPr>
        <w:tc>
          <w:tcPr>
            <w:tcW w:w="1785" w:type="dxa"/>
          </w:tcPr>
          <w:p>
            <w:pPr>
              <w:pStyle w:val="TableParagraph"/>
              <w:spacing w:before="11"/>
              <w:ind w:left="79"/>
              <w:rPr>
                <w:sz w:val="18"/>
              </w:rPr>
            </w:pPr>
            <w:r>
              <w:rPr>
                <w:spacing w:val="-4"/>
                <w:sz w:val="18"/>
              </w:rPr>
              <w:t>Tasa</w:t>
            </w:r>
          </w:p>
        </w:tc>
        <w:tc>
          <w:tcPr>
            <w:tcW w:w="7515" w:type="dxa"/>
          </w:tcPr>
          <w:p>
            <w:pPr>
              <w:pStyle w:val="TableParagraph"/>
              <w:spacing w:before="11"/>
              <w:ind w:left="74"/>
              <w:rPr>
                <w:sz w:val="18"/>
              </w:rPr>
            </w:pPr>
            <w:r>
              <w:rPr>
                <w:sz w:val="18"/>
              </w:rPr>
              <w:t>Tasa</w:t>
            </w:r>
            <w:r>
              <w:rPr>
                <w:spacing w:val="-2"/>
                <w:sz w:val="18"/>
              </w:rPr>
              <w:t> </w:t>
            </w:r>
            <w:r>
              <w:rPr>
                <w:sz w:val="18"/>
              </w:rPr>
              <w:t>establecida</w:t>
            </w:r>
            <w:r>
              <w:rPr>
                <w:spacing w:val="-1"/>
                <w:sz w:val="18"/>
              </w:rPr>
              <w:t> </w:t>
            </w:r>
            <w:r>
              <w:rPr>
                <w:sz w:val="18"/>
              </w:rPr>
              <w:t>en</w:t>
            </w:r>
            <w:r>
              <w:rPr>
                <w:spacing w:val="-2"/>
                <w:sz w:val="18"/>
              </w:rPr>
              <w:t> </w:t>
            </w:r>
            <w:r>
              <w:rPr>
                <w:sz w:val="18"/>
              </w:rPr>
              <w:t>la</w:t>
            </w:r>
            <w:r>
              <w:rPr>
                <w:spacing w:val="-1"/>
                <w:sz w:val="18"/>
              </w:rPr>
              <w:t> </w:t>
            </w:r>
            <w:r>
              <w:rPr>
                <w:sz w:val="18"/>
              </w:rPr>
              <w:t>Ley</w:t>
            </w:r>
            <w:r>
              <w:rPr>
                <w:spacing w:val="-2"/>
                <w:sz w:val="18"/>
              </w:rPr>
              <w:t> </w:t>
            </w:r>
            <w:r>
              <w:rPr>
                <w:sz w:val="18"/>
              </w:rPr>
              <w:t>de</w:t>
            </w:r>
            <w:r>
              <w:rPr>
                <w:spacing w:val="-1"/>
                <w:sz w:val="18"/>
              </w:rPr>
              <w:t> </w:t>
            </w:r>
            <w:r>
              <w:rPr>
                <w:sz w:val="18"/>
              </w:rPr>
              <w:t>Ingresos</w:t>
            </w:r>
            <w:r>
              <w:rPr>
                <w:spacing w:val="-1"/>
                <w:sz w:val="18"/>
              </w:rPr>
              <w:t> </w:t>
            </w:r>
            <w:r>
              <w:rPr>
                <w:sz w:val="18"/>
              </w:rPr>
              <w:t>de</w:t>
            </w:r>
            <w:r>
              <w:rPr>
                <w:spacing w:val="-2"/>
                <w:sz w:val="18"/>
              </w:rPr>
              <w:t> </w:t>
            </w:r>
            <w:r>
              <w:rPr>
                <w:sz w:val="18"/>
              </w:rPr>
              <w:t>la</w:t>
            </w:r>
            <w:r>
              <w:rPr>
                <w:spacing w:val="-1"/>
                <w:sz w:val="18"/>
              </w:rPr>
              <w:t> </w:t>
            </w:r>
            <w:r>
              <w:rPr>
                <w:sz w:val="18"/>
              </w:rPr>
              <w:t>Federación</w:t>
            </w:r>
            <w:r>
              <w:rPr>
                <w:spacing w:val="-2"/>
                <w:sz w:val="18"/>
              </w:rPr>
              <w:t> </w:t>
            </w:r>
            <w:r>
              <w:rPr>
                <w:sz w:val="18"/>
              </w:rPr>
              <w:t>para</w:t>
            </w:r>
            <w:r>
              <w:rPr>
                <w:spacing w:val="-1"/>
                <w:sz w:val="18"/>
              </w:rPr>
              <w:t> </w:t>
            </w:r>
            <w:r>
              <w:rPr>
                <w:sz w:val="18"/>
              </w:rPr>
              <w:t>el</w:t>
            </w:r>
            <w:r>
              <w:rPr>
                <w:spacing w:val="-2"/>
                <w:sz w:val="18"/>
              </w:rPr>
              <w:t> </w:t>
            </w:r>
            <w:r>
              <w:rPr>
                <w:sz w:val="18"/>
              </w:rPr>
              <w:t>ejercicio</w:t>
            </w:r>
            <w:r>
              <w:rPr>
                <w:spacing w:val="-1"/>
                <w:sz w:val="18"/>
              </w:rPr>
              <w:t> </w:t>
            </w:r>
            <w:r>
              <w:rPr>
                <w:sz w:val="18"/>
              </w:rPr>
              <w:t>fiscal</w:t>
            </w:r>
            <w:r>
              <w:rPr>
                <w:spacing w:val="-1"/>
                <w:sz w:val="18"/>
              </w:rPr>
              <w:t> </w:t>
            </w:r>
            <w:r>
              <w:rPr>
                <w:spacing w:val="-4"/>
                <w:sz w:val="18"/>
              </w:rPr>
              <w:t>2024</w:t>
            </w:r>
          </w:p>
        </w:tc>
      </w:tr>
    </w:tbl>
    <w:p>
      <w:pPr>
        <w:pStyle w:val="BodyText"/>
        <w:spacing w:line="242" w:lineRule="auto" w:before="0"/>
      </w:pPr>
      <w:r>
        <w:rPr/>
        <w:t>Nota: Para el ejercicio fiscal 2024 la tasa establecida en la Ley de Ingresos de la Federación se encuentra determinada en </w:t>
      </w:r>
      <w:r>
        <w:rPr/>
        <w:t>su artículo 8º fracción I y corresponde a 0.98% por ciento mensual sobre los saldos insolutos.</w:t>
      </w:r>
    </w:p>
    <w:p>
      <w:pPr>
        <w:pStyle w:val="BodyText"/>
        <w:spacing w:line="242" w:lineRule="auto" w:before="107"/>
      </w:pPr>
      <w:r>
        <w:rPr/>
        <w:t>Estas penas por atraso deberán estar indicadas en los instrumentos que se suscriban con los las/os beneficiaria/os y serán pagadas, conforme al procedimiento que establezca la Secretaría de Hacienda y Crédito Público por conducto de la TESOFE.</w:t>
      </w:r>
    </w:p>
    <w:p>
      <w:pPr>
        <w:pStyle w:val="Heading2"/>
        <w:numPr>
          <w:ilvl w:val="1"/>
          <w:numId w:val="2"/>
        </w:numPr>
        <w:tabs>
          <w:tab w:pos="752" w:val="left" w:leader="none"/>
        </w:tabs>
        <w:spacing w:line="240" w:lineRule="auto" w:before="107" w:after="0"/>
        <w:ind w:left="752" w:right="0" w:hanging="350"/>
        <w:jc w:val="left"/>
      </w:pPr>
      <w:r>
        <w:rPr/>
        <w:t>Derechos, obligaciones y causas de incumplimiento, suspensión, cancelación o reintegro de los </w:t>
      </w:r>
      <w:r>
        <w:rPr>
          <w:spacing w:val="-2"/>
        </w:rPr>
        <w:t>recursos.</w:t>
      </w:r>
    </w:p>
    <w:p>
      <w:pPr>
        <w:pStyle w:val="BodyText"/>
        <w:spacing w:line="242" w:lineRule="auto" w:before="93"/>
        <w:ind w:right="117"/>
      </w:pPr>
      <w:r>
        <w:rPr/>
        <w:t>Las Instancias ejecutoras del PAPPEMS, garantizarán el respeto a los derechos humanos y a la igualdad de género, así como la salvaguarda de los derechos civiles, políticos, económicos, sociales, culturales, lingüísticos y ambientales de las personas </w:t>
      </w:r>
      <w:r>
        <w:rPr/>
        <w:t>que integran la comunidad educativa de las instituciones de educación pública beneficiarias.</w:t>
      </w:r>
    </w:p>
    <w:p>
      <w:pPr>
        <w:pStyle w:val="Heading2"/>
        <w:spacing w:before="3"/>
      </w:pPr>
      <w:r>
        <w:rPr/>
        <w:t>Derechos aplicables a todos los planteles públicos de educación media superior </w:t>
      </w:r>
      <w:r>
        <w:rPr>
          <w:spacing w:val="-2"/>
        </w:rPr>
        <w:t>beneficiados;</w:t>
      </w:r>
    </w:p>
    <w:p>
      <w:pPr>
        <w:pStyle w:val="ListParagraph"/>
        <w:numPr>
          <w:ilvl w:val="0"/>
          <w:numId w:val="14"/>
        </w:numPr>
        <w:tabs>
          <w:tab w:pos="1182" w:val="left" w:leader="none"/>
          <w:tab w:pos="1316" w:val="left" w:leader="none"/>
        </w:tabs>
        <w:spacing w:line="235" w:lineRule="auto" w:before="126" w:after="0"/>
        <w:ind w:left="1182" w:right="118" w:hanging="360"/>
        <w:jc w:val="left"/>
        <w:rPr>
          <w:sz w:val="18"/>
        </w:rPr>
      </w:pPr>
      <w:r>
        <w:rPr>
          <w:rFonts w:ascii="Courier New" w:hAnsi="Courier New"/>
          <w:color w:val="2E2E2E"/>
          <w:sz w:val="20"/>
        </w:rPr>
        <w:tab/>
      </w:r>
      <w:r>
        <w:rPr>
          <w:sz w:val="18"/>
        </w:rPr>
        <w:t>Los</w:t>
      </w:r>
      <w:r>
        <w:rPr>
          <w:spacing w:val="34"/>
          <w:sz w:val="18"/>
        </w:rPr>
        <w:t> </w:t>
      </w:r>
      <w:r>
        <w:rPr>
          <w:sz w:val="18"/>
        </w:rPr>
        <w:t>planteles</w:t>
      </w:r>
      <w:r>
        <w:rPr>
          <w:spacing w:val="34"/>
          <w:sz w:val="18"/>
        </w:rPr>
        <w:t> </w:t>
      </w:r>
      <w:r>
        <w:rPr>
          <w:sz w:val="18"/>
        </w:rPr>
        <w:t>públicos</w:t>
      </w:r>
      <w:r>
        <w:rPr>
          <w:spacing w:val="34"/>
          <w:sz w:val="18"/>
        </w:rPr>
        <w:t> </w:t>
      </w:r>
      <w:r>
        <w:rPr>
          <w:sz w:val="18"/>
        </w:rPr>
        <w:t>de</w:t>
      </w:r>
      <w:r>
        <w:rPr>
          <w:spacing w:val="34"/>
          <w:sz w:val="18"/>
        </w:rPr>
        <w:t> </w:t>
      </w:r>
      <w:r>
        <w:rPr>
          <w:sz w:val="18"/>
        </w:rPr>
        <w:t>educación</w:t>
      </w:r>
      <w:r>
        <w:rPr>
          <w:spacing w:val="34"/>
          <w:sz w:val="18"/>
        </w:rPr>
        <w:t> </w:t>
      </w:r>
      <w:r>
        <w:rPr>
          <w:sz w:val="18"/>
        </w:rPr>
        <w:t>media</w:t>
      </w:r>
      <w:r>
        <w:rPr>
          <w:spacing w:val="34"/>
          <w:sz w:val="18"/>
        </w:rPr>
        <w:t> </w:t>
      </w:r>
      <w:r>
        <w:rPr>
          <w:sz w:val="18"/>
        </w:rPr>
        <w:t>superior,</w:t>
      </w:r>
      <w:r>
        <w:rPr>
          <w:spacing w:val="34"/>
          <w:sz w:val="18"/>
        </w:rPr>
        <w:t> </w:t>
      </w:r>
      <w:r>
        <w:rPr>
          <w:sz w:val="18"/>
        </w:rPr>
        <w:t>tienen</w:t>
      </w:r>
      <w:r>
        <w:rPr>
          <w:spacing w:val="34"/>
          <w:sz w:val="18"/>
        </w:rPr>
        <w:t> </w:t>
      </w:r>
      <w:r>
        <w:rPr>
          <w:sz w:val="18"/>
        </w:rPr>
        <w:t>el</w:t>
      </w:r>
      <w:r>
        <w:rPr>
          <w:spacing w:val="34"/>
          <w:sz w:val="18"/>
        </w:rPr>
        <w:t> </w:t>
      </w:r>
      <w:r>
        <w:rPr>
          <w:sz w:val="18"/>
        </w:rPr>
        <w:t>derecho</w:t>
      </w:r>
      <w:r>
        <w:rPr>
          <w:spacing w:val="34"/>
          <w:sz w:val="18"/>
        </w:rPr>
        <w:t> </w:t>
      </w:r>
      <w:r>
        <w:rPr>
          <w:sz w:val="18"/>
        </w:rPr>
        <w:t>de</w:t>
      </w:r>
      <w:r>
        <w:rPr>
          <w:spacing w:val="34"/>
          <w:sz w:val="18"/>
        </w:rPr>
        <w:t> </w:t>
      </w:r>
      <w:r>
        <w:rPr>
          <w:sz w:val="18"/>
        </w:rPr>
        <w:t>ser</w:t>
      </w:r>
      <w:r>
        <w:rPr>
          <w:spacing w:val="34"/>
          <w:sz w:val="18"/>
        </w:rPr>
        <w:t> </w:t>
      </w:r>
      <w:r>
        <w:rPr>
          <w:sz w:val="18"/>
        </w:rPr>
        <w:t>seleccionado</w:t>
      </w:r>
      <w:r>
        <w:rPr>
          <w:spacing w:val="34"/>
          <w:sz w:val="18"/>
        </w:rPr>
        <w:t> </w:t>
      </w:r>
      <w:r>
        <w:rPr>
          <w:sz w:val="18"/>
        </w:rPr>
        <w:t>y</w:t>
      </w:r>
      <w:r>
        <w:rPr>
          <w:spacing w:val="35"/>
          <w:sz w:val="18"/>
        </w:rPr>
        <w:t> </w:t>
      </w:r>
      <w:r>
        <w:rPr>
          <w:sz w:val="18"/>
        </w:rPr>
        <w:t>beneficiario</w:t>
      </w:r>
      <w:r>
        <w:rPr>
          <w:spacing w:val="34"/>
          <w:sz w:val="18"/>
        </w:rPr>
        <w:t> </w:t>
      </w:r>
      <w:r>
        <w:rPr>
          <w:sz w:val="18"/>
        </w:rPr>
        <w:t>del </w:t>
      </w:r>
      <w:r>
        <w:rPr>
          <w:spacing w:val="-2"/>
          <w:sz w:val="18"/>
        </w:rPr>
        <w:t>PAPPEMS.</w:t>
      </w:r>
    </w:p>
    <w:p>
      <w:pPr>
        <w:pStyle w:val="ListParagraph"/>
        <w:numPr>
          <w:ilvl w:val="0"/>
          <w:numId w:val="14"/>
        </w:numPr>
        <w:tabs>
          <w:tab w:pos="1182" w:val="left" w:leader="none"/>
          <w:tab w:pos="1215" w:val="left" w:leader="none"/>
        </w:tabs>
        <w:spacing w:line="235" w:lineRule="auto" w:before="128" w:after="0"/>
        <w:ind w:left="1182" w:right="118" w:hanging="360"/>
        <w:jc w:val="left"/>
        <w:rPr>
          <w:sz w:val="18"/>
        </w:rPr>
      </w:pPr>
      <w:r>
        <w:rPr>
          <w:color w:val="2E2E2E"/>
          <w:sz w:val="18"/>
        </w:rPr>
        <w:tab/>
      </w:r>
      <w:r>
        <w:rPr>
          <w:sz w:val="18"/>
        </w:rPr>
        <w:t>Los planteles públicos beneficiarios recibirán los apoyos económicos de acuerdo con la suficiencia presupuestaria, salvo que por causas de incumplimiento los mismos le hayan sido suspendidos o cancelados;</w:t>
      </w:r>
    </w:p>
    <w:p>
      <w:pPr>
        <w:pStyle w:val="ListParagraph"/>
        <w:numPr>
          <w:ilvl w:val="0"/>
          <w:numId w:val="14"/>
        </w:numPr>
        <w:tabs>
          <w:tab w:pos="1169" w:val="left" w:leader="none"/>
          <w:tab w:pos="1182" w:val="left" w:leader="none"/>
        </w:tabs>
        <w:spacing w:line="235" w:lineRule="auto" w:before="127" w:after="0"/>
        <w:ind w:left="1182" w:right="118" w:hanging="360"/>
        <w:jc w:val="left"/>
        <w:rPr>
          <w:sz w:val="18"/>
        </w:rPr>
      </w:pPr>
      <w:r>
        <w:rPr>
          <w:sz w:val="18"/>
        </w:rPr>
        <w:t>Recibir</w:t>
      </w:r>
      <w:r>
        <w:rPr>
          <w:spacing w:val="-1"/>
          <w:sz w:val="18"/>
        </w:rPr>
        <w:t> </w:t>
      </w:r>
      <w:r>
        <w:rPr>
          <w:sz w:val="18"/>
        </w:rPr>
        <w:t>los</w:t>
      </w:r>
      <w:r>
        <w:rPr>
          <w:spacing w:val="-1"/>
          <w:sz w:val="18"/>
        </w:rPr>
        <w:t> </w:t>
      </w:r>
      <w:r>
        <w:rPr>
          <w:sz w:val="18"/>
        </w:rPr>
        <w:t>apoyos</w:t>
      </w:r>
      <w:r>
        <w:rPr>
          <w:spacing w:val="-1"/>
          <w:sz w:val="18"/>
        </w:rPr>
        <w:t> </w:t>
      </w:r>
      <w:r>
        <w:rPr>
          <w:sz w:val="18"/>
        </w:rPr>
        <w:t>conforme</w:t>
      </w:r>
      <w:r>
        <w:rPr>
          <w:spacing w:val="-1"/>
          <w:sz w:val="18"/>
        </w:rPr>
        <w:t> </w:t>
      </w:r>
      <w:r>
        <w:rPr>
          <w:sz w:val="18"/>
        </w:rPr>
        <w:t>a</w:t>
      </w:r>
      <w:r>
        <w:rPr>
          <w:spacing w:val="-1"/>
          <w:sz w:val="18"/>
        </w:rPr>
        <w:t> </w:t>
      </w:r>
      <w:r>
        <w:rPr>
          <w:sz w:val="18"/>
        </w:rPr>
        <w:t>lo</w:t>
      </w:r>
      <w:r>
        <w:rPr>
          <w:spacing w:val="-1"/>
          <w:sz w:val="18"/>
        </w:rPr>
        <w:t> </w:t>
      </w:r>
      <w:r>
        <w:rPr>
          <w:sz w:val="18"/>
        </w:rPr>
        <w:t>establecido</w:t>
      </w:r>
      <w:r>
        <w:rPr>
          <w:spacing w:val="-1"/>
          <w:sz w:val="18"/>
        </w:rPr>
        <w:t> </w:t>
      </w:r>
      <w:r>
        <w:rPr>
          <w:sz w:val="18"/>
        </w:rPr>
        <w:t>en</w:t>
      </w:r>
      <w:r>
        <w:rPr>
          <w:spacing w:val="-1"/>
          <w:sz w:val="18"/>
        </w:rPr>
        <w:t> </w:t>
      </w:r>
      <w:r>
        <w:rPr>
          <w:sz w:val="18"/>
        </w:rPr>
        <w:t>el</w:t>
      </w:r>
      <w:r>
        <w:rPr>
          <w:spacing w:val="-1"/>
          <w:sz w:val="18"/>
        </w:rPr>
        <w:t> </w:t>
      </w:r>
      <w:r>
        <w:rPr>
          <w:sz w:val="18"/>
        </w:rPr>
        <w:t>apartado</w:t>
      </w:r>
      <w:r>
        <w:rPr>
          <w:spacing w:val="-1"/>
          <w:sz w:val="18"/>
        </w:rPr>
        <w:t> </w:t>
      </w:r>
      <w:r>
        <w:rPr>
          <w:sz w:val="18"/>
        </w:rPr>
        <w:t>3.4.</w:t>
      </w:r>
      <w:r>
        <w:rPr>
          <w:spacing w:val="-1"/>
          <w:sz w:val="18"/>
        </w:rPr>
        <w:t> </w:t>
      </w:r>
      <w:r>
        <w:rPr>
          <w:sz w:val="18"/>
        </w:rPr>
        <w:t>"Características</w:t>
      </w:r>
      <w:r>
        <w:rPr>
          <w:spacing w:val="-1"/>
          <w:sz w:val="18"/>
        </w:rPr>
        <w:t> </w:t>
      </w:r>
      <w:r>
        <w:rPr>
          <w:sz w:val="18"/>
        </w:rPr>
        <w:t>de</w:t>
      </w:r>
      <w:r>
        <w:rPr>
          <w:spacing w:val="-1"/>
          <w:sz w:val="18"/>
        </w:rPr>
        <w:t> </w:t>
      </w:r>
      <w:r>
        <w:rPr>
          <w:sz w:val="18"/>
        </w:rPr>
        <w:t>los</w:t>
      </w:r>
      <w:r>
        <w:rPr>
          <w:spacing w:val="-1"/>
          <w:sz w:val="18"/>
        </w:rPr>
        <w:t> </w:t>
      </w:r>
      <w:r>
        <w:rPr>
          <w:sz w:val="18"/>
        </w:rPr>
        <w:t>apoyos</w:t>
      </w:r>
      <w:r>
        <w:rPr>
          <w:spacing w:val="-1"/>
          <w:sz w:val="18"/>
        </w:rPr>
        <w:t> </w:t>
      </w:r>
      <w:r>
        <w:rPr>
          <w:sz w:val="18"/>
        </w:rPr>
        <w:t>(tipo</w:t>
      </w:r>
      <w:r>
        <w:rPr>
          <w:spacing w:val="-1"/>
          <w:sz w:val="18"/>
        </w:rPr>
        <w:t> </w:t>
      </w:r>
      <w:r>
        <w:rPr>
          <w:sz w:val="18"/>
        </w:rPr>
        <w:t>y</w:t>
      </w:r>
      <w:r>
        <w:rPr>
          <w:spacing w:val="-1"/>
          <w:sz w:val="18"/>
        </w:rPr>
        <w:t> </w:t>
      </w:r>
      <w:r>
        <w:rPr>
          <w:sz w:val="18"/>
        </w:rPr>
        <w:t>monto)"</w:t>
      </w:r>
      <w:r>
        <w:rPr>
          <w:spacing w:val="-1"/>
          <w:sz w:val="18"/>
        </w:rPr>
        <w:t> </w:t>
      </w:r>
      <w:r>
        <w:rPr>
          <w:sz w:val="18"/>
        </w:rPr>
        <w:t>de</w:t>
      </w:r>
      <w:r>
        <w:rPr>
          <w:spacing w:val="-1"/>
          <w:sz w:val="18"/>
        </w:rPr>
        <w:t> </w:t>
      </w:r>
      <w:r>
        <w:rPr>
          <w:sz w:val="18"/>
        </w:rPr>
        <w:t>las presentes RO;</w:t>
      </w:r>
    </w:p>
    <w:p>
      <w:pPr>
        <w:pStyle w:val="ListParagraph"/>
        <w:numPr>
          <w:ilvl w:val="0"/>
          <w:numId w:val="14"/>
        </w:numPr>
        <w:tabs>
          <w:tab w:pos="1178" w:val="left" w:leader="none"/>
          <w:tab w:pos="1182" w:val="left" w:leader="none"/>
        </w:tabs>
        <w:spacing w:line="235" w:lineRule="auto" w:before="113" w:after="0"/>
        <w:ind w:left="1182" w:right="118" w:hanging="360"/>
        <w:jc w:val="left"/>
        <w:rPr>
          <w:sz w:val="18"/>
        </w:rPr>
      </w:pPr>
      <w:r>
        <w:rPr>
          <w:sz w:val="18"/>
        </w:rPr>
        <w:t>Recibir de las Instancias normativas del PAPPEMS asesoría y apoyo sobre la operación del mismo, sin costo y en el marco de sus atribuciones;</w:t>
      </w:r>
    </w:p>
    <w:p>
      <w:pPr>
        <w:pStyle w:val="ListParagraph"/>
        <w:numPr>
          <w:ilvl w:val="0"/>
          <w:numId w:val="14"/>
        </w:numPr>
        <w:tabs>
          <w:tab w:pos="1182" w:val="left" w:leader="none"/>
          <w:tab w:pos="1240" w:val="left" w:leader="none"/>
        </w:tabs>
        <w:spacing w:line="235" w:lineRule="auto" w:before="128" w:after="0"/>
        <w:ind w:left="1182" w:right="118" w:hanging="360"/>
        <w:jc w:val="left"/>
        <w:rPr>
          <w:sz w:val="18"/>
        </w:rPr>
      </w:pPr>
      <w:r>
        <w:rPr>
          <w:color w:val="2E2E2E"/>
          <w:sz w:val="18"/>
        </w:rPr>
        <w:tab/>
      </w:r>
      <w:r>
        <w:rPr>
          <w:sz w:val="18"/>
        </w:rPr>
        <w:t>Tener acceso a la información necesaria, de manera clara y oportuna, por los medios oficiales, para resolver </w:t>
      </w:r>
      <w:r>
        <w:rPr>
          <w:sz w:val="18"/>
        </w:rPr>
        <w:t>sus</w:t>
      </w:r>
      <w:r>
        <w:rPr>
          <w:spacing w:val="80"/>
          <w:sz w:val="18"/>
        </w:rPr>
        <w:t> </w:t>
      </w:r>
      <w:r>
        <w:rPr>
          <w:sz w:val="18"/>
        </w:rPr>
        <w:t>dudas respecto de los apoyos del PAPPEMS;</w:t>
      </w:r>
    </w:p>
    <w:p>
      <w:pPr>
        <w:pStyle w:val="ListParagraph"/>
        <w:numPr>
          <w:ilvl w:val="0"/>
          <w:numId w:val="14"/>
        </w:numPr>
        <w:tabs>
          <w:tab w:pos="1182" w:val="left" w:leader="none"/>
          <w:tab w:pos="1362" w:val="left" w:leader="none"/>
        </w:tabs>
        <w:spacing w:line="235" w:lineRule="auto" w:before="128" w:after="0"/>
        <w:ind w:left="1182" w:right="118" w:hanging="360"/>
        <w:jc w:val="left"/>
        <w:rPr>
          <w:sz w:val="18"/>
        </w:rPr>
      </w:pPr>
      <w:r>
        <w:rPr>
          <w:rFonts w:ascii="Courier New" w:hAnsi="Courier New"/>
          <w:color w:val="2E2E2E"/>
          <w:sz w:val="20"/>
        </w:rPr>
        <w:tab/>
      </w:r>
      <w:r>
        <w:rPr>
          <w:sz w:val="18"/>
        </w:rPr>
        <w:t>Recibir</w:t>
      </w:r>
      <w:r>
        <w:rPr>
          <w:spacing w:val="40"/>
          <w:sz w:val="18"/>
        </w:rPr>
        <w:t> </w:t>
      </w:r>
      <w:r>
        <w:rPr>
          <w:sz w:val="18"/>
        </w:rPr>
        <w:t>el</w:t>
      </w:r>
      <w:r>
        <w:rPr>
          <w:spacing w:val="40"/>
          <w:sz w:val="18"/>
        </w:rPr>
        <w:t> </w:t>
      </w:r>
      <w:r>
        <w:rPr>
          <w:sz w:val="18"/>
        </w:rPr>
        <w:t>comunicado</w:t>
      </w:r>
      <w:r>
        <w:rPr>
          <w:spacing w:val="40"/>
          <w:sz w:val="18"/>
        </w:rPr>
        <w:t> </w:t>
      </w:r>
      <w:r>
        <w:rPr>
          <w:sz w:val="18"/>
        </w:rPr>
        <w:t>por</w:t>
      </w:r>
      <w:r>
        <w:rPr>
          <w:spacing w:val="40"/>
          <w:sz w:val="18"/>
        </w:rPr>
        <w:t> </w:t>
      </w:r>
      <w:r>
        <w:rPr>
          <w:sz w:val="18"/>
        </w:rPr>
        <w:t>parte</w:t>
      </w:r>
      <w:r>
        <w:rPr>
          <w:spacing w:val="40"/>
          <w:sz w:val="18"/>
        </w:rPr>
        <w:t> </w:t>
      </w:r>
      <w:r>
        <w:rPr>
          <w:sz w:val="18"/>
        </w:rPr>
        <w:t>de</w:t>
      </w:r>
      <w:r>
        <w:rPr>
          <w:spacing w:val="40"/>
          <w:sz w:val="18"/>
        </w:rPr>
        <w:t> </w:t>
      </w:r>
      <w:r>
        <w:rPr>
          <w:sz w:val="18"/>
        </w:rPr>
        <w:t>las</w:t>
      </w:r>
      <w:r>
        <w:rPr>
          <w:spacing w:val="40"/>
          <w:sz w:val="18"/>
        </w:rPr>
        <w:t> </w:t>
      </w:r>
      <w:r>
        <w:rPr>
          <w:sz w:val="18"/>
        </w:rPr>
        <w:t>Instancias</w:t>
      </w:r>
      <w:r>
        <w:rPr>
          <w:spacing w:val="40"/>
          <w:sz w:val="18"/>
        </w:rPr>
        <w:t> </w:t>
      </w:r>
      <w:r>
        <w:rPr>
          <w:sz w:val="18"/>
        </w:rPr>
        <w:t>normativas</w:t>
      </w:r>
      <w:r>
        <w:rPr>
          <w:spacing w:val="40"/>
          <w:sz w:val="18"/>
        </w:rPr>
        <w:t> </w:t>
      </w:r>
      <w:r>
        <w:rPr>
          <w:sz w:val="18"/>
        </w:rPr>
        <w:t>sobre</w:t>
      </w:r>
      <w:r>
        <w:rPr>
          <w:spacing w:val="40"/>
          <w:sz w:val="18"/>
        </w:rPr>
        <w:t> </w:t>
      </w:r>
      <w:r>
        <w:rPr>
          <w:sz w:val="18"/>
        </w:rPr>
        <w:t>la</w:t>
      </w:r>
      <w:r>
        <w:rPr>
          <w:spacing w:val="40"/>
          <w:sz w:val="18"/>
        </w:rPr>
        <w:t> </w:t>
      </w:r>
      <w:r>
        <w:rPr>
          <w:sz w:val="18"/>
        </w:rPr>
        <w:t>asignación</w:t>
      </w:r>
      <w:r>
        <w:rPr>
          <w:spacing w:val="40"/>
          <w:sz w:val="18"/>
        </w:rPr>
        <w:t> </w:t>
      </w:r>
      <w:r>
        <w:rPr>
          <w:sz w:val="18"/>
        </w:rPr>
        <w:t>del</w:t>
      </w:r>
      <w:r>
        <w:rPr>
          <w:spacing w:val="40"/>
          <w:sz w:val="18"/>
        </w:rPr>
        <w:t> </w:t>
      </w:r>
      <w:r>
        <w:rPr>
          <w:sz w:val="18"/>
        </w:rPr>
        <w:t>apoyo,</w:t>
      </w:r>
      <w:r>
        <w:rPr>
          <w:spacing w:val="40"/>
          <w:sz w:val="18"/>
        </w:rPr>
        <w:t> </w:t>
      </w:r>
      <w:r>
        <w:rPr>
          <w:sz w:val="18"/>
        </w:rPr>
        <w:t>por</w:t>
      </w:r>
      <w:r>
        <w:rPr>
          <w:spacing w:val="40"/>
          <w:sz w:val="18"/>
        </w:rPr>
        <w:t> </w:t>
      </w:r>
      <w:r>
        <w:rPr>
          <w:sz w:val="18"/>
        </w:rPr>
        <w:t>el</w:t>
      </w:r>
      <w:r>
        <w:rPr>
          <w:spacing w:val="40"/>
          <w:sz w:val="18"/>
        </w:rPr>
        <w:t> </w:t>
      </w:r>
      <w:r>
        <w:rPr>
          <w:sz w:val="18"/>
        </w:rPr>
        <w:t>medio correspondiente, en los términos establecidos en las presentes RO;</w:t>
      </w:r>
    </w:p>
    <w:p>
      <w:pPr>
        <w:pStyle w:val="ListParagraph"/>
        <w:numPr>
          <w:ilvl w:val="0"/>
          <w:numId w:val="14"/>
        </w:numPr>
        <w:tabs>
          <w:tab w:pos="1182" w:val="left" w:leader="none"/>
          <w:tab w:pos="1284" w:val="left" w:leader="none"/>
        </w:tabs>
        <w:spacing w:line="235" w:lineRule="auto" w:before="113" w:after="0"/>
        <w:ind w:left="1182" w:right="118" w:hanging="360"/>
        <w:jc w:val="left"/>
        <w:rPr>
          <w:sz w:val="18"/>
        </w:rPr>
      </w:pPr>
      <w:r>
        <w:rPr>
          <w:rFonts w:ascii="Courier New" w:hAnsi="Courier New"/>
          <w:color w:val="2E2E2E"/>
          <w:sz w:val="20"/>
        </w:rPr>
        <w:tab/>
      </w:r>
      <w:r>
        <w:rPr>
          <w:sz w:val="18"/>
        </w:rPr>
        <w:t>Tener</w:t>
      </w:r>
      <w:r>
        <w:rPr>
          <w:spacing w:val="26"/>
          <w:sz w:val="18"/>
        </w:rPr>
        <w:t> </w:t>
      </w:r>
      <w:r>
        <w:rPr>
          <w:sz w:val="18"/>
        </w:rPr>
        <w:t>la</w:t>
      </w:r>
      <w:r>
        <w:rPr>
          <w:spacing w:val="26"/>
          <w:sz w:val="18"/>
        </w:rPr>
        <w:t> </w:t>
      </w:r>
      <w:r>
        <w:rPr>
          <w:sz w:val="18"/>
        </w:rPr>
        <w:t>reserva</w:t>
      </w:r>
      <w:r>
        <w:rPr>
          <w:spacing w:val="26"/>
          <w:sz w:val="18"/>
        </w:rPr>
        <w:t> </w:t>
      </w:r>
      <w:r>
        <w:rPr>
          <w:sz w:val="18"/>
        </w:rPr>
        <w:t>y</w:t>
      </w:r>
      <w:r>
        <w:rPr>
          <w:spacing w:val="26"/>
          <w:sz w:val="18"/>
        </w:rPr>
        <w:t> </w:t>
      </w:r>
      <w:r>
        <w:rPr>
          <w:sz w:val="18"/>
        </w:rPr>
        <w:t>privacidad</w:t>
      </w:r>
      <w:r>
        <w:rPr>
          <w:spacing w:val="26"/>
          <w:sz w:val="18"/>
        </w:rPr>
        <w:t> </w:t>
      </w:r>
      <w:r>
        <w:rPr>
          <w:sz w:val="18"/>
        </w:rPr>
        <w:t>de</w:t>
      </w:r>
      <w:r>
        <w:rPr>
          <w:spacing w:val="26"/>
          <w:sz w:val="18"/>
        </w:rPr>
        <w:t> </w:t>
      </w:r>
      <w:r>
        <w:rPr>
          <w:sz w:val="18"/>
        </w:rPr>
        <w:t>sus</w:t>
      </w:r>
      <w:r>
        <w:rPr>
          <w:spacing w:val="26"/>
          <w:sz w:val="18"/>
        </w:rPr>
        <w:t> </w:t>
      </w:r>
      <w:r>
        <w:rPr>
          <w:sz w:val="18"/>
        </w:rPr>
        <w:t>datos</w:t>
      </w:r>
      <w:r>
        <w:rPr>
          <w:spacing w:val="26"/>
          <w:sz w:val="18"/>
        </w:rPr>
        <w:t> </w:t>
      </w:r>
      <w:r>
        <w:rPr>
          <w:sz w:val="18"/>
        </w:rPr>
        <w:t>personales,</w:t>
      </w:r>
      <w:r>
        <w:rPr>
          <w:spacing w:val="26"/>
          <w:sz w:val="18"/>
        </w:rPr>
        <w:t> </w:t>
      </w:r>
      <w:r>
        <w:rPr>
          <w:sz w:val="18"/>
        </w:rPr>
        <w:t>en</w:t>
      </w:r>
      <w:r>
        <w:rPr>
          <w:spacing w:val="26"/>
          <w:sz w:val="18"/>
        </w:rPr>
        <w:t> </w:t>
      </w:r>
      <w:r>
        <w:rPr>
          <w:sz w:val="18"/>
        </w:rPr>
        <w:t>los</w:t>
      </w:r>
      <w:r>
        <w:rPr>
          <w:spacing w:val="26"/>
          <w:sz w:val="18"/>
        </w:rPr>
        <w:t> </w:t>
      </w:r>
      <w:r>
        <w:rPr>
          <w:sz w:val="18"/>
        </w:rPr>
        <w:t>términos</w:t>
      </w:r>
      <w:r>
        <w:rPr>
          <w:spacing w:val="26"/>
          <w:sz w:val="18"/>
        </w:rPr>
        <w:t> </w:t>
      </w:r>
      <w:r>
        <w:rPr>
          <w:sz w:val="18"/>
        </w:rPr>
        <w:t>de</w:t>
      </w:r>
      <w:r>
        <w:rPr>
          <w:spacing w:val="26"/>
          <w:sz w:val="18"/>
        </w:rPr>
        <w:t> </w:t>
      </w:r>
      <w:r>
        <w:rPr>
          <w:sz w:val="18"/>
        </w:rPr>
        <w:t>lo</w:t>
      </w:r>
      <w:r>
        <w:rPr>
          <w:spacing w:val="26"/>
          <w:sz w:val="18"/>
        </w:rPr>
        <w:t> </w:t>
      </w:r>
      <w:r>
        <w:rPr>
          <w:sz w:val="18"/>
        </w:rPr>
        <w:t>establecido</w:t>
      </w:r>
      <w:r>
        <w:rPr>
          <w:spacing w:val="26"/>
          <w:sz w:val="18"/>
        </w:rPr>
        <w:t> </w:t>
      </w:r>
      <w:r>
        <w:rPr>
          <w:sz w:val="18"/>
        </w:rPr>
        <w:t>en</w:t>
      </w:r>
      <w:r>
        <w:rPr>
          <w:spacing w:val="27"/>
          <w:sz w:val="18"/>
        </w:rPr>
        <w:t> </w:t>
      </w:r>
      <w:r>
        <w:rPr>
          <w:sz w:val="18"/>
        </w:rPr>
        <w:t>normativa</w:t>
      </w:r>
      <w:r>
        <w:rPr>
          <w:spacing w:val="26"/>
          <w:sz w:val="18"/>
        </w:rPr>
        <w:t> </w:t>
      </w:r>
      <w:r>
        <w:rPr>
          <w:sz w:val="18"/>
        </w:rPr>
        <w:t>jurídica aplicable en la materia;</w:t>
      </w:r>
    </w:p>
    <w:p>
      <w:pPr>
        <w:pStyle w:val="ListParagraph"/>
        <w:numPr>
          <w:ilvl w:val="0"/>
          <w:numId w:val="14"/>
        </w:numPr>
        <w:tabs>
          <w:tab w:pos="1182" w:val="left" w:leader="none"/>
          <w:tab w:pos="1326" w:val="left" w:leader="none"/>
        </w:tabs>
        <w:spacing w:line="235" w:lineRule="auto" w:before="127" w:after="0"/>
        <w:ind w:left="1182" w:right="118" w:hanging="360"/>
        <w:jc w:val="left"/>
        <w:rPr>
          <w:sz w:val="18"/>
        </w:rPr>
      </w:pPr>
      <w:r>
        <w:rPr>
          <w:rFonts w:ascii="Courier New" w:hAnsi="Courier New"/>
          <w:color w:val="2E2E2E"/>
          <w:sz w:val="20"/>
        </w:rPr>
        <w:tab/>
      </w:r>
      <w:r>
        <w:rPr>
          <w:sz w:val="18"/>
        </w:rPr>
        <w:t>Presentar</w:t>
      </w:r>
      <w:r>
        <w:rPr>
          <w:spacing w:val="37"/>
          <w:sz w:val="18"/>
        </w:rPr>
        <w:t> </w:t>
      </w:r>
      <w:r>
        <w:rPr>
          <w:sz w:val="18"/>
        </w:rPr>
        <w:t>cualquier</w:t>
      </w:r>
      <w:r>
        <w:rPr>
          <w:spacing w:val="37"/>
          <w:sz w:val="18"/>
        </w:rPr>
        <w:t> </w:t>
      </w:r>
      <w:r>
        <w:rPr>
          <w:sz w:val="18"/>
        </w:rPr>
        <w:t>tipo</w:t>
      </w:r>
      <w:r>
        <w:rPr>
          <w:spacing w:val="37"/>
          <w:sz w:val="18"/>
        </w:rPr>
        <w:t> </w:t>
      </w:r>
      <w:r>
        <w:rPr>
          <w:sz w:val="18"/>
        </w:rPr>
        <w:t>de</w:t>
      </w:r>
      <w:r>
        <w:rPr>
          <w:spacing w:val="37"/>
          <w:sz w:val="18"/>
        </w:rPr>
        <w:t> </w:t>
      </w:r>
      <w:r>
        <w:rPr>
          <w:sz w:val="18"/>
        </w:rPr>
        <w:t>denuncia,</w:t>
      </w:r>
      <w:r>
        <w:rPr>
          <w:spacing w:val="37"/>
          <w:sz w:val="18"/>
        </w:rPr>
        <w:t> </w:t>
      </w:r>
      <w:r>
        <w:rPr>
          <w:sz w:val="18"/>
        </w:rPr>
        <w:t>queja</w:t>
      </w:r>
      <w:r>
        <w:rPr>
          <w:spacing w:val="37"/>
          <w:sz w:val="18"/>
        </w:rPr>
        <w:t> </w:t>
      </w:r>
      <w:r>
        <w:rPr>
          <w:sz w:val="18"/>
        </w:rPr>
        <w:t>o</w:t>
      </w:r>
      <w:r>
        <w:rPr>
          <w:spacing w:val="37"/>
          <w:sz w:val="18"/>
        </w:rPr>
        <w:t> </w:t>
      </w:r>
      <w:r>
        <w:rPr>
          <w:sz w:val="18"/>
        </w:rPr>
        <w:t>sugerencia</w:t>
      </w:r>
      <w:r>
        <w:rPr>
          <w:spacing w:val="37"/>
          <w:sz w:val="18"/>
        </w:rPr>
        <w:t> </w:t>
      </w:r>
      <w:r>
        <w:rPr>
          <w:sz w:val="18"/>
        </w:rPr>
        <w:t>cuando</w:t>
      </w:r>
      <w:r>
        <w:rPr>
          <w:spacing w:val="37"/>
          <w:sz w:val="18"/>
        </w:rPr>
        <w:t> </w:t>
      </w:r>
      <w:r>
        <w:rPr>
          <w:sz w:val="18"/>
        </w:rPr>
        <w:t>considere</w:t>
      </w:r>
      <w:r>
        <w:rPr>
          <w:spacing w:val="37"/>
          <w:sz w:val="18"/>
        </w:rPr>
        <w:t> </w:t>
      </w:r>
      <w:r>
        <w:rPr>
          <w:sz w:val="18"/>
        </w:rPr>
        <w:t>haber</w:t>
      </w:r>
      <w:r>
        <w:rPr>
          <w:spacing w:val="37"/>
          <w:sz w:val="18"/>
        </w:rPr>
        <w:t> </w:t>
      </w:r>
      <w:r>
        <w:rPr>
          <w:sz w:val="18"/>
        </w:rPr>
        <w:t>sido</w:t>
      </w:r>
      <w:r>
        <w:rPr>
          <w:spacing w:val="37"/>
          <w:sz w:val="18"/>
        </w:rPr>
        <w:t> </w:t>
      </w:r>
      <w:r>
        <w:rPr>
          <w:sz w:val="18"/>
        </w:rPr>
        <w:t>objeto</w:t>
      </w:r>
      <w:r>
        <w:rPr>
          <w:spacing w:val="37"/>
          <w:sz w:val="18"/>
        </w:rPr>
        <w:t> </w:t>
      </w:r>
      <w:r>
        <w:rPr>
          <w:sz w:val="18"/>
        </w:rPr>
        <w:t>de</w:t>
      </w:r>
      <w:r>
        <w:rPr>
          <w:spacing w:val="37"/>
          <w:sz w:val="18"/>
        </w:rPr>
        <w:t> </w:t>
      </w:r>
      <w:r>
        <w:rPr>
          <w:sz w:val="18"/>
        </w:rPr>
        <w:t>algún</w:t>
      </w:r>
      <w:r>
        <w:rPr>
          <w:spacing w:val="37"/>
          <w:sz w:val="18"/>
        </w:rPr>
        <w:t> </w:t>
      </w:r>
      <w:r>
        <w:rPr>
          <w:sz w:val="18"/>
        </w:rPr>
        <w:t>trato discriminatorio o de mala atención por parte de las/os servidores públicos durante el proceso para obtener el apoyo;</w:t>
      </w:r>
    </w:p>
    <w:p>
      <w:pPr>
        <w:pStyle w:val="ListParagraph"/>
        <w:numPr>
          <w:ilvl w:val="0"/>
          <w:numId w:val="14"/>
        </w:numPr>
        <w:tabs>
          <w:tab w:pos="1182" w:val="left" w:leader="none"/>
          <w:tab w:pos="1190" w:val="left" w:leader="none"/>
        </w:tabs>
        <w:spacing w:line="235" w:lineRule="auto" w:before="128" w:after="0"/>
        <w:ind w:left="1182" w:right="118" w:hanging="360"/>
        <w:jc w:val="left"/>
        <w:rPr>
          <w:sz w:val="18"/>
        </w:rPr>
      </w:pPr>
      <w:r>
        <w:rPr>
          <w:color w:val="2E2E2E"/>
          <w:sz w:val="18"/>
        </w:rPr>
        <w:tab/>
      </w:r>
      <w:r>
        <w:rPr>
          <w:sz w:val="18"/>
        </w:rPr>
        <w:t>Solicitar a las</w:t>
      </w:r>
      <w:r>
        <w:rPr>
          <w:spacing w:val="-6"/>
          <w:sz w:val="18"/>
        </w:rPr>
        <w:t> </w:t>
      </w:r>
      <w:r>
        <w:rPr>
          <w:sz w:val="18"/>
        </w:rPr>
        <w:t>AEL</w:t>
      </w:r>
      <w:r>
        <w:rPr>
          <w:spacing w:val="-3"/>
          <w:sz w:val="18"/>
        </w:rPr>
        <w:t> </w:t>
      </w:r>
      <w:r>
        <w:rPr>
          <w:sz w:val="18"/>
        </w:rPr>
        <w:t>la información que considere necesaria, en tiempo y forma, para conocer la situación que guarda la operación y la aplicación de los subsidios del presente Programa; y</w:t>
      </w:r>
    </w:p>
    <w:p>
      <w:pPr>
        <w:pStyle w:val="ListParagraph"/>
        <w:numPr>
          <w:ilvl w:val="0"/>
          <w:numId w:val="14"/>
        </w:numPr>
        <w:tabs>
          <w:tab w:pos="1182" w:val="left" w:leader="none"/>
          <w:tab w:pos="1298" w:val="left" w:leader="none"/>
        </w:tabs>
        <w:spacing w:line="235" w:lineRule="auto" w:before="128" w:after="0"/>
        <w:ind w:left="1182" w:right="118" w:hanging="360"/>
        <w:jc w:val="left"/>
        <w:rPr>
          <w:sz w:val="18"/>
        </w:rPr>
      </w:pPr>
      <w:r>
        <w:rPr>
          <w:rFonts w:ascii="Courier New" w:hAnsi="Courier New"/>
          <w:color w:val="2E2E2E"/>
          <w:sz w:val="20"/>
        </w:rPr>
        <w:tab/>
      </w:r>
      <w:r>
        <w:rPr>
          <w:sz w:val="18"/>
        </w:rPr>
        <w:t>Solicitar</w:t>
      </w:r>
      <w:r>
        <w:rPr>
          <w:spacing w:val="31"/>
          <w:sz w:val="18"/>
        </w:rPr>
        <w:t> </w:t>
      </w:r>
      <w:r>
        <w:rPr>
          <w:sz w:val="18"/>
        </w:rPr>
        <w:t>y</w:t>
      </w:r>
      <w:r>
        <w:rPr>
          <w:spacing w:val="31"/>
          <w:sz w:val="18"/>
        </w:rPr>
        <w:t> </w:t>
      </w:r>
      <w:r>
        <w:rPr>
          <w:sz w:val="18"/>
        </w:rPr>
        <w:t>recibir</w:t>
      </w:r>
      <w:r>
        <w:rPr>
          <w:spacing w:val="31"/>
          <w:sz w:val="18"/>
        </w:rPr>
        <w:t> </w:t>
      </w:r>
      <w:r>
        <w:rPr>
          <w:sz w:val="18"/>
        </w:rPr>
        <w:t>en</w:t>
      </w:r>
      <w:r>
        <w:rPr>
          <w:spacing w:val="31"/>
          <w:sz w:val="18"/>
        </w:rPr>
        <w:t> </w:t>
      </w:r>
      <w:r>
        <w:rPr>
          <w:sz w:val="18"/>
        </w:rPr>
        <w:t>los</w:t>
      </w:r>
      <w:r>
        <w:rPr>
          <w:spacing w:val="31"/>
          <w:sz w:val="18"/>
        </w:rPr>
        <w:t> </w:t>
      </w:r>
      <w:r>
        <w:rPr>
          <w:sz w:val="18"/>
        </w:rPr>
        <w:t>casos</w:t>
      </w:r>
      <w:r>
        <w:rPr>
          <w:spacing w:val="31"/>
          <w:sz w:val="18"/>
        </w:rPr>
        <w:t> </w:t>
      </w:r>
      <w:r>
        <w:rPr>
          <w:sz w:val="18"/>
        </w:rPr>
        <w:t>de</w:t>
      </w:r>
      <w:r>
        <w:rPr>
          <w:spacing w:val="31"/>
          <w:sz w:val="18"/>
        </w:rPr>
        <w:t> </w:t>
      </w:r>
      <w:r>
        <w:rPr>
          <w:sz w:val="18"/>
        </w:rPr>
        <w:t>suspensión</w:t>
      </w:r>
      <w:r>
        <w:rPr>
          <w:spacing w:val="31"/>
          <w:sz w:val="18"/>
        </w:rPr>
        <w:t> </w:t>
      </w:r>
      <w:r>
        <w:rPr>
          <w:sz w:val="18"/>
        </w:rPr>
        <w:t>o</w:t>
      </w:r>
      <w:r>
        <w:rPr>
          <w:spacing w:val="31"/>
          <w:sz w:val="18"/>
        </w:rPr>
        <w:t> </w:t>
      </w:r>
      <w:r>
        <w:rPr>
          <w:sz w:val="18"/>
        </w:rPr>
        <w:t>cancelación,</w:t>
      </w:r>
      <w:r>
        <w:rPr>
          <w:spacing w:val="31"/>
          <w:sz w:val="18"/>
        </w:rPr>
        <w:t> </w:t>
      </w:r>
      <w:r>
        <w:rPr>
          <w:sz w:val="18"/>
        </w:rPr>
        <w:t>la</w:t>
      </w:r>
      <w:r>
        <w:rPr>
          <w:spacing w:val="31"/>
          <w:sz w:val="18"/>
        </w:rPr>
        <w:t> </w:t>
      </w:r>
      <w:r>
        <w:rPr>
          <w:sz w:val="18"/>
        </w:rPr>
        <w:t>resolución</w:t>
      </w:r>
      <w:r>
        <w:rPr>
          <w:spacing w:val="31"/>
          <w:sz w:val="18"/>
        </w:rPr>
        <w:t> </w:t>
      </w:r>
      <w:r>
        <w:rPr>
          <w:sz w:val="18"/>
        </w:rPr>
        <w:t>fundada</w:t>
      </w:r>
      <w:r>
        <w:rPr>
          <w:spacing w:val="31"/>
          <w:sz w:val="18"/>
        </w:rPr>
        <w:t> </w:t>
      </w:r>
      <w:r>
        <w:rPr>
          <w:sz w:val="18"/>
        </w:rPr>
        <w:t>y</w:t>
      </w:r>
      <w:r>
        <w:rPr>
          <w:spacing w:val="31"/>
          <w:sz w:val="18"/>
        </w:rPr>
        <w:t> </w:t>
      </w:r>
      <w:r>
        <w:rPr>
          <w:sz w:val="18"/>
        </w:rPr>
        <w:t>motivada</w:t>
      </w:r>
      <w:r>
        <w:rPr>
          <w:spacing w:val="31"/>
          <w:sz w:val="18"/>
        </w:rPr>
        <w:t> </w:t>
      </w:r>
      <w:r>
        <w:rPr>
          <w:sz w:val="18"/>
        </w:rPr>
        <w:t>de</w:t>
      </w:r>
      <w:r>
        <w:rPr>
          <w:spacing w:val="31"/>
          <w:sz w:val="18"/>
        </w:rPr>
        <w:t> </w:t>
      </w:r>
      <w:r>
        <w:rPr>
          <w:sz w:val="18"/>
        </w:rPr>
        <w:t>la</w:t>
      </w:r>
      <w:r>
        <w:rPr>
          <w:spacing w:val="31"/>
          <w:sz w:val="18"/>
        </w:rPr>
        <w:t> </w:t>
      </w:r>
      <w:r>
        <w:rPr>
          <w:sz w:val="18"/>
        </w:rPr>
        <w:t>Instancia normativa correspondiente.</w:t>
      </w:r>
    </w:p>
    <w:p>
      <w:pPr>
        <w:pStyle w:val="Heading2"/>
        <w:spacing w:before="94"/>
      </w:pPr>
      <w:r>
        <w:rPr/>
        <w:t>Derechos aplicables a todas las</w:t>
      </w:r>
      <w:r>
        <w:rPr>
          <w:spacing w:val="-7"/>
        </w:rPr>
        <w:t> </w:t>
      </w:r>
      <w:r>
        <w:rPr>
          <w:spacing w:val="-4"/>
        </w:rPr>
        <w:t>AEL;</w:t>
      </w:r>
    </w:p>
    <w:p>
      <w:pPr>
        <w:pStyle w:val="ListParagraph"/>
        <w:numPr>
          <w:ilvl w:val="0"/>
          <w:numId w:val="14"/>
        </w:numPr>
        <w:tabs>
          <w:tab w:pos="1169" w:val="left" w:leader="none"/>
          <w:tab w:pos="1182" w:val="left" w:leader="none"/>
        </w:tabs>
        <w:spacing w:line="235" w:lineRule="auto" w:before="127" w:after="0"/>
        <w:ind w:left="1182" w:right="118" w:hanging="360"/>
        <w:jc w:val="left"/>
        <w:rPr>
          <w:sz w:val="18"/>
        </w:rPr>
      </w:pPr>
      <w:r>
        <w:rPr>
          <w:sz w:val="18"/>
        </w:rPr>
        <w:t>Recibir</w:t>
      </w:r>
      <w:r>
        <w:rPr>
          <w:spacing w:val="-1"/>
          <w:sz w:val="18"/>
        </w:rPr>
        <w:t> </w:t>
      </w:r>
      <w:r>
        <w:rPr>
          <w:sz w:val="18"/>
        </w:rPr>
        <w:t>los</w:t>
      </w:r>
      <w:r>
        <w:rPr>
          <w:spacing w:val="-1"/>
          <w:sz w:val="18"/>
        </w:rPr>
        <w:t> </w:t>
      </w:r>
      <w:r>
        <w:rPr>
          <w:sz w:val="18"/>
        </w:rPr>
        <w:t>apoyos</w:t>
      </w:r>
      <w:r>
        <w:rPr>
          <w:spacing w:val="-1"/>
          <w:sz w:val="18"/>
        </w:rPr>
        <w:t> </w:t>
      </w:r>
      <w:r>
        <w:rPr>
          <w:sz w:val="18"/>
        </w:rPr>
        <w:t>conforme</w:t>
      </w:r>
      <w:r>
        <w:rPr>
          <w:spacing w:val="-1"/>
          <w:sz w:val="18"/>
        </w:rPr>
        <w:t> </w:t>
      </w:r>
      <w:r>
        <w:rPr>
          <w:sz w:val="18"/>
        </w:rPr>
        <w:t>a</w:t>
      </w:r>
      <w:r>
        <w:rPr>
          <w:spacing w:val="-1"/>
          <w:sz w:val="18"/>
        </w:rPr>
        <w:t> </w:t>
      </w:r>
      <w:r>
        <w:rPr>
          <w:sz w:val="18"/>
        </w:rPr>
        <w:t>lo</w:t>
      </w:r>
      <w:r>
        <w:rPr>
          <w:spacing w:val="-1"/>
          <w:sz w:val="18"/>
        </w:rPr>
        <w:t> </w:t>
      </w:r>
      <w:r>
        <w:rPr>
          <w:sz w:val="18"/>
        </w:rPr>
        <w:t>establecido</w:t>
      </w:r>
      <w:r>
        <w:rPr>
          <w:spacing w:val="-1"/>
          <w:sz w:val="18"/>
        </w:rPr>
        <w:t> </w:t>
      </w:r>
      <w:r>
        <w:rPr>
          <w:sz w:val="18"/>
        </w:rPr>
        <w:t>en</w:t>
      </w:r>
      <w:r>
        <w:rPr>
          <w:spacing w:val="-1"/>
          <w:sz w:val="18"/>
        </w:rPr>
        <w:t> </w:t>
      </w:r>
      <w:r>
        <w:rPr>
          <w:sz w:val="18"/>
        </w:rPr>
        <w:t>el</w:t>
      </w:r>
      <w:r>
        <w:rPr>
          <w:spacing w:val="-1"/>
          <w:sz w:val="18"/>
        </w:rPr>
        <w:t> </w:t>
      </w:r>
      <w:r>
        <w:rPr>
          <w:sz w:val="18"/>
        </w:rPr>
        <w:t>apartado</w:t>
      </w:r>
      <w:r>
        <w:rPr>
          <w:spacing w:val="-1"/>
          <w:sz w:val="18"/>
        </w:rPr>
        <w:t> </w:t>
      </w:r>
      <w:r>
        <w:rPr>
          <w:sz w:val="18"/>
        </w:rPr>
        <w:t>3.4.</w:t>
      </w:r>
      <w:r>
        <w:rPr>
          <w:spacing w:val="-1"/>
          <w:sz w:val="18"/>
        </w:rPr>
        <w:t> </w:t>
      </w:r>
      <w:r>
        <w:rPr>
          <w:sz w:val="18"/>
        </w:rPr>
        <w:t>"Características</w:t>
      </w:r>
      <w:r>
        <w:rPr>
          <w:spacing w:val="-1"/>
          <w:sz w:val="18"/>
        </w:rPr>
        <w:t> </w:t>
      </w:r>
      <w:r>
        <w:rPr>
          <w:sz w:val="18"/>
        </w:rPr>
        <w:t>de</w:t>
      </w:r>
      <w:r>
        <w:rPr>
          <w:spacing w:val="-1"/>
          <w:sz w:val="18"/>
        </w:rPr>
        <w:t> </w:t>
      </w:r>
      <w:r>
        <w:rPr>
          <w:sz w:val="18"/>
        </w:rPr>
        <w:t>los</w:t>
      </w:r>
      <w:r>
        <w:rPr>
          <w:spacing w:val="-1"/>
          <w:sz w:val="18"/>
        </w:rPr>
        <w:t> </w:t>
      </w:r>
      <w:r>
        <w:rPr>
          <w:sz w:val="18"/>
        </w:rPr>
        <w:t>apoyos</w:t>
      </w:r>
      <w:r>
        <w:rPr>
          <w:spacing w:val="-1"/>
          <w:sz w:val="18"/>
        </w:rPr>
        <w:t> </w:t>
      </w:r>
      <w:r>
        <w:rPr>
          <w:sz w:val="18"/>
        </w:rPr>
        <w:t>(tipo</w:t>
      </w:r>
      <w:r>
        <w:rPr>
          <w:spacing w:val="-1"/>
          <w:sz w:val="18"/>
        </w:rPr>
        <w:t> </w:t>
      </w:r>
      <w:r>
        <w:rPr>
          <w:sz w:val="18"/>
        </w:rPr>
        <w:t>y</w:t>
      </w:r>
      <w:r>
        <w:rPr>
          <w:spacing w:val="-1"/>
          <w:sz w:val="18"/>
        </w:rPr>
        <w:t> </w:t>
      </w:r>
      <w:r>
        <w:rPr>
          <w:sz w:val="18"/>
        </w:rPr>
        <w:t>monto)"</w:t>
      </w:r>
      <w:r>
        <w:rPr>
          <w:spacing w:val="-1"/>
          <w:sz w:val="18"/>
        </w:rPr>
        <w:t> </w:t>
      </w:r>
      <w:r>
        <w:rPr>
          <w:sz w:val="18"/>
        </w:rPr>
        <w:t>de</w:t>
      </w:r>
      <w:r>
        <w:rPr>
          <w:spacing w:val="-1"/>
          <w:sz w:val="18"/>
        </w:rPr>
        <w:t> </w:t>
      </w:r>
      <w:r>
        <w:rPr>
          <w:sz w:val="18"/>
        </w:rPr>
        <w:t>las presentes RO, lo que les permitirá contar con recursos para la operación y coordinación del presente programa;</w:t>
      </w:r>
    </w:p>
    <w:p>
      <w:pPr>
        <w:pStyle w:val="ListParagraph"/>
        <w:numPr>
          <w:ilvl w:val="0"/>
          <w:numId w:val="14"/>
        </w:numPr>
        <w:tabs>
          <w:tab w:pos="1182" w:val="left" w:leader="none"/>
          <w:tab w:pos="1232" w:val="left" w:leader="none"/>
        </w:tabs>
        <w:spacing w:line="235" w:lineRule="auto" w:before="128" w:after="0"/>
        <w:ind w:left="1182" w:right="118" w:hanging="360"/>
        <w:jc w:val="left"/>
        <w:rPr>
          <w:sz w:val="18"/>
        </w:rPr>
      </w:pPr>
      <w:r>
        <w:rPr>
          <w:color w:val="2E2E2E"/>
          <w:sz w:val="18"/>
        </w:rPr>
        <w:tab/>
      </w:r>
      <w:r>
        <w:rPr>
          <w:sz w:val="18"/>
        </w:rPr>
        <w:t>Recibir de las Instancias normativas del PAPPEMS asesoría y apoyo sobre la operación del mismo, sin costo y a</w:t>
      </w:r>
      <w:r>
        <w:rPr>
          <w:spacing w:val="80"/>
          <w:sz w:val="18"/>
        </w:rPr>
        <w:t> </w:t>
      </w:r>
      <w:r>
        <w:rPr>
          <w:sz w:val="18"/>
        </w:rPr>
        <w:t>petición de los planteles públicos;</w:t>
      </w:r>
    </w:p>
    <w:p>
      <w:pPr>
        <w:pStyle w:val="ListParagraph"/>
        <w:numPr>
          <w:ilvl w:val="0"/>
          <w:numId w:val="14"/>
        </w:numPr>
        <w:tabs>
          <w:tab w:pos="1182" w:val="left" w:leader="none"/>
          <w:tab w:pos="1240" w:val="left" w:leader="none"/>
        </w:tabs>
        <w:spacing w:line="235" w:lineRule="auto" w:before="127" w:after="0"/>
        <w:ind w:left="1182" w:right="118" w:hanging="360"/>
        <w:jc w:val="left"/>
        <w:rPr>
          <w:sz w:val="18"/>
        </w:rPr>
      </w:pPr>
      <w:r>
        <w:rPr>
          <w:color w:val="2E2E2E"/>
          <w:sz w:val="18"/>
        </w:rPr>
        <w:tab/>
      </w:r>
      <w:r>
        <w:rPr>
          <w:sz w:val="18"/>
        </w:rPr>
        <w:t>Tener acceso a la información necesaria, de manera clara y oportuna, por los medios oficiales, para resolver </w:t>
      </w:r>
      <w:r>
        <w:rPr>
          <w:sz w:val="18"/>
        </w:rPr>
        <w:t>sus</w:t>
      </w:r>
      <w:r>
        <w:rPr>
          <w:spacing w:val="80"/>
          <w:sz w:val="18"/>
        </w:rPr>
        <w:t> </w:t>
      </w:r>
      <w:r>
        <w:rPr>
          <w:sz w:val="18"/>
        </w:rPr>
        <w:t>dudas respecto de los apoyos del PAPPEMS;</w:t>
      </w:r>
    </w:p>
    <w:p>
      <w:pPr>
        <w:pStyle w:val="ListParagraph"/>
        <w:numPr>
          <w:ilvl w:val="0"/>
          <w:numId w:val="14"/>
        </w:numPr>
        <w:tabs>
          <w:tab w:pos="1182" w:val="left" w:leader="none"/>
          <w:tab w:pos="1362" w:val="left" w:leader="none"/>
        </w:tabs>
        <w:spacing w:line="235" w:lineRule="auto" w:before="113" w:after="0"/>
        <w:ind w:left="1182" w:right="118" w:hanging="360"/>
        <w:jc w:val="left"/>
        <w:rPr>
          <w:sz w:val="18"/>
        </w:rPr>
      </w:pPr>
      <w:r>
        <w:rPr>
          <w:rFonts w:ascii="Courier New" w:hAnsi="Courier New"/>
          <w:color w:val="2E2E2E"/>
          <w:sz w:val="20"/>
        </w:rPr>
        <w:tab/>
      </w:r>
      <w:r>
        <w:rPr>
          <w:sz w:val="18"/>
        </w:rPr>
        <w:t>Recibir</w:t>
      </w:r>
      <w:r>
        <w:rPr>
          <w:spacing w:val="40"/>
          <w:sz w:val="18"/>
        </w:rPr>
        <w:t> </w:t>
      </w:r>
      <w:r>
        <w:rPr>
          <w:sz w:val="18"/>
        </w:rPr>
        <w:t>el</w:t>
      </w:r>
      <w:r>
        <w:rPr>
          <w:spacing w:val="40"/>
          <w:sz w:val="18"/>
        </w:rPr>
        <w:t> </w:t>
      </w:r>
      <w:r>
        <w:rPr>
          <w:sz w:val="18"/>
        </w:rPr>
        <w:t>comunicado</w:t>
      </w:r>
      <w:r>
        <w:rPr>
          <w:spacing w:val="40"/>
          <w:sz w:val="18"/>
        </w:rPr>
        <w:t> </w:t>
      </w:r>
      <w:r>
        <w:rPr>
          <w:sz w:val="18"/>
        </w:rPr>
        <w:t>por</w:t>
      </w:r>
      <w:r>
        <w:rPr>
          <w:spacing w:val="40"/>
          <w:sz w:val="18"/>
        </w:rPr>
        <w:t> </w:t>
      </w:r>
      <w:r>
        <w:rPr>
          <w:sz w:val="18"/>
        </w:rPr>
        <w:t>parte</w:t>
      </w:r>
      <w:r>
        <w:rPr>
          <w:spacing w:val="40"/>
          <w:sz w:val="18"/>
        </w:rPr>
        <w:t> </w:t>
      </w:r>
      <w:r>
        <w:rPr>
          <w:sz w:val="18"/>
        </w:rPr>
        <w:t>de</w:t>
      </w:r>
      <w:r>
        <w:rPr>
          <w:spacing w:val="40"/>
          <w:sz w:val="18"/>
        </w:rPr>
        <w:t> </w:t>
      </w:r>
      <w:r>
        <w:rPr>
          <w:sz w:val="18"/>
        </w:rPr>
        <w:t>las</w:t>
      </w:r>
      <w:r>
        <w:rPr>
          <w:spacing w:val="40"/>
          <w:sz w:val="18"/>
        </w:rPr>
        <w:t> </w:t>
      </w:r>
      <w:r>
        <w:rPr>
          <w:sz w:val="18"/>
        </w:rPr>
        <w:t>Instancias</w:t>
      </w:r>
      <w:r>
        <w:rPr>
          <w:spacing w:val="40"/>
          <w:sz w:val="18"/>
        </w:rPr>
        <w:t> </w:t>
      </w:r>
      <w:r>
        <w:rPr>
          <w:sz w:val="18"/>
        </w:rPr>
        <w:t>normativas</w:t>
      </w:r>
      <w:r>
        <w:rPr>
          <w:spacing w:val="40"/>
          <w:sz w:val="18"/>
        </w:rPr>
        <w:t> </w:t>
      </w:r>
      <w:r>
        <w:rPr>
          <w:sz w:val="18"/>
        </w:rPr>
        <w:t>sobre</w:t>
      </w:r>
      <w:r>
        <w:rPr>
          <w:spacing w:val="40"/>
          <w:sz w:val="18"/>
        </w:rPr>
        <w:t> </w:t>
      </w:r>
      <w:r>
        <w:rPr>
          <w:sz w:val="18"/>
        </w:rPr>
        <w:t>la</w:t>
      </w:r>
      <w:r>
        <w:rPr>
          <w:spacing w:val="40"/>
          <w:sz w:val="18"/>
        </w:rPr>
        <w:t> </w:t>
      </w:r>
      <w:r>
        <w:rPr>
          <w:sz w:val="18"/>
        </w:rPr>
        <w:t>asignación</w:t>
      </w:r>
      <w:r>
        <w:rPr>
          <w:spacing w:val="40"/>
          <w:sz w:val="18"/>
        </w:rPr>
        <w:t> </w:t>
      </w:r>
      <w:r>
        <w:rPr>
          <w:sz w:val="18"/>
        </w:rPr>
        <w:t>del</w:t>
      </w:r>
      <w:r>
        <w:rPr>
          <w:spacing w:val="40"/>
          <w:sz w:val="18"/>
        </w:rPr>
        <w:t> </w:t>
      </w:r>
      <w:r>
        <w:rPr>
          <w:sz w:val="18"/>
        </w:rPr>
        <w:t>apoyo,</w:t>
      </w:r>
      <w:r>
        <w:rPr>
          <w:spacing w:val="40"/>
          <w:sz w:val="18"/>
        </w:rPr>
        <w:t> </w:t>
      </w:r>
      <w:r>
        <w:rPr>
          <w:sz w:val="18"/>
        </w:rPr>
        <w:t>por</w:t>
      </w:r>
      <w:r>
        <w:rPr>
          <w:spacing w:val="40"/>
          <w:sz w:val="18"/>
        </w:rPr>
        <w:t> </w:t>
      </w:r>
      <w:r>
        <w:rPr>
          <w:sz w:val="18"/>
        </w:rPr>
        <w:t>el</w:t>
      </w:r>
      <w:r>
        <w:rPr>
          <w:spacing w:val="40"/>
          <w:sz w:val="18"/>
        </w:rPr>
        <w:t> </w:t>
      </w:r>
      <w:r>
        <w:rPr>
          <w:sz w:val="18"/>
        </w:rPr>
        <w:t>medio correspondiente, en los términos establecidos en las presentes RO;</w:t>
      </w:r>
    </w:p>
    <w:p>
      <w:pPr>
        <w:pStyle w:val="ListParagraph"/>
        <w:numPr>
          <w:ilvl w:val="0"/>
          <w:numId w:val="14"/>
        </w:numPr>
        <w:tabs>
          <w:tab w:pos="1182" w:val="left" w:leader="none"/>
          <w:tab w:pos="1284" w:val="left" w:leader="none"/>
        </w:tabs>
        <w:spacing w:line="235" w:lineRule="auto" w:before="128" w:after="0"/>
        <w:ind w:left="1182" w:right="118" w:hanging="360"/>
        <w:jc w:val="left"/>
        <w:rPr>
          <w:sz w:val="18"/>
        </w:rPr>
      </w:pPr>
      <w:r>
        <w:rPr>
          <w:rFonts w:ascii="Courier New" w:hAnsi="Courier New"/>
          <w:color w:val="2E2E2E"/>
          <w:sz w:val="20"/>
        </w:rPr>
        <w:tab/>
      </w:r>
      <w:r>
        <w:rPr>
          <w:sz w:val="18"/>
        </w:rPr>
        <w:t>Tener</w:t>
      </w:r>
      <w:r>
        <w:rPr>
          <w:spacing w:val="26"/>
          <w:sz w:val="18"/>
        </w:rPr>
        <w:t> </w:t>
      </w:r>
      <w:r>
        <w:rPr>
          <w:sz w:val="18"/>
        </w:rPr>
        <w:t>la</w:t>
      </w:r>
      <w:r>
        <w:rPr>
          <w:spacing w:val="26"/>
          <w:sz w:val="18"/>
        </w:rPr>
        <w:t> </w:t>
      </w:r>
      <w:r>
        <w:rPr>
          <w:sz w:val="18"/>
        </w:rPr>
        <w:t>reserva</w:t>
      </w:r>
      <w:r>
        <w:rPr>
          <w:spacing w:val="26"/>
          <w:sz w:val="18"/>
        </w:rPr>
        <w:t> </w:t>
      </w:r>
      <w:r>
        <w:rPr>
          <w:sz w:val="18"/>
        </w:rPr>
        <w:t>y</w:t>
      </w:r>
      <w:r>
        <w:rPr>
          <w:spacing w:val="26"/>
          <w:sz w:val="18"/>
        </w:rPr>
        <w:t> </w:t>
      </w:r>
      <w:r>
        <w:rPr>
          <w:sz w:val="18"/>
        </w:rPr>
        <w:t>privacidad</w:t>
      </w:r>
      <w:r>
        <w:rPr>
          <w:spacing w:val="26"/>
          <w:sz w:val="18"/>
        </w:rPr>
        <w:t> </w:t>
      </w:r>
      <w:r>
        <w:rPr>
          <w:sz w:val="18"/>
        </w:rPr>
        <w:t>de</w:t>
      </w:r>
      <w:r>
        <w:rPr>
          <w:spacing w:val="26"/>
          <w:sz w:val="18"/>
        </w:rPr>
        <w:t> </w:t>
      </w:r>
      <w:r>
        <w:rPr>
          <w:sz w:val="18"/>
        </w:rPr>
        <w:t>sus</w:t>
      </w:r>
      <w:r>
        <w:rPr>
          <w:spacing w:val="26"/>
          <w:sz w:val="18"/>
        </w:rPr>
        <w:t> </w:t>
      </w:r>
      <w:r>
        <w:rPr>
          <w:sz w:val="18"/>
        </w:rPr>
        <w:t>datos</w:t>
      </w:r>
      <w:r>
        <w:rPr>
          <w:spacing w:val="26"/>
          <w:sz w:val="18"/>
        </w:rPr>
        <w:t> </w:t>
      </w:r>
      <w:r>
        <w:rPr>
          <w:sz w:val="18"/>
        </w:rPr>
        <w:t>personales,</w:t>
      </w:r>
      <w:r>
        <w:rPr>
          <w:spacing w:val="26"/>
          <w:sz w:val="18"/>
        </w:rPr>
        <w:t> </w:t>
      </w:r>
      <w:r>
        <w:rPr>
          <w:sz w:val="18"/>
        </w:rPr>
        <w:t>en</w:t>
      </w:r>
      <w:r>
        <w:rPr>
          <w:spacing w:val="26"/>
          <w:sz w:val="18"/>
        </w:rPr>
        <w:t> </w:t>
      </w:r>
      <w:r>
        <w:rPr>
          <w:sz w:val="18"/>
        </w:rPr>
        <w:t>los</w:t>
      </w:r>
      <w:r>
        <w:rPr>
          <w:spacing w:val="26"/>
          <w:sz w:val="18"/>
        </w:rPr>
        <w:t> </w:t>
      </w:r>
      <w:r>
        <w:rPr>
          <w:sz w:val="18"/>
        </w:rPr>
        <w:t>términos</w:t>
      </w:r>
      <w:r>
        <w:rPr>
          <w:spacing w:val="26"/>
          <w:sz w:val="18"/>
        </w:rPr>
        <w:t> </w:t>
      </w:r>
      <w:r>
        <w:rPr>
          <w:sz w:val="18"/>
        </w:rPr>
        <w:t>de</w:t>
      </w:r>
      <w:r>
        <w:rPr>
          <w:spacing w:val="26"/>
          <w:sz w:val="18"/>
        </w:rPr>
        <w:t> </w:t>
      </w:r>
      <w:r>
        <w:rPr>
          <w:sz w:val="18"/>
        </w:rPr>
        <w:t>lo</w:t>
      </w:r>
      <w:r>
        <w:rPr>
          <w:spacing w:val="26"/>
          <w:sz w:val="18"/>
        </w:rPr>
        <w:t> </w:t>
      </w:r>
      <w:r>
        <w:rPr>
          <w:sz w:val="18"/>
        </w:rPr>
        <w:t>establecido</w:t>
      </w:r>
      <w:r>
        <w:rPr>
          <w:spacing w:val="26"/>
          <w:sz w:val="18"/>
        </w:rPr>
        <w:t> </w:t>
      </w:r>
      <w:r>
        <w:rPr>
          <w:sz w:val="18"/>
        </w:rPr>
        <w:t>en</w:t>
      </w:r>
      <w:r>
        <w:rPr>
          <w:spacing w:val="27"/>
          <w:sz w:val="18"/>
        </w:rPr>
        <w:t> </w:t>
      </w:r>
      <w:r>
        <w:rPr>
          <w:sz w:val="18"/>
        </w:rPr>
        <w:t>normativa</w:t>
      </w:r>
      <w:r>
        <w:rPr>
          <w:spacing w:val="26"/>
          <w:sz w:val="18"/>
        </w:rPr>
        <w:t> </w:t>
      </w:r>
      <w:r>
        <w:rPr>
          <w:sz w:val="18"/>
        </w:rPr>
        <w:t>jurídica aplicable en la materia;</w:t>
      </w:r>
    </w:p>
    <w:p>
      <w:pPr>
        <w:spacing w:after="0" w:line="235" w:lineRule="auto"/>
        <w:jc w:val="left"/>
        <w:rPr>
          <w:sz w:val="18"/>
        </w:rPr>
        <w:sectPr>
          <w:pgSz w:w="12240" w:h="15840"/>
          <w:pgMar w:header="269" w:footer="260" w:top="460" w:bottom="440" w:left="860" w:right="720"/>
        </w:sectPr>
      </w:pPr>
    </w:p>
    <w:p>
      <w:pPr>
        <w:pStyle w:val="ListParagraph"/>
        <w:numPr>
          <w:ilvl w:val="0"/>
          <w:numId w:val="14"/>
        </w:numPr>
        <w:tabs>
          <w:tab w:pos="1182" w:val="left" w:leader="none"/>
          <w:tab w:pos="1326" w:val="left" w:leader="none"/>
        </w:tabs>
        <w:spacing w:line="240" w:lineRule="auto" w:before="97" w:after="0"/>
        <w:ind w:left="1182" w:right="118" w:hanging="360"/>
        <w:jc w:val="both"/>
        <w:rPr>
          <w:sz w:val="18"/>
        </w:rPr>
      </w:pPr>
      <w:r>
        <w:rPr>
          <w:color w:val="2E2E2E"/>
          <w:sz w:val="18"/>
        </w:rPr>
        <w:tab/>
      </w:r>
      <w:r>
        <w:rPr>
          <w:sz w:val="18"/>
        </w:rPr>
        <w:t>Presentar cualquier tipo de denuncia, queja o sugerencia cuando considere haber sido objeto de algún </w:t>
      </w:r>
      <w:r>
        <w:rPr>
          <w:sz w:val="18"/>
        </w:rPr>
        <w:t>trato discriminatorio o de mala atención por parte de las/os servidores públicos durante el proceso para obtener el apoyo,</w:t>
      </w:r>
      <w:r>
        <w:rPr>
          <w:spacing w:val="40"/>
          <w:sz w:val="18"/>
        </w:rPr>
        <w:t> </w:t>
      </w:r>
      <w:r>
        <w:rPr>
          <w:spacing w:val="-10"/>
          <w:sz w:val="18"/>
        </w:rPr>
        <w:t>y</w:t>
      </w:r>
    </w:p>
    <w:p>
      <w:pPr>
        <w:pStyle w:val="ListParagraph"/>
        <w:numPr>
          <w:ilvl w:val="0"/>
          <w:numId w:val="14"/>
        </w:numPr>
        <w:tabs>
          <w:tab w:pos="1182" w:val="left" w:leader="none"/>
          <w:tab w:pos="1297" w:val="left" w:leader="none"/>
        </w:tabs>
        <w:spacing w:line="235" w:lineRule="auto" w:before="125" w:after="0"/>
        <w:ind w:left="1182" w:right="118" w:hanging="360"/>
        <w:jc w:val="both"/>
        <w:rPr>
          <w:sz w:val="18"/>
        </w:rPr>
      </w:pPr>
      <w:r>
        <w:rPr>
          <w:color w:val="2E2E2E"/>
          <w:sz w:val="18"/>
        </w:rPr>
        <w:tab/>
      </w:r>
      <w:r>
        <w:rPr>
          <w:sz w:val="18"/>
        </w:rPr>
        <w:t>Solicitar y recibir en los casos de suspensión o cancelación, la resolución fundada y motivada de la </w:t>
      </w:r>
      <w:r>
        <w:rPr>
          <w:sz w:val="18"/>
        </w:rPr>
        <w:t>Instancia normativa correspondiente.</w:t>
      </w:r>
    </w:p>
    <w:p>
      <w:pPr>
        <w:pStyle w:val="Heading2"/>
        <w:spacing w:before="95"/>
      </w:pPr>
      <w:r>
        <w:rPr/>
        <w:t>La SEMS tendrá los siguientes </w:t>
      </w:r>
      <w:r>
        <w:rPr>
          <w:spacing w:val="-2"/>
        </w:rPr>
        <w:t>Derechos:</w:t>
      </w:r>
    </w:p>
    <w:p>
      <w:pPr>
        <w:pStyle w:val="ListParagraph"/>
        <w:numPr>
          <w:ilvl w:val="0"/>
          <w:numId w:val="14"/>
        </w:numPr>
        <w:tabs>
          <w:tab w:pos="1182" w:val="left" w:leader="none"/>
          <w:tab w:pos="1252" w:val="left" w:leader="none"/>
        </w:tabs>
        <w:spacing w:line="235" w:lineRule="auto" w:before="126" w:after="0"/>
        <w:ind w:left="1182" w:right="118" w:hanging="360"/>
        <w:jc w:val="both"/>
        <w:rPr>
          <w:sz w:val="18"/>
        </w:rPr>
      </w:pPr>
      <w:r>
        <w:rPr>
          <w:color w:val="2E2E2E"/>
          <w:sz w:val="18"/>
        </w:rPr>
        <w:tab/>
      </w:r>
      <w:r>
        <w:rPr>
          <w:sz w:val="18"/>
        </w:rPr>
        <w:t>Solicitar a los planteles públicos la información que considere necesaria para conocer la situación que guarda la operación y la aplicación de los subsidios del presente Programa;</w:t>
      </w:r>
    </w:p>
    <w:p>
      <w:pPr>
        <w:pStyle w:val="ListParagraph"/>
        <w:numPr>
          <w:ilvl w:val="0"/>
          <w:numId w:val="14"/>
        </w:numPr>
        <w:tabs>
          <w:tab w:pos="1182" w:val="left" w:leader="none"/>
          <w:tab w:pos="1240" w:val="left" w:leader="none"/>
        </w:tabs>
        <w:spacing w:line="235" w:lineRule="auto" w:before="128" w:after="0"/>
        <w:ind w:left="1182" w:right="118" w:hanging="360"/>
        <w:jc w:val="both"/>
        <w:rPr>
          <w:sz w:val="18"/>
        </w:rPr>
      </w:pPr>
      <w:r>
        <w:rPr>
          <w:color w:val="2E2E2E"/>
          <w:sz w:val="18"/>
        </w:rPr>
        <w:tab/>
      </w:r>
      <w:r>
        <w:rPr>
          <w:sz w:val="18"/>
        </w:rPr>
        <w:t>Tener acceso a la información necesaria, de manera clara y oportuna, por los medios oficiales, para resolver </w:t>
      </w:r>
      <w:r>
        <w:rPr>
          <w:sz w:val="18"/>
        </w:rPr>
        <w:t>sus dudas respecto de los apoyos del PAPPEMS;</w:t>
      </w:r>
    </w:p>
    <w:p>
      <w:pPr>
        <w:pStyle w:val="ListParagraph"/>
        <w:numPr>
          <w:ilvl w:val="0"/>
          <w:numId w:val="14"/>
        </w:numPr>
        <w:tabs>
          <w:tab w:pos="1182" w:val="left" w:leader="none"/>
        </w:tabs>
        <w:spacing w:line="240" w:lineRule="auto" w:before="125" w:after="0"/>
        <w:ind w:left="1182" w:right="118" w:hanging="360"/>
        <w:jc w:val="both"/>
        <w:rPr>
          <w:sz w:val="18"/>
        </w:rPr>
      </w:pPr>
      <w:r>
        <w:rPr>
          <w:sz w:val="18"/>
        </w:rPr>
        <w:t>Designar a los planteles públicos beneficiarios, en base al orden de recepción de los Proyectos para el</w:t>
      </w:r>
      <w:r>
        <w:rPr>
          <w:spacing w:val="-8"/>
          <w:sz w:val="18"/>
        </w:rPr>
        <w:t> </w:t>
      </w:r>
      <w:r>
        <w:rPr>
          <w:sz w:val="18"/>
        </w:rPr>
        <w:t>Avance en la Atención de la Educación Media Superior para Estudiantes con Discapacidad que cumplan con los </w:t>
      </w:r>
      <w:r>
        <w:rPr>
          <w:sz w:val="18"/>
        </w:rPr>
        <w:t>requisitos establecidos, de acuerdo con la disponibilidad presupuestaria, y</w:t>
      </w:r>
    </w:p>
    <w:p>
      <w:pPr>
        <w:pStyle w:val="ListParagraph"/>
        <w:numPr>
          <w:ilvl w:val="0"/>
          <w:numId w:val="14"/>
        </w:numPr>
        <w:tabs>
          <w:tab w:pos="1182" w:val="left" w:leader="none"/>
          <w:tab w:pos="1270" w:val="left" w:leader="none"/>
        </w:tabs>
        <w:spacing w:line="240" w:lineRule="auto" w:before="107" w:after="0"/>
        <w:ind w:left="1182" w:right="117" w:hanging="360"/>
        <w:jc w:val="both"/>
        <w:rPr>
          <w:sz w:val="18"/>
        </w:rPr>
      </w:pPr>
      <w:r>
        <w:rPr>
          <w:color w:val="2E2E2E"/>
          <w:sz w:val="18"/>
        </w:rPr>
        <w:tab/>
      </w:r>
      <w:r>
        <w:rPr>
          <w:sz w:val="18"/>
        </w:rPr>
        <w:t>La SEMS podrá designar a los planteles públicos, con base en el orden de recepción de los Proyectos para el Avance en la</w:t>
      </w:r>
      <w:r>
        <w:rPr>
          <w:spacing w:val="-5"/>
          <w:sz w:val="18"/>
        </w:rPr>
        <w:t> </w:t>
      </w:r>
      <w:r>
        <w:rPr>
          <w:sz w:val="18"/>
        </w:rPr>
        <w:t>Atención de la Educación Media Superior para Estudiantes con Discapacidad completos, enviados por éstos, al número de estudiantes a beneficiar y de acuerdo con la disponibilidad presupuestaria.</w:t>
      </w:r>
    </w:p>
    <w:p>
      <w:pPr>
        <w:pStyle w:val="Heading2"/>
        <w:spacing w:before="107"/>
      </w:pPr>
      <w:r>
        <w:rPr/>
        <w:t>Obligaciones de los planteles públicos beneficiarios del </w:t>
      </w:r>
      <w:r>
        <w:rPr>
          <w:spacing w:val="-2"/>
        </w:rPr>
        <w:t>PAPPEMS;</w:t>
      </w:r>
    </w:p>
    <w:p>
      <w:pPr>
        <w:pStyle w:val="ListParagraph"/>
        <w:numPr>
          <w:ilvl w:val="0"/>
          <w:numId w:val="14"/>
        </w:numPr>
        <w:tabs>
          <w:tab w:pos="1182" w:val="left" w:leader="none"/>
          <w:tab w:pos="1215" w:val="left" w:leader="none"/>
        </w:tabs>
        <w:spacing w:line="235" w:lineRule="auto" w:before="126" w:after="0"/>
        <w:ind w:left="1182" w:right="118" w:hanging="360"/>
        <w:jc w:val="both"/>
        <w:rPr>
          <w:sz w:val="18"/>
        </w:rPr>
      </w:pPr>
      <w:r>
        <w:rPr>
          <w:color w:val="2E2E2E"/>
          <w:sz w:val="18"/>
        </w:rPr>
        <w:tab/>
      </w:r>
      <w:r>
        <w:rPr>
          <w:sz w:val="18"/>
        </w:rPr>
        <w:t>Colaborar con las evaluaciones internas y externas efectuadas por instancias locales, nacionales e internacionales referidas a las presentes RO;</w:t>
      </w:r>
    </w:p>
    <w:p>
      <w:pPr>
        <w:pStyle w:val="ListParagraph"/>
        <w:numPr>
          <w:ilvl w:val="0"/>
          <w:numId w:val="14"/>
        </w:numPr>
        <w:tabs>
          <w:tab w:pos="1182" w:val="left" w:leader="none"/>
          <w:tab w:pos="1244" w:val="left" w:leader="none"/>
        </w:tabs>
        <w:spacing w:line="235" w:lineRule="auto" w:before="113" w:after="0"/>
        <w:ind w:left="1182" w:right="118" w:hanging="360"/>
        <w:jc w:val="both"/>
        <w:rPr>
          <w:sz w:val="18"/>
        </w:rPr>
      </w:pPr>
      <w:r>
        <w:rPr>
          <w:color w:val="2E2E2E"/>
          <w:sz w:val="18"/>
        </w:rPr>
        <w:tab/>
      </w:r>
      <w:r>
        <w:rPr>
          <w:sz w:val="18"/>
        </w:rPr>
        <w:t>Responder a las solicitudes de información y documentación de las instancias fiscalizadoras, así como atender y solventar las observaciones emitidas por dichas instancias, y</w:t>
      </w:r>
    </w:p>
    <w:p>
      <w:pPr>
        <w:pStyle w:val="ListParagraph"/>
        <w:numPr>
          <w:ilvl w:val="0"/>
          <w:numId w:val="14"/>
        </w:numPr>
        <w:tabs>
          <w:tab w:pos="1164" w:val="left" w:leader="none"/>
        </w:tabs>
        <w:spacing w:line="240" w:lineRule="auto" w:before="124" w:after="0"/>
        <w:ind w:left="1164" w:right="0" w:hanging="342"/>
        <w:jc w:val="left"/>
        <w:rPr>
          <w:sz w:val="18"/>
        </w:rPr>
      </w:pPr>
      <w:r>
        <w:rPr>
          <w:sz w:val="18"/>
        </w:rPr>
        <w:t>Promover la contraloría </w:t>
      </w:r>
      <w:r>
        <w:rPr>
          <w:spacing w:val="-2"/>
          <w:sz w:val="18"/>
        </w:rPr>
        <w:t>social.</w:t>
      </w:r>
    </w:p>
    <w:p>
      <w:pPr>
        <w:pStyle w:val="Heading2"/>
        <w:spacing w:before="101"/>
      </w:pPr>
      <w:r>
        <w:rPr/>
        <w:t>Obligaciones aplicables a todas las</w:t>
      </w:r>
      <w:r>
        <w:rPr>
          <w:spacing w:val="-7"/>
        </w:rPr>
        <w:t> </w:t>
      </w:r>
      <w:r>
        <w:rPr>
          <w:spacing w:val="-4"/>
        </w:rPr>
        <w:t>AEL;</w:t>
      </w:r>
    </w:p>
    <w:p>
      <w:pPr>
        <w:pStyle w:val="ListParagraph"/>
        <w:numPr>
          <w:ilvl w:val="0"/>
          <w:numId w:val="14"/>
        </w:numPr>
        <w:tabs>
          <w:tab w:pos="1182" w:val="left" w:leader="none"/>
          <w:tab w:pos="1239" w:val="left" w:leader="none"/>
        </w:tabs>
        <w:spacing w:line="240" w:lineRule="auto" w:before="124" w:after="0"/>
        <w:ind w:left="1182" w:right="117" w:hanging="360"/>
        <w:jc w:val="both"/>
        <w:rPr>
          <w:sz w:val="18"/>
        </w:rPr>
      </w:pPr>
      <w:r>
        <w:rPr>
          <w:color w:val="2E2E2E"/>
          <w:sz w:val="18"/>
        </w:rPr>
        <w:tab/>
      </w:r>
      <w:r>
        <w:rPr>
          <w:sz w:val="18"/>
        </w:rPr>
        <w:t>Aplicar los subsidios del PAPPEMS para la atención del Proyecto para el Avance en la Atención de la Educación Media Superior para Estudiantes con Discapacidad que corresponda, bajo los criterios de legalidad, honestidad, eficiencia, eficacia, economía, racionalidad, austeridad, transparencia, control de rendición de cuentas y equidad </w:t>
      </w:r>
      <w:r>
        <w:rPr>
          <w:sz w:val="18"/>
        </w:rPr>
        <w:t>de género, conforme a las disposiciones jurídicas aplicables;</w:t>
      </w:r>
    </w:p>
    <w:p>
      <w:pPr>
        <w:pStyle w:val="ListParagraph"/>
        <w:numPr>
          <w:ilvl w:val="0"/>
          <w:numId w:val="14"/>
        </w:numPr>
        <w:tabs>
          <w:tab w:pos="1177" w:val="left" w:leader="none"/>
          <w:tab w:pos="1182" w:val="left" w:leader="none"/>
        </w:tabs>
        <w:spacing w:line="240" w:lineRule="auto" w:before="110" w:after="0"/>
        <w:ind w:left="1182" w:right="117" w:hanging="360"/>
        <w:jc w:val="both"/>
        <w:rPr>
          <w:sz w:val="18"/>
        </w:rPr>
      </w:pPr>
      <w:r>
        <w:rPr>
          <w:sz w:val="18"/>
        </w:rPr>
        <w:t>Entregar a la CSPyA, los avances trimestrales físico-presupuestarios del Programa conforme al</w:t>
      </w:r>
      <w:r>
        <w:rPr>
          <w:spacing w:val="-9"/>
          <w:sz w:val="18"/>
        </w:rPr>
        <w:t> </w:t>
      </w:r>
      <w:r>
        <w:rPr>
          <w:sz w:val="18"/>
        </w:rPr>
        <w:t>Anexo 1e, </w:t>
      </w:r>
      <w:r>
        <w:rPr>
          <w:sz w:val="18"/>
        </w:rPr>
        <w:t>anexando los</w:t>
      </w:r>
      <w:r>
        <w:rPr>
          <w:spacing w:val="-1"/>
          <w:sz w:val="18"/>
        </w:rPr>
        <w:t> </w:t>
      </w:r>
      <w:r>
        <w:rPr>
          <w:sz w:val="18"/>
        </w:rPr>
        <w:t>estados</w:t>
      </w:r>
      <w:r>
        <w:rPr>
          <w:spacing w:val="-1"/>
          <w:sz w:val="18"/>
        </w:rPr>
        <w:t> </w:t>
      </w:r>
      <w:r>
        <w:rPr>
          <w:sz w:val="18"/>
        </w:rPr>
        <w:t>de</w:t>
      </w:r>
      <w:r>
        <w:rPr>
          <w:spacing w:val="-1"/>
          <w:sz w:val="18"/>
        </w:rPr>
        <w:t> </w:t>
      </w:r>
      <w:r>
        <w:rPr>
          <w:sz w:val="18"/>
        </w:rPr>
        <w:t>cuenta</w:t>
      </w:r>
      <w:r>
        <w:rPr>
          <w:spacing w:val="-1"/>
          <w:sz w:val="18"/>
        </w:rPr>
        <w:t> </w:t>
      </w:r>
      <w:r>
        <w:rPr>
          <w:sz w:val="18"/>
        </w:rPr>
        <w:t>bancarios</w:t>
      </w:r>
      <w:r>
        <w:rPr>
          <w:spacing w:val="-1"/>
          <w:sz w:val="18"/>
        </w:rPr>
        <w:t> </w:t>
      </w:r>
      <w:r>
        <w:rPr>
          <w:sz w:val="18"/>
        </w:rPr>
        <w:t>correspondientes,</w:t>
      </w:r>
      <w:r>
        <w:rPr>
          <w:spacing w:val="-1"/>
          <w:sz w:val="18"/>
        </w:rPr>
        <w:t> </w:t>
      </w:r>
      <w:r>
        <w:rPr>
          <w:sz w:val="18"/>
        </w:rPr>
        <w:t>15</w:t>
      </w:r>
      <w:r>
        <w:rPr>
          <w:spacing w:val="-1"/>
          <w:sz w:val="18"/>
        </w:rPr>
        <w:t> </w:t>
      </w:r>
      <w:r>
        <w:rPr>
          <w:sz w:val="18"/>
        </w:rPr>
        <w:t>(quince)</w:t>
      </w:r>
      <w:r>
        <w:rPr>
          <w:spacing w:val="-1"/>
          <w:sz w:val="18"/>
        </w:rPr>
        <w:t> </w:t>
      </w:r>
      <w:r>
        <w:rPr>
          <w:sz w:val="18"/>
        </w:rPr>
        <w:t>días</w:t>
      </w:r>
      <w:r>
        <w:rPr>
          <w:spacing w:val="-1"/>
          <w:sz w:val="18"/>
        </w:rPr>
        <w:t> </w:t>
      </w:r>
      <w:r>
        <w:rPr>
          <w:sz w:val="18"/>
        </w:rPr>
        <w:t>hábiles</w:t>
      </w:r>
      <w:r>
        <w:rPr>
          <w:spacing w:val="-1"/>
          <w:sz w:val="18"/>
        </w:rPr>
        <w:t> </w:t>
      </w:r>
      <w:r>
        <w:rPr>
          <w:sz w:val="18"/>
        </w:rPr>
        <w:t>posteriores</w:t>
      </w:r>
      <w:r>
        <w:rPr>
          <w:spacing w:val="-1"/>
          <w:sz w:val="18"/>
        </w:rPr>
        <w:t> </w:t>
      </w:r>
      <w:r>
        <w:rPr>
          <w:sz w:val="18"/>
        </w:rPr>
        <w:t>a</w:t>
      </w:r>
      <w:r>
        <w:rPr>
          <w:spacing w:val="-1"/>
          <w:sz w:val="18"/>
        </w:rPr>
        <w:t> </w:t>
      </w:r>
      <w:r>
        <w:rPr>
          <w:sz w:val="18"/>
        </w:rPr>
        <w:t>la</w:t>
      </w:r>
      <w:r>
        <w:rPr>
          <w:spacing w:val="-1"/>
          <w:sz w:val="18"/>
        </w:rPr>
        <w:t> </w:t>
      </w:r>
      <w:r>
        <w:rPr>
          <w:sz w:val="18"/>
        </w:rPr>
        <w:t>terminación</w:t>
      </w:r>
      <w:r>
        <w:rPr>
          <w:spacing w:val="-1"/>
          <w:sz w:val="18"/>
        </w:rPr>
        <w:t> </w:t>
      </w:r>
      <w:r>
        <w:rPr>
          <w:sz w:val="18"/>
        </w:rPr>
        <w:t>del</w:t>
      </w:r>
      <w:r>
        <w:rPr>
          <w:spacing w:val="-1"/>
          <w:sz w:val="18"/>
        </w:rPr>
        <w:t> </w:t>
      </w:r>
      <w:r>
        <w:rPr>
          <w:sz w:val="18"/>
        </w:rPr>
        <w:t>trimestre que se reporta; durante los 15 (quince) días hábiles posteriores a la terminación del trimestre que se reporta;</w:t>
      </w:r>
    </w:p>
    <w:p>
      <w:pPr>
        <w:pStyle w:val="ListParagraph"/>
        <w:numPr>
          <w:ilvl w:val="0"/>
          <w:numId w:val="14"/>
        </w:numPr>
        <w:tabs>
          <w:tab w:pos="1182" w:val="left" w:leader="none"/>
          <w:tab w:pos="1194" w:val="left" w:leader="none"/>
        </w:tabs>
        <w:spacing w:line="235" w:lineRule="auto" w:before="125" w:after="0"/>
        <w:ind w:left="1182" w:right="118" w:hanging="360"/>
        <w:jc w:val="both"/>
        <w:rPr>
          <w:sz w:val="18"/>
        </w:rPr>
      </w:pPr>
      <w:r>
        <w:rPr>
          <w:color w:val="2E2E2E"/>
          <w:sz w:val="18"/>
        </w:rPr>
        <w:tab/>
      </w:r>
      <w:r>
        <w:rPr>
          <w:sz w:val="18"/>
        </w:rPr>
        <w:t>Enviar a la CSPyA, los archivos electrónicos de los CFDI en formato PDF y XML, antes de cada ministración de los subsidios; lo anterior, de conformidad con lo establecido en el artículo 66, fracción III del RLFPRH;</w:t>
      </w:r>
    </w:p>
    <w:p>
      <w:pPr>
        <w:pStyle w:val="ListParagraph"/>
        <w:numPr>
          <w:ilvl w:val="0"/>
          <w:numId w:val="14"/>
        </w:numPr>
        <w:tabs>
          <w:tab w:pos="1182" w:val="left" w:leader="none"/>
          <w:tab w:pos="1284" w:val="left" w:leader="none"/>
        </w:tabs>
        <w:spacing w:line="240" w:lineRule="auto" w:before="110" w:after="0"/>
        <w:ind w:left="1182" w:right="117" w:hanging="360"/>
        <w:jc w:val="both"/>
        <w:rPr>
          <w:sz w:val="18"/>
        </w:rPr>
      </w:pPr>
      <w:r>
        <w:rPr>
          <w:color w:val="2E2E2E"/>
          <w:sz w:val="18"/>
        </w:rPr>
        <w:tab/>
      </w:r>
      <w:r>
        <w:rPr>
          <w:sz w:val="18"/>
        </w:rPr>
        <w:t>Solicitar a la Secretaría de Finanzas Estatal o equivalente la disposición de los recursos para la operación del PAPPEMS, que deberá ser efectuada en un plazo máximo de 10 (diez) días hábiles posteriores a la recepción de la notificación por parte de la CSPyA de la ministración de los recursos;</w:t>
      </w:r>
    </w:p>
    <w:p>
      <w:pPr>
        <w:pStyle w:val="ListParagraph"/>
        <w:numPr>
          <w:ilvl w:val="0"/>
          <w:numId w:val="14"/>
        </w:numPr>
        <w:tabs>
          <w:tab w:pos="1164" w:val="left" w:leader="none"/>
          <w:tab w:pos="1182" w:val="left" w:leader="none"/>
        </w:tabs>
        <w:spacing w:line="235" w:lineRule="auto" w:before="125" w:after="0"/>
        <w:ind w:left="1182" w:right="118" w:hanging="360"/>
        <w:jc w:val="both"/>
        <w:rPr>
          <w:sz w:val="18"/>
        </w:rPr>
      </w:pPr>
      <w:r>
        <w:rPr>
          <w:sz w:val="18"/>
        </w:rPr>
        <w:t>Contar</w:t>
      </w:r>
      <w:r>
        <w:rPr>
          <w:spacing w:val="-3"/>
          <w:sz w:val="18"/>
        </w:rPr>
        <w:t> </w:t>
      </w:r>
      <w:r>
        <w:rPr>
          <w:sz w:val="18"/>
        </w:rPr>
        <w:t>con</w:t>
      </w:r>
      <w:r>
        <w:rPr>
          <w:spacing w:val="-3"/>
          <w:sz w:val="18"/>
        </w:rPr>
        <w:t> </w:t>
      </w:r>
      <w:r>
        <w:rPr>
          <w:sz w:val="18"/>
        </w:rPr>
        <w:t>una</w:t>
      </w:r>
      <w:r>
        <w:rPr>
          <w:spacing w:val="-3"/>
          <w:sz w:val="18"/>
        </w:rPr>
        <w:t> </w:t>
      </w:r>
      <w:r>
        <w:rPr>
          <w:sz w:val="18"/>
        </w:rPr>
        <w:t>cuenta</w:t>
      </w:r>
      <w:r>
        <w:rPr>
          <w:spacing w:val="-3"/>
          <w:sz w:val="18"/>
        </w:rPr>
        <w:t> </w:t>
      </w:r>
      <w:r>
        <w:rPr>
          <w:sz w:val="18"/>
        </w:rPr>
        <w:t>bancaria</w:t>
      </w:r>
      <w:r>
        <w:rPr>
          <w:spacing w:val="-3"/>
          <w:sz w:val="18"/>
        </w:rPr>
        <w:t> </w:t>
      </w:r>
      <w:r>
        <w:rPr>
          <w:sz w:val="18"/>
        </w:rPr>
        <w:t>productiva</w:t>
      </w:r>
      <w:r>
        <w:rPr>
          <w:spacing w:val="-3"/>
          <w:sz w:val="18"/>
        </w:rPr>
        <w:t> </w:t>
      </w:r>
      <w:r>
        <w:rPr>
          <w:sz w:val="18"/>
        </w:rPr>
        <w:t>específica</w:t>
      </w:r>
      <w:r>
        <w:rPr>
          <w:spacing w:val="-3"/>
          <w:sz w:val="18"/>
        </w:rPr>
        <w:t> </w:t>
      </w:r>
      <w:r>
        <w:rPr>
          <w:sz w:val="18"/>
        </w:rPr>
        <w:t>del</w:t>
      </w:r>
      <w:r>
        <w:rPr>
          <w:spacing w:val="-3"/>
          <w:sz w:val="18"/>
        </w:rPr>
        <w:t> </w:t>
      </w:r>
      <w:r>
        <w:rPr>
          <w:sz w:val="18"/>
        </w:rPr>
        <w:t>PAPPEMS</w:t>
      </w:r>
      <w:r>
        <w:rPr>
          <w:spacing w:val="-3"/>
          <w:sz w:val="18"/>
        </w:rPr>
        <w:t> </w:t>
      </w:r>
      <w:r>
        <w:rPr>
          <w:sz w:val="18"/>
        </w:rPr>
        <w:t>para</w:t>
      </w:r>
      <w:r>
        <w:rPr>
          <w:spacing w:val="-3"/>
          <w:sz w:val="18"/>
        </w:rPr>
        <w:t> </w:t>
      </w:r>
      <w:r>
        <w:rPr>
          <w:sz w:val="18"/>
        </w:rPr>
        <w:t>la</w:t>
      </w:r>
      <w:r>
        <w:rPr>
          <w:spacing w:val="-3"/>
          <w:sz w:val="18"/>
        </w:rPr>
        <w:t> </w:t>
      </w:r>
      <w:r>
        <w:rPr>
          <w:sz w:val="18"/>
        </w:rPr>
        <w:t>recepción</w:t>
      </w:r>
      <w:r>
        <w:rPr>
          <w:spacing w:val="-3"/>
          <w:sz w:val="18"/>
        </w:rPr>
        <w:t> </w:t>
      </w:r>
      <w:r>
        <w:rPr>
          <w:sz w:val="18"/>
        </w:rPr>
        <w:t>de</w:t>
      </w:r>
      <w:r>
        <w:rPr>
          <w:spacing w:val="-3"/>
          <w:sz w:val="18"/>
        </w:rPr>
        <w:t> </w:t>
      </w:r>
      <w:r>
        <w:rPr>
          <w:sz w:val="18"/>
        </w:rPr>
        <w:t>los</w:t>
      </w:r>
      <w:r>
        <w:rPr>
          <w:spacing w:val="-3"/>
          <w:sz w:val="18"/>
        </w:rPr>
        <w:t> </w:t>
      </w:r>
      <w:r>
        <w:rPr>
          <w:sz w:val="18"/>
        </w:rPr>
        <w:t>subsidios,</w:t>
      </w:r>
      <w:r>
        <w:rPr>
          <w:spacing w:val="-3"/>
          <w:sz w:val="18"/>
        </w:rPr>
        <w:t> </w:t>
      </w:r>
      <w:r>
        <w:rPr>
          <w:sz w:val="18"/>
        </w:rPr>
        <w:t>sólo</w:t>
      </w:r>
      <w:r>
        <w:rPr>
          <w:spacing w:val="-3"/>
          <w:sz w:val="18"/>
        </w:rPr>
        <w:t> </w:t>
      </w:r>
      <w:r>
        <w:rPr>
          <w:sz w:val="18"/>
        </w:rPr>
        <w:t>en</w:t>
      </w:r>
      <w:r>
        <w:rPr>
          <w:spacing w:val="-3"/>
          <w:sz w:val="18"/>
        </w:rPr>
        <w:t> </w:t>
      </w:r>
      <w:r>
        <w:rPr>
          <w:sz w:val="18"/>
        </w:rPr>
        <w:t>caso de que la operatividad estatal lo requiera;</w:t>
      </w:r>
    </w:p>
    <w:p>
      <w:pPr>
        <w:pStyle w:val="ListParagraph"/>
        <w:numPr>
          <w:ilvl w:val="0"/>
          <w:numId w:val="14"/>
        </w:numPr>
        <w:tabs>
          <w:tab w:pos="1182" w:val="left" w:leader="none"/>
          <w:tab w:pos="1184" w:val="left" w:leader="none"/>
        </w:tabs>
        <w:spacing w:line="235" w:lineRule="auto" w:before="113" w:after="0"/>
        <w:ind w:left="1182" w:right="118" w:hanging="360"/>
        <w:jc w:val="both"/>
        <w:rPr>
          <w:sz w:val="18"/>
        </w:rPr>
      </w:pPr>
      <w:r>
        <w:rPr>
          <w:color w:val="2E2E2E"/>
          <w:sz w:val="18"/>
        </w:rPr>
        <w:tab/>
      </w:r>
      <w:r>
        <w:rPr>
          <w:sz w:val="18"/>
        </w:rPr>
        <w:t>Establecer en el ámbito de su competencia, los mecanismos que aseguren el destino, la aplicación, la transparencia y el seguimiento de los subsidios otorgados para la operación del PAPPEMS;</w:t>
      </w:r>
    </w:p>
    <w:p>
      <w:pPr>
        <w:pStyle w:val="ListParagraph"/>
        <w:numPr>
          <w:ilvl w:val="0"/>
          <w:numId w:val="14"/>
        </w:numPr>
        <w:tabs>
          <w:tab w:pos="1182" w:val="left" w:leader="none"/>
          <w:tab w:pos="1301" w:val="left" w:leader="none"/>
        </w:tabs>
        <w:spacing w:line="240" w:lineRule="auto" w:before="124" w:after="0"/>
        <w:ind w:left="1182" w:right="118" w:hanging="360"/>
        <w:jc w:val="both"/>
        <w:rPr>
          <w:sz w:val="18"/>
        </w:rPr>
      </w:pPr>
      <w:r>
        <w:rPr>
          <w:color w:val="2E2E2E"/>
          <w:sz w:val="18"/>
        </w:rPr>
        <w:tab/>
      </w:r>
      <w:r>
        <w:rPr>
          <w:sz w:val="18"/>
        </w:rPr>
        <w:t>Resguardar por un periodo de 5 (cinco) años la información comprobatoria correspondiente al ejercicio de </w:t>
      </w:r>
      <w:r>
        <w:rPr>
          <w:sz w:val="18"/>
        </w:rPr>
        <w:t>los subsidios asignados y los entregados para la operación del PAPPEMS, misma que podrá ser requerida por las instancias fiscalizadoras conforme a la normatividad jurídica aplicable;</w:t>
      </w:r>
    </w:p>
    <w:p>
      <w:pPr>
        <w:pStyle w:val="ListParagraph"/>
        <w:numPr>
          <w:ilvl w:val="0"/>
          <w:numId w:val="14"/>
        </w:numPr>
        <w:tabs>
          <w:tab w:pos="1182" w:val="left" w:leader="none"/>
          <w:tab w:pos="1215" w:val="left" w:leader="none"/>
        </w:tabs>
        <w:spacing w:line="235" w:lineRule="auto" w:before="126" w:after="0"/>
        <w:ind w:left="1182" w:right="118" w:hanging="360"/>
        <w:jc w:val="both"/>
        <w:rPr>
          <w:sz w:val="18"/>
        </w:rPr>
      </w:pPr>
      <w:r>
        <w:rPr>
          <w:color w:val="2E2E2E"/>
          <w:sz w:val="18"/>
        </w:rPr>
        <w:tab/>
      </w:r>
      <w:r>
        <w:rPr>
          <w:sz w:val="18"/>
        </w:rPr>
        <w:t>Colaborar con las evaluaciones internas y externas efectuadas por instancias locales, nacionales e internacionales referidas a las presentes RO;</w:t>
      </w:r>
    </w:p>
    <w:p>
      <w:pPr>
        <w:pStyle w:val="ListParagraph"/>
        <w:numPr>
          <w:ilvl w:val="0"/>
          <w:numId w:val="14"/>
        </w:numPr>
        <w:tabs>
          <w:tab w:pos="1182" w:val="left" w:leader="none"/>
          <w:tab w:pos="1244" w:val="left" w:leader="none"/>
        </w:tabs>
        <w:spacing w:line="235" w:lineRule="auto" w:before="113" w:after="0"/>
        <w:ind w:left="1182" w:right="118" w:hanging="360"/>
        <w:jc w:val="both"/>
        <w:rPr>
          <w:sz w:val="18"/>
        </w:rPr>
      </w:pPr>
      <w:r>
        <w:rPr>
          <w:color w:val="2E2E2E"/>
          <w:sz w:val="18"/>
        </w:rPr>
        <w:tab/>
      </w:r>
      <w:r>
        <w:rPr>
          <w:sz w:val="18"/>
        </w:rPr>
        <w:t>Responder a las solicitudes de información y documentación de las instancias fiscalizadoras, así como atender y solventar las observaciones emitidas por dichas instancias, y</w:t>
      </w:r>
    </w:p>
    <w:p>
      <w:pPr>
        <w:pStyle w:val="ListParagraph"/>
        <w:numPr>
          <w:ilvl w:val="0"/>
          <w:numId w:val="14"/>
        </w:numPr>
        <w:tabs>
          <w:tab w:pos="1164" w:val="left" w:leader="none"/>
        </w:tabs>
        <w:spacing w:line="240" w:lineRule="auto" w:before="124" w:after="0"/>
        <w:ind w:left="1164" w:right="0" w:hanging="342"/>
        <w:jc w:val="left"/>
        <w:rPr>
          <w:sz w:val="18"/>
        </w:rPr>
      </w:pPr>
      <w:r>
        <w:rPr>
          <w:sz w:val="18"/>
        </w:rPr>
        <w:t>Promover la contraloría social, y designar al Enlace de Contraloría </w:t>
      </w:r>
      <w:r>
        <w:rPr>
          <w:spacing w:val="-2"/>
          <w:sz w:val="18"/>
        </w:rPr>
        <w:t>Social.</w:t>
      </w:r>
    </w:p>
    <w:p>
      <w:pPr>
        <w:pStyle w:val="Heading2"/>
        <w:numPr>
          <w:ilvl w:val="0"/>
          <w:numId w:val="14"/>
        </w:numPr>
        <w:tabs>
          <w:tab w:pos="1164" w:val="left" w:leader="none"/>
        </w:tabs>
        <w:spacing w:line="240" w:lineRule="auto" w:before="101" w:after="0"/>
        <w:ind w:left="1164" w:right="0" w:hanging="342"/>
        <w:jc w:val="left"/>
      </w:pPr>
      <w:r>
        <w:rPr/>
        <w:t>Obligaciones aplicables a la </w:t>
      </w:r>
      <w:r>
        <w:rPr>
          <w:spacing w:val="-4"/>
        </w:rPr>
        <w:t>SEMS</w:t>
      </w:r>
    </w:p>
    <w:p>
      <w:pPr>
        <w:pStyle w:val="ListParagraph"/>
        <w:numPr>
          <w:ilvl w:val="0"/>
          <w:numId w:val="14"/>
        </w:numPr>
        <w:tabs>
          <w:tab w:pos="1182" w:val="left" w:leader="none"/>
          <w:tab w:pos="1184" w:val="left" w:leader="none"/>
        </w:tabs>
        <w:spacing w:line="235" w:lineRule="auto" w:before="120" w:after="0"/>
        <w:ind w:left="1182" w:right="118" w:hanging="360"/>
        <w:jc w:val="both"/>
        <w:rPr>
          <w:sz w:val="18"/>
        </w:rPr>
      </w:pPr>
      <w:r>
        <w:rPr>
          <w:color w:val="2E2E2E"/>
          <w:sz w:val="18"/>
        </w:rPr>
        <w:tab/>
      </w:r>
      <w:r>
        <w:rPr>
          <w:sz w:val="18"/>
        </w:rPr>
        <w:t>Establecer en el ámbito de su competencia, los mecanismos que aseguren el destino, la aplicación, la transparencia y el seguimiento de los subsidios otorgados para la operación del PAPPEMS.</w:t>
      </w:r>
    </w:p>
    <w:p>
      <w:pPr>
        <w:pStyle w:val="ListParagraph"/>
        <w:numPr>
          <w:ilvl w:val="0"/>
          <w:numId w:val="14"/>
        </w:numPr>
        <w:tabs>
          <w:tab w:pos="1164" w:val="left" w:leader="none"/>
        </w:tabs>
        <w:spacing w:line="240" w:lineRule="auto" w:before="124" w:after="0"/>
        <w:ind w:left="1164" w:right="0" w:hanging="342"/>
        <w:jc w:val="left"/>
        <w:rPr>
          <w:sz w:val="18"/>
        </w:rPr>
      </w:pPr>
      <w:r>
        <w:rPr>
          <w:sz w:val="18"/>
        </w:rPr>
        <w:t>Desarrollar</w:t>
      </w:r>
      <w:r>
        <w:rPr>
          <w:spacing w:val="-1"/>
          <w:sz w:val="18"/>
        </w:rPr>
        <w:t> </w:t>
      </w:r>
      <w:r>
        <w:rPr>
          <w:sz w:val="18"/>
        </w:rPr>
        <w:t>acciones</w:t>
      </w:r>
      <w:r>
        <w:rPr>
          <w:spacing w:val="-1"/>
          <w:sz w:val="18"/>
        </w:rPr>
        <w:t> </w:t>
      </w:r>
      <w:r>
        <w:rPr>
          <w:sz w:val="18"/>
        </w:rPr>
        <w:t>de</w:t>
      </w:r>
      <w:r>
        <w:rPr>
          <w:spacing w:val="-1"/>
          <w:sz w:val="18"/>
        </w:rPr>
        <w:t> </w:t>
      </w:r>
      <w:r>
        <w:rPr>
          <w:sz w:val="18"/>
        </w:rPr>
        <w:t>seguimiento</w:t>
      </w:r>
      <w:r>
        <w:rPr>
          <w:spacing w:val="-1"/>
          <w:sz w:val="18"/>
        </w:rPr>
        <w:t> </w:t>
      </w:r>
      <w:r>
        <w:rPr>
          <w:sz w:val="18"/>
        </w:rPr>
        <w:t>de</w:t>
      </w:r>
      <w:r>
        <w:rPr>
          <w:spacing w:val="-1"/>
          <w:sz w:val="18"/>
        </w:rPr>
        <w:t> </w:t>
      </w:r>
      <w:r>
        <w:rPr>
          <w:sz w:val="18"/>
        </w:rPr>
        <w:t>avances en</w:t>
      </w:r>
      <w:r>
        <w:rPr>
          <w:spacing w:val="-1"/>
          <w:sz w:val="18"/>
        </w:rPr>
        <w:t> </w:t>
      </w:r>
      <w:r>
        <w:rPr>
          <w:sz w:val="18"/>
        </w:rPr>
        <w:t>el</w:t>
      </w:r>
      <w:r>
        <w:rPr>
          <w:spacing w:val="-1"/>
          <w:sz w:val="18"/>
        </w:rPr>
        <w:t> </w:t>
      </w:r>
      <w:r>
        <w:rPr>
          <w:sz w:val="18"/>
        </w:rPr>
        <w:t>cumplimiento</w:t>
      </w:r>
      <w:r>
        <w:rPr>
          <w:spacing w:val="-1"/>
          <w:sz w:val="18"/>
        </w:rPr>
        <w:t> </w:t>
      </w:r>
      <w:r>
        <w:rPr>
          <w:sz w:val="18"/>
        </w:rPr>
        <w:t>de</w:t>
      </w:r>
      <w:r>
        <w:rPr>
          <w:spacing w:val="-1"/>
          <w:sz w:val="18"/>
        </w:rPr>
        <w:t> </w:t>
      </w:r>
      <w:r>
        <w:rPr>
          <w:sz w:val="18"/>
        </w:rPr>
        <w:t>metas</w:t>
      </w:r>
      <w:r>
        <w:rPr>
          <w:spacing w:val="-1"/>
          <w:sz w:val="18"/>
        </w:rPr>
        <w:t> </w:t>
      </w:r>
      <w:r>
        <w:rPr>
          <w:sz w:val="18"/>
        </w:rPr>
        <w:t>del PAPPEMS</w:t>
      </w:r>
      <w:r>
        <w:rPr>
          <w:spacing w:val="-1"/>
          <w:sz w:val="18"/>
        </w:rPr>
        <w:t> </w:t>
      </w:r>
      <w:r>
        <w:rPr>
          <w:sz w:val="18"/>
        </w:rPr>
        <w:t>a</w:t>
      </w:r>
      <w:r>
        <w:rPr>
          <w:spacing w:val="-1"/>
          <w:sz w:val="18"/>
        </w:rPr>
        <w:t> </w:t>
      </w:r>
      <w:r>
        <w:rPr>
          <w:sz w:val="18"/>
        </w:rPr>
        <w:t>través</w:t>
      </w:r>
      <w:r>
        <w:rPr>
          <w:spacing w:val="-1"/>
          <w:sz w:val="18"/>
        </w:rPr>
        <w:t> </w:t>
      </w:r>
      <w:r>
        <w:rPr>
          <w:sz w:val="18"/>
        </w:rPr>
        <w:t>de</w:t>
      </w:r>
      <w:r>
        <w:rPr>
          <w:spacing w:val="-1"/>
          <w:sz w:val="18"/>
        </w:rPr>
        <w:t> </w:t>
      </w:r>
      <w:r>
        <w:rPr>
          <w:sz w:val="18"/>
        </w:rPr>
        <w:t>las</w:t>
      </w:r>
      <w:r>
        <w:rPr>
          <w:spacing w:val="-10"/>
          <w:sz w:val="18"/>
        </w:rPr>
        <w:t> </w:t>
      </w:r>
      <w:r>
        <w:rPr>
          <w:spacing w:val="-4"/>
          <w:sz w:val="18"/>
        </w:rPr>
        <w:t>AEL;</w:t>
      </w:r>
    </w:p>
    <w:p>
      <w:pPr>
        <w:pStyle w:val="ListParagraph"/>
        <w:numPr>
          <w:ilvl w:val="0"/>
          <w:numId w:val="14"/>
        </w:numPr>
        <w:tabs>
          <w:tab w:pos="1182" w:val="left" w:leader="none"/>
          <w:tab w:pos="1280" w:val="left" w:leader="none"/>
        </w:tabs>
        <w:spacing w:line="235" w:lineRule="auto" w:before="104" w:after="0"/>
        <w:ind w:left="1182" w:right="118" w:hanging="360"/>
        <w:jc w:val="both"/>
        <w:rPr>
          <w:sz w:val="18"/>
        </w:rPr>
      </w:pPr>
      <w:r>
        <w:rPr>
          <w:color w:val="2E2E2E"/>
          <w:sz w:val="18"/>
        </w:rPr>
        <w:tab/>
      </w:r>
      <w:r>
        <w:rPr>
          <w:sz w:val="18"/>
        </w:rPr>
        <w:t>Las demás obligaciones de la SEMS se encuentran señaladas en las funciones referidas en el apartado 3.6.1. "Instancias ejecutoras".</w:t>
      </w:r>
    </w:p>
    <w:p>
      <w:pPr>
        <w:pStyle w:val="Heading2"/>
        <w:spacing w:before="5"/>
      </w:pPr>
      <w:r>
        <w:rPr/>
        <w:t>Causas de incumplimiento, suspensión o cancelación de los </w:t>
      </w:r>
      <w:r>
        <w:rPr>
          <w:spacing w:val="-2"/>
        </w:rPr>
        <w:t>recursos.</w:t>
      </w:r>
    </w:p>
    <w:p>
      <w:pPr>
        <w:spacing w:after="0"/>
        <w:sectPr>
          <w:pgSz w:w="12240" w:h="15840"/>
          <w:pgMar w:header="269" w:footer="260" w:top="460" w:bottom="440" w:left="860" w:right="720"/>
        </w:sectPr>
      </w:pPr>
    </w:p>
    <w:p>
      <w:pPr>
        <w:pStyle w:val="BodyText"/>
        <w:spacing w:line="242" w:lineRule="auto" w:before="82"/>
        <w:ind w:right="0"/>
        <w:jc w:val="left"/>
      </w:pPr>
      <w:r>
        <w:rPr/>
        <w:t>La</w:t>
      </w:r>
      <w:r>
        <w:rPr>
          <w:spacing w:val="20"/>
        </w:rPr>
        <w:t> </w:t>
      </w:r>
      <w:r>
        <w:rPr/>
        <w:t>suspensión</w:t>
      </w:r>
      <w:r>
        <w:rPr>
          <w:spacing w:val="20"/>
        </w:rPr>
        <w:t> </w:t>
      </w:r>
      <w:r>
        <w:rPr/>
        <w:t>y/o</w:t>
      </w:r>
      <w:r>
        <w:rPr>
          <w:spacing w:val="20"/>
        </w:rPr>
        <w:t> </w:t>
      </w:r>
      <w:r>
        <w:rPr/>
        <w:t>cancelación</w:t>
      </w:r>
      <w:r>
        <w:rPr>
          <w:spacing w:val="20"/>
        </w:rPr>
        <w:t> </w:t>
      </w:r>
      <w:r>
        <w:rPr/>
        <w:t>de</w:t>
      </w:r>
      <w:r>
        <w:rPr>
          <w:spacing w:val="20"/>
        </w:rPr>
        <w:t> </w:t>
      </w:r>
      <w:r>
        <w:rPr/>
        <w:t>los</w:t>
      </w:r>
      <w:r>
        <w:rPr>
          <w:spacing w:val="20"/>
        </w:rPr>
        <w:t> </w:t>
      </w:r>
      <w:r>
        <w:rPr/>
        <w:t>recursos</w:t>
      </w:r>
      <w:r>
        <w:rPr>
          <w:spacing w:val="20"/>
        </w:rPr>
        <w:t> </w:t>
      </w:r>
      <w:r>
        <w:rPr/>
        <w:t>a</w:t>
      </w:r>
      <w:r>
        <w:rPr>
          <w:spacing w:val="20"/>
        </w:rPr>
        <w:t> </w:t>
      </w:r>
      <w:r>
        <w:rPr/>
        <w:t>los</w:t>
      </w:r>
      <w:r>
        <w:rPr>
          <w:spacing w:val="20"/>
        </w:rPr>
        <w:t> </w:t>
      </w:r>
      <w:r>
        <w:rPr/>
        <w:t>planteles</w:t>
      </w:r>
      <w:r>
        <w:rPr>
          <w:spacing w:val="20"/>
        </w:rPr>
        <w:t> </w:t>
      </w:r>
      <w:r>
        <w:rPr/>
        <w:t>públicos</w:t>
      </w:r>
      <w:r>
        <w:rPr>
          <w:spacing w:val="20"/>
        </w:rPr>
        <w:t> </w:t>
      </w:r>
      <w:r>
        <w:rPr/>
        <w:t>se</w:t>
      </w:r>
      <w:r>
        <w:rPr>
          <w:spacing w:val="20"/>
        </w:rPr>
        <w:t> </w:t>
      </w:r>
      <w:r>
        <w:rPr/>
        <w:t>realizarán</w:t>
      </w:r>
      <w:r>
        <w:rPr>
          <w:spacing w:val="20"/>
        </w:rPr>
        <w:t> </w:t>
      </w:r>
      <w:r>
        <w:rPr/>
        <w:t>conforme</w:t>
      </w:r>
      <w:r>
        <w:rPr>
          <w:spacing w:val="20"/>
        </w:rPr>
        <w:t> </w:t>
      </w:r>
      <w:r>
        <w:rPr/>
        <w:t>a</w:t>
      </w:r>
      <w:r>
        <w:rPr>
          <w:spacing w:val="20"/>
        </w:rPr>
        <w:t> </w:t>
      </w:r>
      <w:r>
        <w:rPr/>
        <w:t>los</w:t>
      </w:r>
      <w:r>
        <w:rPr>
          <w:spacing w:val="20"/>
        </w:rPr>
        <w:t> </w:t>
      </w:r>
      <w:r>
        <w:rPr/>
        <w:t>siguientes</w:t>
      </w:r>
      <w:r>
        <w:rPr>
          <w:spacing w:val="20"/>
        </w:rPr>
        <w:t> </w:t>
      </w:r>
      <w:r>
        <w:rPr/>
        <w:t>criterios</w:t>
      </w:r>
      <w:r>
        <w:rPr>
          <w:spacing w:val="20"/>
        </w:rPr>
        <w:t> </w:t>
      </w:r>
      <w:r>
        <w:rPr/>
        <w:t>de </w:t>
      </w:r>
      <w:r>
        <w:rPr>
          <w:spacing w:val="-2"/>
        </w:rPr>
        <w:t>incumplimiento:</w:t>
      </w:r>
    </w:p>
    <w:p>
      <w:pPr>
        <w:pStyle w:val="BodyText"/>
        <w:spacing w:before="7"/>
        <w:ind w:left="0" w:right="0" w:firstLine="0"/>
        <w:jc w:val="left"/>
        <w:rPr>
          <w:sz w:val="9"/>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95"/>
        <w:gridCol w:w="5205"/>
      </w:tblGrid>
      <w:tr>
        <w:trPr>
          <w:trHeight w:val="329" w:hRule="atLeast"/>
        </w:trPr>
        <w:tc>
          <w:tcPr>
            <w:tcW w:w="4095" w:type="dxa"/>
          </w:tcPr>
          <w:p>
            <w:pPr>
              <w:pStyle w:val="TableParagraph"/>
              <w:spacing w:before="11"/>
              <w:ind w:left="15"/>
              <w:jc w:val="center"/>
              <w:rPr>
                <w:rFonts w:ascii="Arial"/>
                <w:b/>
                <w:sz w:val="18"/>
              </w:rPr>
            </w:pPr>
            <w:r>
              <w:rPr>
                <w:rFonts w:ascii="Arial"/>
                <w:b/>
                <w:spacing w:val="-2"/>
                <w:sz w:val="18"/>
              </w:rPr>
              <w:t>Incumplimiento</w:t>
            </w:r>
          </w:p>
        </w:tc>
        <w:tc>
          <w:tcPr>
            <w:tcW w:w="5205" w:type="dxa"/>
          </w:tcPr>
          <w:p>
            <w:pPr>
              <w:pStyle w:val="TableParagraph"/>
              <w:spacing w:before="11"/>
              <w:ind w:left="16"/>
              <w:jc w:val="center"/>
              <w:rPr>
                <w:rFonts w:ascii="Arial"/>
                <w:b/>
                <w:sz w:val="18"/>
              </w:rPr>
            </w:pPr>
            <w:r>
              <w:rPr>
                <w:rFonts w:ascii="Arial"/>
                <w:b/>
                <w:spacing w:val="-2"/>
                <w:sz w:val="18"/>
              </w:rPr>
              <w:t>Consecuencia</w:t>
            </w:r>
          </w:p>
        </w:tc>
      </w:tr>
      <w:tr>
        <w:trPr>
          <w:trHeight w:val="1064" w:hRule="atLeast"/>
        </w:trPr>
        <w:tc>
          <w:tcPr>
            <w:tcW w:w="4095" w:type="dxa"/>
          </w:tcPr>
          <w:p>
            <w:pPr>
              <w:pStyle w:val="TableParagraph"/>
              <w:spacing w:line="242" w:lineRule="auto" w:before="26"/>
              <w:ind w:left="511" w:right="61" w:hanging="432"/>
              <w:jc w:val="both"/>
              <w:rPr>
                <w:sz w:val="18"/>
              </w:rPr>
            </w:pPr>
            <w:r>
              <w:rPr>
                <w:sz w:val="18"/>
              </w:rPr>
              <w:t>a)</w:t>
            </w:r>
            <w:r>
              <w:rPr>
                <w:spacing w:val="80"/>
                <w:sz w:val="18"/>
              </w:rPr>
              <w:t>  </w:t>
            </w:r>
            <w:r>
              <w:rPr>
                <w:sz w:val="18"/>
              </w:rPr>
              <w:t>La no entrega oportuna en tiempo y </w:t>
            </w:r>
            <w:r>
              <w:rPr>
                <w:sz w:val="18"/>
              </w:rPr>
              <w:t>forma de los avances físicos </w:t>
            </w:r>
            <w:r>
              <w:rPr>
                <w:sz w:val="18"/>
              </w:rPr>
              <w:t>financieros señalados en el numeral 4.2.1. de </w:t>
            </w:r>
            <w:r>
              <w:rPr>
                <w:sz w:val="18"/>
              </w:rPr>
              <w:t>las presentes RO.</w:t>
            </w:r>
          </w:p>
        </w:tc>
        <w:tc>
          <w:tcPr>
            <w:tcW w:w="5205" w:type="dxa"/>
          </w:tcPr>
          <w:p>
            <w:pPr>
              <w:pStyle w:val="TableParagraph"/>
              <w:tabs>
                <w:tab w:pos="1335" w:val="left" w:leader="none"/>
                <w:tab w:pos="1850" w:val="left" w:leader="none"/>
                <w:tab w:pos="2395" w:val="left" w:leader="none"/>
                <w:tab w:pos="3861" w:val="left" w:leader="none"/>
                <w:tab w:pos="4376" w:val="left" w:leader="none"/>
              </w:tabs>
              <w:spacing w:line="242" w:lineRule="auto" w:before="11"/>
              <w:ind w:left="80" w:right="61"/>
              <w:rPr>
                <w:sz w:val="18"/>
              </w:rPr>
            </w:pPr>
            <w:r>
              <w:rPr>
                <w:spacing w:val="-2"/>
                <w:sz w:val="18"/>
              </w:rPr>
              <w:t>Suspensión</w:t>
            </w:r>
            <w:r>
              <w:rPr>
                <w:sz w:val="18"/>
              </w:rPr>
              <w:tab/>
            </w:r>
            <w:r>
              <w:rPr>
                <w:spacing w:val="-6"/>
                <w:sz w:val="18"/>
              </w:rPr>
              <w:t>de</w:t>
            </w:r>
            <w:r>
              <w:rPr>
                <w:sz w:val="18"/>
              </w:rPr>
              <w:tab/>
            </w:r>
            <w:r>
              <w:rPr>
                <w:spacing w:val="-4"/>
                <w:sz w:val="18"/>
              </w:rPr>
              <w:t>las</w:t>
            </w:r>
            <w:r>
              <w:rPr>
                <w:sz w:val="18"/>
              </w:rPr>
              <w:tab/>
            </w:r>
            <w:r>
              <w:rPr>
                <w:spacing w:val="-2"/>
                <w:sz w:val="18"/>
              </w:rPr>
              <w:t>ministraciones</w:t>
            </w:r>
            <w:r>
              <w:rPr>
                <w:sz w:val="18"/>
              </w:rPr>
              <w:tab/>
            </w:r>
            <w:r>
              <w:rPr>
                <w:spacing w:val="-6"/>
                <w:sz w:val="18"/>
              </w:rPr>
              <w:t>de</w:t>
            </w:r>
            <w:r>
              <w:rPr>
                <w:sz w:val="18"/>
              </w:rPr>
              <w:tab/>
            </w:r>
            <w:r>
              <w:rPr>
                <w:spacing w:val="-2"/>
                <w:sz w:val="18"/>
              </w:rPr>
              <w:t>subsidios </w:t>
            </w:r>
            <w:r>
              <w:rPr>
                <w:sz w:val="18"/>
              </w:rPr>
              <w:t>presupuestarios en el ejercicio fiscal 2024.</w:t>
            </w:r>
          </w:p>
          <w:p>
            <w:pPr>
              <w:pStyle w:val="TableParagraph"/>
              <w:spacing w:line="242" w:lineRule="auto" w:before="107"/>
              <w:ind w:left="80"/>
              <w:rPr>
                <w:sz w:val="18"/>
              </w:rPr>
            </w:pPr>
            <w:r>
              <w:rPr>
                <w:sz w:val="18"/>
              </w:rPr>
              <w:t>Una</w:t>
            </w:r>
            <w:r>
              <w:rPr>
                <w:spacing w:val="40"/>
                <w:sz w:val="18"/>
              </w:rPr>
              <w:t> </w:t>
            </w:r>
            <w:r>
              <w:rPr>
                <w:sz w:val="18"/>
              </w:rPr>
              <w:t>vez</w:t>
            </w:r>
            <w:r>
              <w:rPr>
                <w:spacing w:val="40"/>
                <w:sz w:val="18"/>
              </w:rPr>
              <w:t> </w:t>
            </w:r>
            <w:r>
              <w:rPr>
                <w:sz w:val="18"/>
              </w:rPr>
              <w:t>subsanado</w:t>
            </w:r>
            <w:r>
              <w:rPr>
                <w:spacing w:val="40"/>
                <w:sz w:val="18"/>
              </w:rPr>
              <w:t> </w:t>
            </w:r>
            <w:r>
              <w:rPr>
                <w:sz w:val="18"/>
              </w:rPr>
              <w:t>el</w:t>
            </w:r>
            <w:r>
              <w:rPr>
                <w:spacing w:val="40"/>
                <w:sz w:val="18"/>
              </w:rPr>
              <w:t> </w:t>
            </w:r>
            <w:r>
              <w:rPr>
                <w:sz w:val="18"/>
              </w:rPr>
              <w:t>incumplimiento,</w:t>
            </w:r>
            <w:r>
              <w:rPr>
                <w:spacing w:val="40"/>
                <w:sz w:val="18"/>
              </w:rPr>
              <w:t> </w:t>
            </w:r>
            <w:r>
              <w:rPr>
                <w:sz w:val="18"/>
              </w:rPr>
              <w:t>será</w:t>
            </w:r>
            <w:r>
              <w:rPr>
                <w:spacing w:val="40"/>
                <w:sz w:val="18"/>
              </w:rPr>
              <w:t> </w:t>
            </w:r>
            <w:r>
              <w:rPr>
                <w:sz w:val="18"/>
              </w:rPr>
              <w:t>levantada</w:t>
            </w:r>
            <w:r>
              <w:rPr>
                <w:spacing w:val="40"/>
                <w:sz w:val="18"/>
              </w:rPr>
              <w:t> </w:t>
            </w:r>
            <w:r>
              <w:rPr>
                <w:sz w:val="18"/>
              </w:rPr>
              <w:t>la</w:t>
            </w:r>
            <w:r>
              <w:rPr>
                <w:spacing w:val="40"/>
                <w:sz w:val="18"/>
              </w:rPr>
              <w:t> </w:t>
            </w:r>
            <w:r>
              <w:rPr>
                <w:spacing w:val="-2"/>
                <w:sz w:val="18"/>
              </w:rPr>
              <w:t>suspensión.</w:t>
            </w:r>
          </w:p>
        </w:tc>
      </w:tr>
      <w:tr>
        <w:trPr>
          <w:trHeight w:val="492" w:hRule="atLeast"/>
        </w:trPr>
        <w:tc>
          <w:tcPr>
            <w:tcW w:w="4095" w:type="dxa"/>
            <w:tcBorders>
              <w:bottom w:val="nil"/>
            </w:tcBorders>
          </w:tcPr>
          <w:p>
            <w:pPr>
              <w:pStyle w:val="TableParagraph"/>
              <w:tabs>
                <w:tab w:pos="562" w:val="left" w:leader="none"/>
              </w:tabs>
              <w:spacing w:line="242" w:lineRule="auto" w:before="26"/>
              <w:ind w:left="511" w:right="61" w:hanging="432"/>
              <w:rPr>
                <w:sz w:val="18"/>
              </w:rPr>
            </w:pPr>
            <w:r>
              <w:rPr>
                <w:spacing w:val="-6"/>
                <w:sz w:val="18"/>
              </w:rPr>
              <w:t>b)</w:t>
            </w:r>
            <w:r>
              <w:rPr>
                <w:sz w:val="18"/>
              </w:rPr>
              <w:tab/>
              <w:tab/>
              <w:t>La no aplicación de subsidios conforme </w:t>
            </w:r>
            <w:r>
              <w:rPr>
                <w:sz w:val="18"/>
              </w:rPr>
              <w:t>a los objetivos del PAPPEMS.</w:t>
            </w:r>
          </w:p>
        </w:tc>
        <w:tc>
          <w:tcPr>
            <w:tcW w:w="5205" w:type="dxa"/>
            <w:tcBorders>
              <w:bottom w:val="nil"/>
            </w:tcBorders>
          </w:tcPr>
          <w:p>
            <w:pPr>
              <w:pStyle w:val="TableParagraph"/>
              <w:tabs>
                <w:tab w:pos="1335" w:val="left" w:leader="none"/>
                <w:tab w:pos="1850" w:val="left" w:leader="none"/>
                <w:tab w:pos="2395" w:val="left" w:leader="none"/>
                <w:tab w:pos="3861" w:val="left" w:leader="none"/>
                <w:tab w:pos="4376" w:val="left" w:leader="none"/>
              </w:tabs>
              <w:spacing w:line="242" w:lineRule="auto" w:before="11"/>
              <w:ind w:left="80" w:right="61"/>
              <w:rPr>
                <w:sz w:val="18"/>
              </w:rPr>
            </w:pPr>
            <w:r>
              <w:rPr>
                <w:spacing w:val="-2"/>
                <w:sz w:val="18"/>
              </w:rPr>
              <w:t>Suspensión</w:t>
            </w:r>
            <w:r>
              <w:rPr>
                <w:sz w:val="18"/>
              </w:rPr>
              <w:tab/>
            </w:r>
            <w:r>
              <w:rPr>
                <w:spacing w:val="-6"/>
                <w:sz w:val="18"/>
              </w:rPr>
              <w:t>de</w:t>
            </w:r>
            <w:r>
              <w:rPr>
                <w:sz w:val="18"/>
              </w:rPr>
              <w:tab/>
            </w:r>
            <w:r>
              <w:rPr>
                <w:spacing w:val="-4"/>
                <w:sz w:val="18"/>
              </w:rPr>
              <w:t>las</w:t>
            </w:r>
            <w:r>
              <w:rPr>
                <w:sz w:val="18"/>
              </w:rPr>
              <w:tab/>
            </w:r>
            <w:r>
              <w:rPr>
                <w:spacing w:val="-2"/>
                <w:sz w:val="18"/>
              </w:rPr>
              <w:t>ministraciones</w:t>
            </w:r>
            <w:r>
              <w:rPr>
                <w:sz w:val="18"/>
              </w:rPr>
              <w:tab/>
            </w:r>
            <w:r>
              <w:rPr>
                <w:spacing w:val="-6"/>
                <w:sz w:val="18"/>
              </w:rPr>
              <w:t>de</w:t>
            </w:r>
            <w:r>
              <w:rPr>
                <w:sz w:val="18"/>
              </w:rPr>
              <w:tab/>
            </w:r>
            <w:r>
              <w:rPr>
                <w:spacing w:val="-2"/>
                <w:sz w:val="18"/>
              </w:rPr>
              <w:t>subsidios </w:t>
            </w:r>
            <w:r>
              <w:rPr>
                <w:sz w:val="18"/>
              </w:rPr>
              <w:t>presupuestarios en el ejercicio fiscal 2024.</w:t>
            </w:r>
          </w:p>
        </w:tc>
      </w:tr>
      <w:tr>
        <w:trPr>
          <w:trHeight w:val="1147" w:hRule="atLeast"/>
        </w:trPr>
        <w:tc>
          <w:tcPr>
            <w:tcW w:w="4095" w:type="dxa"/>
            <w:tcBorders>
              <w:top w:val="nil"/>
              <w:bottom w:val="nil"/>
            </w:tcBorders>
          </w:tcPr>
          <w:p>
            <w:pPr>
              <w:pStyle w:val="TableParagraph"/>
              <w:rPr>
                <w:rFonts w:ascii="Times New Roman"/>
                <w:sz w:val="16"/>
              </w:rPr>
            </w:pPr>
          </w:p>
        </w:tc>
        <w:tc>
          <w:tcPr>
            <w:tcW w:w="5205" w:type="dxa"/>
            <w:tcBorders>
              <w:top w:val="nil"/>
              <w:bottom w:val="nil"/>
            </w:tcBorders>
          </w:tcPr>
          <w:p>
            <w:pPr>
              <w:pStyle w:val="TableParagraph"/>
              <w:spacing w:line="242" w:lineRule="auto" w:before="43"/>
              <w:ind w:left="80" w:right="61"/>
              <w:jc w:val="both"/>
              <w:rPr>
                <w:sz w:val="18"/>
              </w:rPr>
            </w:pPr>
            <w:r>
              <w:rPr>
                <w:sz w:val="18"/>
              </w:rPr>
              <w:t>En caso de continuar con la irregularidad se procederá a </w:t>
            </w:r>
            <w:r>
              <w:rPr>
                <w:sz w:val="18"/>
              </w:rPr>
              <w:t>la cancelación definitiva; la AEL estará obligado a realizar el reintegro de los recursos mal aplicados a la TESOFE; así como, en su caso, el reintegro de los rendimientos que se hubieren generado, conforme a la normatividad aplicable.</w:t>
            </w:r>
          </w:p>
        </w:tc>
      </w:tr>
      <w:tr>
        <w:trPr>
          <w:trHeight w:val="594" w:hRule="atLeast"/>
        </w:trPr>
        <w:tc>
          <w:tcPr>
            <w:tcW w:w="4095" w:type="dxa"/>
            <w:tcBorders>
              <w:top w:val="nil"/>
            </w:tcBorders>
          </w:tcPr>
          <w:p>
            <w:pPr>
              <w:pStyle w:val="TableParagraph"/>
              <w:rPr>
                <w:rFonts w:ascii="Times New Roman"/>
                <w:sz w:val="16"/>
              </w:rPr>
            </w:pPr>
          </w:p>
        </w:tc>
        <w:tc>
          <w:tcPr>
            <w:tcW w:w="5205" w:type="dxa"/>
            <w:tcBorders>
              <w:top w:val="nil"/>
            </w:tcBorders>
          </w:tcPr>
          <w:p>
            <w:pPr>
              <w:pStyle w:val="TableParagraph"/>
              <w:spacing w:line="242" w:lineRule="auto" w:before="51"/>
              <w:ind w:left="80"/>
              <w:rPr>
                <w:sz w:val="18"/>
              </w:rPr>
            </w:pPr>
            <w:r>
              <w:rPr>
                <w:sz w:val="18"/>
              </w:rPr>
              <w:t>Sin menoscabo de aquéllas que se deriven de los </w:t>
            </w:r>
            <w:r>
              <w:rPr>
                <w:sz w:val="18"/>
              </w:rPr>
              <w:t>organismos de control y auditoría.</w:t>
            </w:r>
          </w:p>
        </w:tc>
      </w:tr>
      <w:tr>
        <w:trPr>
          <w:trHeight w:val="1499" w:hRule="atLeast"/>
        </w:trPr>
        <w:tc>
          <w:tcPr>
            <w:tcW w:w="4095" w:type="dxa"/>
          </w:tcPr>
          <w:p>
            <w:pPr>
              <w:pStyle w:val="TableParagraph"/>
              <w:spacing w:line="242" w:lineRule="auto" w:before="11"/>
              <w:ind w:left="79" w:right="61"/>
              <w:jc w:val="both"/>
              <w:rPr>
                <w:sz w:val="18"/>
              </w:rPr>
            </w:pPr>
            <w:r>
              <w:rPr>
                <w:sz w:val="18"/>
              </w:rPr>
              <w:t>c) No reintegrar a la TESOFE los subsidios </w:t>
            </w:r>
            <w:r>
              <w:rPr>
                <w:sz w:val="18"/>
              </w:rPr>
              <w:t>que no</w:t>
            </w:r>
            <w:r>
              <w:rPr>
                <w:spacing w:val="-3"/>
                <w:sz w:val="18"/>
              </w:rPr>
              <w:t> </w:t>
            </w:r>
            <w:r>
              <w:rPr>
                <w:sz w:val="18"/>
              </w:rPr>
              <w:t>hayan</w:t>
            </w:r>
            <w:r>
              <w:rPr>
                <w:spacing w:val="-3"/>
                <w:sz w:val="18"/>
              </w:rPr>
              <w:t> </w:t>
            </w:r>
            <w:r>
              <w:rPr>
                <w:sz w:val="18"/>
              </w:rPr>
              <w:t>sido</w:t>
            </w:r>
            <w:r>
              <w:rPr>
                <w:spacing w:val="-3"/>
                <w:sz w:val="18"/>
              </w:rPr>
              <w:t> </w:t>
            </w:r>
            <w:r>
              <w:rPr>
                <w:sz w:val="18"/>
              </w:rPr>
              <w:t>devengados</w:t>
            </w:r>
            <w:r>
              <w:rPr>
                <w:spacing w:val="-3"/>
                <w:sz w:val="18"/>
              </w:rPr>
              <w:t> </w:t>
            </w:r>
            <w:r>
              <w:rPr>
                <w:sz w:val="18"/>
              </w:rPr>
              <w:t>al</w:t>
            </w:r>
            <w:r>
              <w:rPr>
                <w:spacing w:val="-3"/>
                <w:sz w:val="18"/>
              </w:rPr>
              <w:t> </w:t>
            </w:r>
            <w:r>
              <w:rPr>
                <w:sz w:val="18"/>
              </w:rPr>
              <w:t>31</w:t>
            </w:r>
            <w:r>
              <w:rPr>
                <w:spacing w:val="-3"/>
                <w:sz w:val="18"/>
              </w:rPr>
              <w:t> </w:t>
            </w:r>
            <w:r>
              <w:rPr>
                <w:sz w:val="18"/>
              </w:rPr>
              <w:t>de</w:t>
            </w:r>
            <w:r>
              <w:rPr>
                <w:spacing w:val="-3"/>
                <w:sz w:val="18"/>
              </w:rPr>
              <w:t> </w:t>
            </w:r>
            <w:r>
              <w:rPr>
                <w:sz w:val="18"/>
              </w:rPr>
              <w:t>diciembre</w:t>
            </w:r>
            <w:r>
              <w:rPr>
                <w:spacing w:val="-3"/>
                <w:sz w:val="18"/>
              </w:rPr>
              <w:t> </w:t>
            </w:r>
            <w:r>
              <w:rPr>
                <w:sz w:val="18"/>
              </w:rPr>
              <w:t>de 2024, o que hayan sido aplicados a </w:t>
            </w:r>
            <w:r>
              <w:rPr>
                <w:sz w:val="18"/>
              </w:rPr>
              <w:t>fines</w:t>
            </w:r>
            <w:r>
              <w:rPr>
                <w:spacing w:val="40"/>
                <w:sz w:val="18"/>
              </w:rPr>
              <w:t> </w:t>
            </w:r>
            <w:r>
              <w:rPr>
                <w:sz w:val="18"/>
              </w:rPr>
              <w:t>distintos a los establecidos en las presentes RO.</w:t>
            </w:r>
          </w:p>
        </w:tc>
        <w:tc>
          <w:tcPr>
            <w:tcW w:w="5205" w:type="dxa"/>
          </w:tcPr>
          <w:p>
            <w:pPr>
              <w:pStyle w:val="TableParagraph"/>
              <w:spacing w:line="242" w:lineRule="auto" w:before="11"/>
              <w:ind w:left="80" w:right="61"/>
              <w:jc w:val="both"/>
              <w:rPr>
                <w:sz w:val="18"/>
              </w:rPr>
            </w:pPr>
            <w:r>
              <w:rPr>
                <w:sz w:val="18"/>
              </w:rPr>
              <w:t>La instancia normativa solicitará a la AEL el reintegro de </w:t>
            </w:r>
            <w:r>
              <w:rPr>
                <w:sz w:val="18"/>
              </w:rPr>
              <w:t>los recursos no devengados y mal aplicados, en caso de no obtener respuesta se dará parte a los Órganos Fiscalizadores </w:t>
            </w:r>
            <w:r>
              <w:rPr>
                <w:spacing w:val="-2"/>
                <w:sz w:val="18"/>
              </w:rPr>
              <w:t>competentes.</w:t>
            </w:r>
          </w:p>
          <w:p>
            <w:pPr>
              <w:pStyle w:val="TableParagraph"/>
              <w:spacing w:line="242" w:lineRule="auto" w:before="94"/>
              <w:ind w:left="80" w:right="61"/>
              <w:jc w:val="both"/>
              <w:rPr>
                <w:sz w:val="18"/>
              </w:rPr>
            </w:pPr>
            <w:r>
              <w:rPr>
                <w:sz w:val="18"/>
              </w:rPr>
              <w:t>Se aplicarán las medidas establecidas en el numeral </w:t>
            </w:r>
            <w:r>
              <w:rPr>
                <w:sz w:val="18"/>
              </w:rPr>
              <w:t>3.4.1.3. de las presentes RO. Así como la suspensión del beneficio.</w:t>
            </w:r>
          </w:p>
        </w:tc>
      </w:tr>
      <w:tr>
        <w:trPr>
          <w:trHeight w:val="989" w:hRule="atLeast"/>
        </w:trPr>
        <w:tc>
          <w:tcPr>
            <w:tcW w:w="4095" w:type="dxa"/>
          </w:tcPr>
          <w:p>
            <w:pPr>
              <w:pStyle w:val="TableParagraph"/>
              <w:spacing w:line="242" w:lineRule="auto" w:before="11"/>
              <w:ind w:left="79" w:right="61"/>
              <w:jc w:val="both"/>
              <w:rPr>
                <w:sz w:val="18"/>
              </w:rPr>
            </w:pPr>
            <w:r>
              <w:rPr>
                <w:sz w:val="18"/>
              </w:rPr>
              <w:t>d) Los planteles públicos y</w:t>
            </w:r>
            <w:r>
              <w:rPr>
                <w:spacing w:val="-1"/>
                <w:sz w:val="18"/>
              </w:rPr>
              <w:t> </w:t>
            </w:r>
            <w:r>
              <w:rPr>
                <w:sz w:val="18"/>
              </w:rPr>
              <w:t>AEL que no </w:t>
            </w:r>
            <w:r>
              <w:rPr>
                <w:sz w:val="18"/>
              </w:rPr>
              <w:t>cumplan con las obligaciones que les resultan </w:t>
            </w:r>
            <w:r>
              <w:rPr>
                <w:sz w:val="18"/>
              </w:rPr>
              <w:t>aplicables señaladas en el apartado 3.6.1. de las </w:t>
            </w:r>
            <w:r>
              <w:rPr>
                <w:sz w:val="18"/>
              </w:rPr>
              <w:t>presentes </w:t>
            </w:r>
            <w:r>
              <w:rPr>
                <w:spacing w:val="-4"/>
                <w:sz w:val="18"/>
              </w:rPr>
              <w:t>RO.</w:t>
            </w:r>
          </w:p>
        </w:tc>
        <w:tc>
          <w:tcPr>
            <w:tcW w:w="5205" w:type="dxa"/>
          </w:tcPr>
          <w:p>
            <w:pPr>
              <w:pStyle w:val="TableParagraph"/>
              <w:spacing w:line="242" w:lineRule="auto" w:before="11"/>
              <w:ind w:left="80"/>
              <w:rPr>
                <w:sz w:val="18"/>
              </w:rPr>
            </w:pPr>
            <w:r>
              <w:rPr>
                <w:sz w:val="18"/>
              </w:rPr>
              <w:t>La SEMS podrá suspender su participación en </w:t>
            </w:r>
            <w:r>
              <w:rPr>
                <w:sz w:val="18"/>
              </w:rPr>
              <w:t>convocatorias subsecuentes del PAPPEMS.</w:t>
            </w:r>
          </w:p>
        </w:tc>
      </w:tr>
    </w:tbl>
    <w:p>
      <w:pPr>
        <w:pStyle w:val="BodyText"/>
        <w:spacing w:before="95"/>
        <w:ind w:left="0" w:right="0" w:firstLine="0"/>
        <w:jc w:val="left"/>
      </w:pPr>
    </w:p>
    <w:p>
      <w:pPr>
        <w:pStyle w:val="BodyText"/>
        <w:spacing w:before="0"/>
        <w:ind w:left="402" w:right="0" w:firstLine="0"/>
        <w:jc w:val="left"/>
      </w:pPr>
      <w:r>
        <w:rPr/>
        <w:t>Además de las anteriores, todas aquellas que estimen las autoridades fiscalizadoras </w:t>
      </w:r>
      <w:r>
        <w:rPr>
          <w:spacing w:val="-2"/>
        </w:rPr>
        <w:t>correspondientes.</w:t>
      </w:r>
    </w:p>
    <w:p>
      <w:pPr>
        <w:pStyle w:val="ListParagraph"/>
        <w:numPr>
          <w:ilvl w:val="1"/>
          <w:numId w:val="2"/>
        </w:numPr>
        <w:tabs>
          <w:tab w:pos="752" w:val="left" w:leader="none"/>
        </w:tabs>
        <w:spacing w:line="240" w:lineRule="auto" w:before="108" w:after="0"/>
        <w:ind w:left="752" w:right="0" w:hanging="350"/>
        <w:jc w:val="left"/>
        <w:rPr>
          <w:rFonts w:ascii="Arial"/>
          <w:b/>
          <w:sz w:val="18"/>
        </w:rPr>
      </w:pPr>
      <w:r>
        <w:rPr>
          <w:rFonts w:ascii="Arial"/>
          <w:b/>
          <w:spacing w:val="-2"/>
          <w:sz w:val="18"/>
        </w:rPr>
        <w:t>Participantes</w:t>
      </w:r>
    </w:p>
    <w:p>
      <w:pPr>
        <w:pStyle w:val="ListParagraph"/>
        <w:numPr>
          <w:ilvl w:val="2"/>
          <w:numId w:val="2"/>
        </w:numPr>
        <w:tabs>
          <w:tab w:pos="902" w:val="left" w:leader="none"/>
        </w:tabs>
        <w:spacing w:line="240" w:lineRule="auto" w:before="108" w:after="0"/>
        <w:ind w:left="902" w:right="0" w:hanging="500"/>
        <w:jc w:val="left"/>
        <w:rPr>
          <w:rFonts w:ascii="Arial"/>
          <w:b/>
          <w:sz w:val="18"/>
        </w:rPr>
      </w:pPr>
      <w:r>
        <w:rPr>
          <w:rFonts w:ascii="Arial"/>
          <w:b/>
          <w:sz w:val="18"/>
        </w:rPr>
        <w:t>Instancia(s) </w:t>
      </w:r>
      <w:r>
        <w:rPr>
          <w:rFonts w:ascii="Arial"/>
          <w:b/>
          <w:spacing w:val="-2"/>
          <w:sz w:val="18"/>
        </w:rPr>
        <w:t>ejecutora(s)</w:t>
      </w:r>
    </w:p>
    <w:p>
      <w:pPr>
        <w:pStyle w:val="BodyText"/>
        <w:spacing w:before="5"/>
        <w:ind w:left="0" w:right="0" w:firstLine="0"/>
        <w:jc w:val="left"/>
        <w:rPr>
          <w:rFonts w:ascii="Arial"/>
          <w:b/>
          <w:sz w:val="8"/>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15"/>
        <w:gridCol w:w="7185"/>
      </w:tblGrid>
      <w:tr>
        <w:trPr>
          <w:trHeight w:val="344" w:hRule="atLeast"/>
        </w:trPr>
        <w:tc>
          <w:tcPr>
            <w:tcW w:w="2115" w:type="dxa"/>
          </w:tcPr>
          <w:p>
            <w:pPr>
              <w:pStyle w:val="TableParagraph"/>
              <w:spacing w:before="11"/>
              <w:ind w:left="239"/>
              <w:rPr>
                <w:rFonts w:ascii="Arial"/>
                <w:b/>
                <w:sz w:val="18"/>
              </w:rPr>
            </w:pPr>
            <w:r>
              <w:rPr>
                <w:rFonts w:ascii="Arial"/>
                <w:b/>
                <w:sz w:val="18"/>
              </w:rPr>
              <w:t>Instancia </w:t>
            </w:r>
            <w:r>
              <w:rPr>
                <w:rFonts w:ascii="Arial"/>
                <w:b/>
                <w:spacing w:val="-2"/>
                <w:sz w:val="18"/>
              </w:rPr>
              <w:t>ejecutora</w:t>
            </w:r>
          </w:p>
        </w:tc>
        <w:tc>
          <w:tcPr>
            <w:tcW w:w="7185" w:type="dxa"/>
          </w:tcPr>
          <w:p>
            <w:pPr>
              <w:pStyle w:val="TableParagraph"/>
              <w:spacing w:before="11"/>
              <w:ind w:left="10"/>
              <w:jc w:val="center"/>
              <w:rPr>
                <w:rFonts w:ascii="Arial"/>
                <w:b/>
                <w:sz w:val="18"/>
              </w:rPr>
            </w:pPr>
            <w:r>
              <w:rPr>
                <w:rFonts w:ascii="Arial"/>
                <w:b/>
                <w:spacing w:val="-2"/>
                <w:sz w:val="18"/>
              </w:rPr>
              <w:t>Funciones</w:t>
            </w:r>
          </w:p>
        </w:tc>
      </w:tr>
      <w:tr>
        <w:trPr>
          <w:trHeight w:val="6089" w:hRule="atLeast"/>
        </w:trPr>
        <w:tc>
          <w:tcPr>
            <w:tcW w:w="2115" w:type="dxa"/>
          </w:tcPr>
          <w:p>
            <w:pPr>
              <w:pStyle w:val="TableParagraph"/>
              <w:spacing w:before="11"/>
              <w:ind w:left="79"/>
              <w:rPr>
                <w:rFonts w:ascii="Arial"/>
                <w:b/>
                <w:sz w:val="18"/>
              </w:rPr>
            </w:pPr>
            <w:r>
              <w:rPr>
                <w:rFonts w:ascii="Arial"/>
                <w:b/>
                <w:spacing w:val="-4"/>
                <w:sz w:val="18"/>
              </w:rPr>
              <w:t>SEMS</w:t>
            </w:r>
          </w:p>
        </w:tc>
        <w:tc>
          <w:tcPr>
            <w:tcW w:w="7185" w:type="dxa"/>
          </w:tcPr>
          <w:p>
            <w:pPr>
              <w:pStyle w:val="TableParagraph"/>
              <w:numPr>
                <w:ilvl w:val="0"/>
                <w:numId w:val="15"/>
              </w:numPr>
              <w:tabs>
                <w:tab w:pos="564" w:val="left" w:leader="none"/>
              </w:tabs>
              <w:spacing w:line="240" w:lineRule="auto" w:before="9" w:after="0"/>
              <w:ind w:left="564" w:right="0" w:hanging="203"/>
              <w:jc w:val="both"/>
              <w:rPr>
                <w:sz w:val="18"/>
              </w:rPr>
            </w:pPr>
            <w:r>
              <w:rPr>
                <w:sz w:val="18"/>
              </w:rPr>
              <w:t>Emitir la convocatoria (Anexo </w:t>
            </w:r>
            <w:r>
              <w:rPr>
                <w:spacing w:val="-4"/>
                <w:sz w:val="18"/>
              </w:rPr>
              <w:t>1a).</w:t>
            </w:r>
          </w:p>
          <w:p>
            <w:pPr>
              <w:pStyle w:val="TableParagraph"/>
              <w:numPr>
                <w:ilvl w:val="0"/>
                <w:numId w:val="15"/>
              </w:numPr>
              <w:tabs>
                <w:tab w:pos="644" w:val="left" w:leader="none"/>
                <w:tab w:pos="721" w:val="left" w:leader="none"/>
              </w:tabs>
              <w:spacing w:line="237" w:lineRule="auto" w:before="102" w:after="0"/>
              <w:ind w:left="721" w:right="61" w:hanging="360"/>
              <w:jc w:val="both"/>
              <w:rPr>
                <w:sz w:val="18"/>
              </w:rPr>
            </w:pPr>
            <w:r>
              <w:rPr>
                <w:sz w:val="18"/>
              </w:rPr>
              <w:t>Recibir los Proyectos para el Avance en la Atención de la Educación </w:t>
            </w:r>
            <w:r>
              <w:rPr>
                <w:sz w:val="18"/>
              </w:rPr>
              <w:t>Media Superior para Estudiantes con Discapacidad de los planteles públicos.</w:t>
            </w:r>
          </w:p>
          <w:p>
            <w:pPr>
              <w:pStyle w:val="TableParagraph"/>
              <w:numPr>
                <w:ilvl w:val="0"/>
                <w:numId w:val="15"/>
              </w:numPr>
              <w:tabs>
                <w:tab w:pos="684" w:val="left" w:leader="none"/>
                <w:tab w:pos="721" w:val="left" w:leader="none"/>
              </w:tabs>
              <w:spacing w:line="240" w:lineRule="auto" w:before="105" w:after="0"/>
              <w:ind w:left="721" w:right="61" w:hanging="360"/>
              <w:jc w:val="both"/>
              <w:rPr>
                <w:sz w:val="18"/>
              </w:rPr>
            </w:pPr>
            <w:r>
              <w:rPr>
                <w:sz w:val="18"/>
              </w:rPr>
              <w:t>Evaluar y seleccionar los Proyectos para el Avance en la Atención de </w:t>
            </w:r>
            <w:r>
              <w:rPr>
                <w:sz w:val="18"/>
              </w:rPr>
              <w:t>la Educación Media Superior para Estudiantes con Discapacidad de los planteles públicos de acuerdo con lo establecido en estas RO.</w:t>
            </w:r>
          </w:p>
          <w:p>
            <w:pPr>
              <w:pStyle w:val="TableParagraph"/>
              <w:numPr>
                <w:ilvl w:val="0"/>
                <w:numId w:val="15"/>
              </w:numPr>
              <w:tabs>
                <w:tab w:pos="564" w:val="left" w:leader="none"/>
              </w:tabs>
              <w:spacing w:line="240" w:lineRule="auto" w:before="91" w:after="0"/>
              <w:ind w:left="564" w:right="0" w:hanging="203"/>
              <w:jc w:val="left"/>
              <w:rPr>
                <w:sz w:val="18"/>
              </w:rPr>
            </w:pPr>
            <w:r>
              <w:rPr>
                <w:sz w:val="18"/>
              </w:rPr>
              <w:t>Notificar a las</w:t>
            </w:r>
            <w:r>
              <w:rPr>
                <w:spacing w:val="-10"/>
                <w:sz w:val="18"/>
              </w:rPr>
              <w:t> </w:t>
            </w:r>
            <w:r>
              <w:rPr>
                <w:sz w:val="18"/>
              </w:rPr>
              <w:t>AEL</w:t>
            </w:r>
            <w:r>
              <w:rPr>
                <w:spacing w:val="-7"/>
                <w:sz w:val="18"/>
              </w:rPr>
              <w:t> </w:t>
            </w:r>
            <w:r>
              <w:rPr>
                <w:sz w:val="18"/>
              </w:rPr>
              <w:t>la relación de los planteles públicos </w:t>
            </w:r>
            <w:r>
              <w:rPr>
                <w:spacing w:val="-2"/>
                <w:sz w:val="18"/>
              </w:rPr>
              <w:t>seleccionados.</w:t>
            </w:r>
          </w:p>
          <w:p>
            <w:pPr>
              <w:pStyle w:val="TableParagraph"/>
              <w:numPr>
                <w:ilvl w:val="0"/>
                <w:numId w:val="15"/>
              </w:numPr>
              <w:tabs>
                <w:tab w:pos="564" w:val="left" w:leader="none"/>
              </w:tabs>
              <w:spacing w:line="240" w:lineRule="auto" w:before="100" w:after="0"/>
              <w:ind w:left="564" w:right="0" w:hanging="203"/>
              <w:jc w:val="left"/>
              <w:rPr>
                <w:sz w:val="18"/>
              </w:rPr>
            </w:pPr>
            <w:r>
              <w:rPr>
                <w:sz w:val="18"/>
              </w:rPr>
              <w:t>Concentrar las Cartas </w:t>
            </w:r>
            <w:r>
              <w:rPr>
                <w:spacing w:val="-2"/>
                <w:sz w:val="18"/>
              </w:rPr>
              <w:t>Compromiso.</w:t>
            </w:r>
          </w:p>
          <w:p>
            <w:pPr>
              <w:pStyle w:val="TableParagraph"/>
              <w:numPr>
                <w:ilvl w:val="0"/>
                <w:numId w:val="15"/>
              </w:numPr>
              <w:tabs>
                <w:tab w:pos="564" w:val="left" w:leader="none"/>
              </w:tabs>
              <w:spacing w:line="240" w:lineRule="auto" w:before="100" w:after="0"/>
              <w:ind w:left="564" w:right="0" w:hanging="203"/>
              <w:jc w:val="left"/>
              <w:rPr>
                <w:sz w:val="18"/>
              </w:rPr>
            </w:pPr>
            <w:r>
              <w:rPr>
                <w:sz w:val="18"/>
              </w:rPr>
              <w:t>Suscribir el convenio con los Gobiernos de las Entidades </w:t>
            </w:r>
            <w:r>
              <w:rPr>
                <w:spacing w:val="-2"/>
                <w:sz w:val="18"/>
              </w:rPr>
              <w:t>Federativas.</w:t>
            </w:r>
          </w:p>
          <w:p>
            <w:pPr>
              <w:pStyle w:val="TableParagraph"/>
              <w:numPr>
                <w:ilvl w:val="0"/>
                <w:numId w:val="15"/>
              </w:numPr>
              <w:tabs>
                <w:tab w:pos="595" w:val="left" w:leader="none"/>
                <w:tab w:pos="721" w:val="left" w:leader="none"/>
              </w:tabs>
              <w:spacing w:line="237" w:lineRule="auto" w:before="102" w:after="0"/>
              <w:ind w:left="721" w:right="61" w:hanging="360"/>
              <w:jc w:val="both"/>
              <w:rPr>
                <w:sz w:val="18"/>
              </w:rPr>
            </w:pPr>
            <w:r>
              <w:rPr>
                <w:sz w:val="18"/>
              </w:rPr>
              <w:t>Gestionar ante la Dirección General de Presupuesto y Recursos Financieros </w:t>
            </w:r>
            <w:r>
              <w:rPr>
                <w:sz w:val="18"/>
              </w:rPr>
              <w:t>de</w:t>
            </w:r>
            <w:r>
              <w:rPr>
                <w:spacing w:val="40"/>
                <w:sz w:val="18"/>
              </w:rPr>
              <w:t> </w:t>
            </w:r>
            <w:r>
              <w:rPr>
                <w:sz w:val="18"/>
              </w:rPr>
              <w:t>la SEP los recursos federales asignados, y la radicación de los mismos.</w:t>
            </w:r>
          </w:p>
          <w:p>
            <w:pPr>
              <w:pStyle w:val="TableParagraph"/>
              <w:numPr>
                <w:ilvl w:val="0"/>
                <w:numId w:val="15"/>
              </w:numPr>
              <w:tabs>
                <w:tab w:pos="639" w:val="left" w:leader="none"/>
                <w:tab w:pos="721" w:val="left" w:leader="none"/>
              </w:tabs>
              <w:spacing w:line="242" w:lineRule="auto" w:before="91" w:after="0"/>
              <w:ind w:left="721" w:right="61" w:hanging="360"/>
              <w:jc w:val="both"/>
              <w:rPr>
                <w:sz w:val="18"/>
              </w:rPr>
            </w:pPr>
            <w:r>
              <w:rPr>
                <w:sz w:val="18"/>
              </w:rPr>
              <w:t>Entregar los subsidios a los Gobiernos de las Entidades Federativas para </w:t>
            </w:r>
            <w:r>
              <w:rPr>
                <w:sz w:val="18"/>
              </w:rPr>
              <w:t>el desarrollo del presente PAPPEMS, previa entrega de los CFDI en formato PDF y XML por parte de las AEL a la CSPyA de conformidad a la disponibilidad </w:t>
            </w:r>
            <w:r>
              <w:rPr>
                <w:spacing w:val="-2"/>
                <w:sz w:val="18"/>
              </w:rPr>
              <w:t>presupuestaria.</w:t>
            </w:r>
          </w:p>
          <w:p>
            <w:pPr>
              <w:pStyle w:val="TableParagraph"/>
              <w:numPr>
                <w:ilvl w:val="0"/>
                <w:numId w:val="15"/>
              </w:numPr>
              <w:tabs>
                <w:tab w:pos="639" w:val="left" w:leader="none"/>
                <w:tab w:pos="721" w:val="left" w:leader="none"/>
              </w:tabs>
              <w:spacing w:line="237" w:lineRule="auto" w:before="102" w:after="0"/>
              <w:ind w:left="721" w:right="61" w:hanging="360"/>
              <w:jc w:val="both"/>
              <w:rPr>
                <w:sz w:val="18"/>
              </w:rPr>
            </w:pPr>
            <w:r>
              <w:rPr>
                <w:sz w:val="18"/>
              </w:rPr>
              <w:t>Establecer los mecanismos que aseguren la aplicación, la transparencia y </w:t>
            </w:r>
            <w:r>
              <w:rPr>
                <w:sz w:val="18"/>
              </w:rPr>
              <w:t>el seguimiento de los recursos otorgados a través del Sistema del PAPPEMS.</w:t>
            </w:r>
          </w:p>
          <w:p>
            <w:pPr>
              <w:pStyle w:val="TableParagraph"/>
              <w:numPr>
                <w:ilvl w:val="0"/>
                <w:numId w:val="15"/>
              </w:numPr>
              <w:tabs>
                <w:tab w:pos="649" w:val="left" w:leader="none"/>
                <w:tab w:pos="721" w:val="left" w:leader="none"/>
              </w:tabs>
              <w:spacing w:line="237" w:lineRule="auto" w:before="108" w:after="0"/>
              <w:ind w:left="721" w:right="61" w:hanging="360"/>
              <w:jc w:val="both"/>
              <w:rPr>
                <w:sz w:val="18"/>
              </w:rPr>
            </w:pPr>
            <w:r>
              <w:rPr>
                <w:sz w:val="18"/>
              </w:rPr>
              <w:t>Coordinar las acciones de Contraloría Social en sus respectivos ámbitos </w:t>
            </w:r>
            <w:r>
              <w:rPr>
                <w:sz w:val="18"/>
              </w:rPr>
              <w:t>de </w:t>
            </w:r>
            <w:r>
              <w:rPr>
                <w:spacing w:val="-2"/>
                <w:sz w:val="18"/>
              </w:rPr>
              <w:t>competencia.</w:t>
            </w:r>
          </w:p>
          <w:p>
            <w:pPr>
              <w:pStyle w:val="TableParagraph"/>
              <w:numPr>
                <w:ilvl w:val="0"/>
                <w:numId w:val="15"/>
              </w:numPr>
              <w:tabs>
                <w:tab w:pos="589" w:val="left" w:leader="none"/>
                <w:tab w:pos="721" w:val="left" w:leader="none"/>
              </w:tabs>
              <w:spacing w:line="240" w:lineRule="auto" w:before="90" w:after="0"/>
              <w:ind w:left="721" w:right="60" w:hanging="360"/>
              <w:jc w:val="both"/>
              <w:rPr>
                <w:sz w:val="18"/>
              </w:rPr>
            </w:pPr>
            <w:r>
              <w:rPr>
                <w:sz w:val="18"/>
              </w:rPr>
              <w:t>Emitir documento de conclusión y cumplimiento de metas y acciones </w:t>
            </w:r>
            <w:r>
              <w:rPr>
                <w:sz w:val="18"/>
              </w:rPr>
              <w:t>aprobadas en el Proyecto para el Avance en la Atención de la Educación Media Superior para Estudiantes con Discapacidad autorizado.</w:t>
            </w:r>
          </w:p>
        </w:tc>
      </w:tr>
    </w:tbl>
    <w:p>
      <w:pPr>
        <w:spacing w:after="0" w:line="240" w:lineRule="auto"/>
        <w:jc w:val="both"/>
        <w:rPr>
          <w:sz w:val="18"/>
        </w:rPr>
        <w:sectPr>
          <w:pgSz w:w="12240" w:h="15840"/>
          <w:pgMar w:header="269" w:footer="260" w:top="460" w:bottom="440" w:left="860" w:right="720"/>
        </w:sectPr>
      </w:pPr>
    </w:p>
    <w:p>
      <w:pPr>
        <w:pStyle w:val="BodyText"/>
        <w:spacing w:before="5"/>
        <w:ind w:left="0" w:right="0" w:firstLine="0"/>
        <w:jc w:val="left"/>
        <w:rPr>
          <w:rFonts w:ascii="Arial"/>
          <w:b/>
          <w:sz w:val="7"/>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15"/>
        <w:gridCol w:w="7185"/>
      </w:tblGrid>
      <w:tr>
        <w:trPr>
          <w:trHeight w:val="9599" w:hRule="atLeast"/>
        </w:trPr>
        <w:tc>
          <w:tcPr>
            <w:tcW w:w="2115" w:type="dxa"/>
          </w:tcPr>
          <w:p>
            <w:pPr>
              <w:pStyle w:val="TableParagraph"/>
              <w:spacing w:before="11"/>
              <w:ind w:left="79"/>
              <w:rPr>
                <w:rFonts w:ascii="Arial"/>
                <w:b/>
                <w:sz w:val="18"/>
              </w:rPr>
            </w:pPr>
            <w:r>
              <w:rPr>
                <w:rFonts w:ascii="Arial"/>
                <w:b/>
                <w:spacing w:val="-5"/>
                <w:sz w:val="18"/>
              </w:rPr>
              <w:t>AEL</w:t>
            </w:r>
          </w:p>
        </w:tc>
        <w:tc>
          <w:tcPr>
            <w:tcW w:w="7185" w:type="dxa"/>
          </w:tcPr>
          <w:p>
            <w:pPr>
              <w:pStyle w:val="TableParagraph"/>
              <w:numPr>
                <w:ilvl w:val="0"/>
                <w:numId w:val="16"/>
              </w:numPr>
              <w:tabs>
                <w:tab w:pos="564" w:val="left" w:leader="none"/>
              </w:tabs>
              <w:spacing w:line="240" w:lineRule="auto" w:before="9" w:after="0"/>
              <w:ind w:left="564" w:right="0" w:hanging="203"/>
              <w:jc w:val="both"/>
              <w:rPr>
                <w:sz w:val="18"/>
              </w:rPr>
            </w:pPr>
            <w:r>
              <w:rPr>
                <w:sz w:val="18"/>
              </w:rPr>
              <w:t>Suscribir el convenio para la operación del programa con la </w:t>
            </w:r>
            <w:r>
              <w:rPr>
                <w:spacing w:val="-4"/>
                <w:sz w:val="18"/>
              </w:rPr>
              <w:t>SEP.</w:t>
            </w:r>
          </w:p>
          <w:p>
            <w:pPr>
              <w:pStyle w:val="TableParagraph"/>
              <w:numPr>
                <w:ilvl w:val="0"/>
                <w:numId w:val="16"/>
              </w:numPr>
              <w:tabs>
                <w:tab w:pos="620" w:val="left" w:leader="none"/>
                <w:tab w:pos="721" w:val="left" w:leader="none"/>
              </w:tabs>
              <w:spacing w:line="240" w:lineRule="auto" w:before="85" w:after="0"/>
              <w:ind w:left="721" w:right="61" w:hanging="360"/>
              <w:jc w:val="both"/>
              <w:rPr>
                <w:sz w:val="18"/>
              </w:rPr>
            </w:pPr>
            <w:r>
              <w:rPr>
                <w:sz w:val="18"/>
              </w:rPr>
              <w:t>Establecer en el ámbito de su competencia, los mecanismos que aseguren </w:t>
            </w:r>
            <w:r>
              <w:rPr>
                <w:sz w:val="18"/>
              </w:rPr>
              <w:t>el destino, la aplicación, la transparencia y el seguimiento de los subsidios otorgados para la operación del PAPPEMS.</w:t>
            </w:r>
          </w:p>
          <w:p>
            <w:pPr>
              <w:pStyle w:val="TableParagraph"/>
              <w:numPr>
                <w:ilvl w:val="0"/>
                <w:numId w:val="16"/>
              </w:numPr>
              <w:tabs>
                <w:tab w:pos="587" w:val="left" w:leader="none"/>
                <w:tab w:pos="721" w:val="left" w:leader="none"/>
              </w:tabs>
              <w:spacing w:line="237" w:lineRule="auto" w:before="93" w:after="0"/>
              <w:ind w:left="721" w:right="61" w:hanging="360"/>
              <w:jc w:val="both"/>
              <w:rPr>
                <w:sz w:val="18"/>
              </w:rPr>
            </w:pPr>
            <w:r>
              <w:rPr>
                <w:sz w:val="18"/>
              </w:rPr>
              <w:t>Programar el ejercicio, la aplicación, el seguimiento y la administración </w:t>
            </w:r>
            <w:r>
              <w:rPr>
                <w:sz w:val="18"/>
              </w:rPr>
              <w:t>oportuna de los subsidios del PAPPEMS, con apego a la normativa aplicable;</w:t>
            </w:r>
          </w:p>
          <w:p>
            <w:pPr>
              <w:pStyle w:val="TableParagraph"/>
              <w:numPr>
                <w:ilvl w:val="0"/>
                <w:numId w:val="16"/>
              </w:numPr>
              <w:tabs>
                <w:tab w:pos="598" w:val="left" w:leader="none"/>
                <w:tab w:pos="721" w:val="left" w:leader="none"/>
              </w:tabs>
              <w:spacing w:line="242" w:lineRule="auto" w:before="105" w:after="0"/>
              <w:ind w:left="721" w:right="61" w:hanging="360"/>
              <w:jc w:val="both"/>
              <w:rPr>
                <w:sz w:val="18"/>
              </w:rPr>
            </w:pPr>
            <w:r>
              <w:rPr>
                <w:sz w:val="18"/>
              </w:rPr>
              <w:t>Abrir y mantener en una institución bancaria legalmente autorizada, una </w:t>
            </w:r>
            <w:r>
              <w:rPr>
                <w:sz w:val="18"/>
              </w:rPr>
              <w:t>cuenta bancaria productiva específica para la administración de los recursos financieros que aporte la SEP para la ejecución de los objetivos y acciones autorizadas del Proyecto para el</w:t>
            </w:r>
            <w:r>
              <w:rPr>
                <w:spacing w:val="-4"/>
                <w:sz w:val="18"/>
              </w:rPr>
              <w:t> </w:t>
            </w:r>
            <w:r>
              <w:rPr>
                <w:sz w:val="18"/>
              </w:rPr>
              <w:t>Avance en la</w:t>
            </w:r>
            <w:r>
              <w:rPr>
                <w:spacing w:val="-4"/>
                <w:sz w:val="18"/>
              </w:rPr>
              <w:t> </w:t>
            </w:r>
            <w:r>
              <w:rPr>
                <w:sz w:val="18"/>
              </w:rPr>
              <w:t>Atención de la Educación Media Superior para Estudiantes con Discapacidad;</w:t>
            </w:r>
          </w:p>
          <w:p>
            <w:pPr>
              <w:pStyle w:val="TableParagraph"/>
              <w:numPr>
                <w:ilvl w:val="0"/>
                <w:numId w:val="16"/>
              </w:numPr>
              <w:tabs>
                <w:tab w:pos="568" w:val="left" w:leader="none"/>
                <w:tab w:pos="721" w:val="left" w:leader="none"/>
              </w:tabs>
              <w:spacing w:line="237" w:lineRule="auto" w:before="88" w:after="0"/>
              <w:ind w:left="721" w:right="61" w:hanging="360"/>
              <w:jc w:val="both"/>
              <w:rPr>
                <w:sz w:val="18"/>
              </w:rPr>
            </w:pPr>
            <w:r>
              <w:rPr>
                <w:sz w:val="18"/>
              </w:rPr>
              <w:t>Desarrollar</w:t>
            </w:r>
            <w:r>
              <w:rPr>
                <w:spacing w:val="-2"/>
                <w:sz w:val="18"/>
              </w:rPr>
              <w:t> </w:t>
            </w:r>
            <w:r>
              <w:rPr>
                <w:sz w:val="18"/>
              </w:rPr>
              <w:t>acciones</w:t>
            </w:r>
            <w:r>
              <w:rPr>
                <w:spacing w:val="-2"/>
                <w:sz w:val="18"/>
              </w:rPr>
              <w:t> </w:t>
            </w:r>
            <w:r>
              <w:rPr>
                <w:sz w:val="18"/>
              </w:rPr>
              <w:t>de</w:t>
            </w:r>
            <w:r>
              <w:rPr>
                <w:spacing w:val="-2"/>
                <w:sz w:val="18"/>
              </w:rPr>
              <w:t> </w:t>
            </w:r>
            <w:r>
              <w:rPr>
                <w:sz w:val="18"/>
              </w:rPr>
              <w:t>seguimiento</w:t>
            </w:r>
            <w:r>
              <w:rPr>
                <w:spacing w:val="-2"/>
                <w:sz w:val="18"/>
              </w:rPr>
              <w:t> </w:t>
            </w:r>
            <w:r>
              <w:rPr>
                <w:sz w:val="18"/>
              </w:rPr>
              <w:t>de</w:t>
            </w:r>
            <w:r>
              <w:rPr>
                <w:spacing w:val="-2"/>
                <w:sz w:val="18"/>
              </w:rPr>
              <w:t> </w:t>
            </w:r>
            <w:r>
              <w:rPr>
                <w:sz w:val="18"/>
              </w:rPr>
              <w:t>avances</w:t>
            </w:r>
            <w:r>
              <w:rPr>
                <w:spacing w:val="-2"/>
                <w:sz w:val="18"/>
              </w:rPr>
              <w:t> </w:t>
            </w:r>
            <w:r>
              <w:rPr>
                <w:sz w:val="18"/>
              </w:rPr>
              <w:t>en</w:t>
            </w:r>
            <w:r>
              <w:rPr>
                <w:spacing w:val="-2"/>
                <w:sz w:val="18"/>
              </w:rPr>
              <w:t> </w:t>
            </w:r>
            <w:r>
              <w:rPr>
                <w:sz w:val="18"/>
              </w:rPr>
              <w:t>el</w:t>
            </w:r>
            <w:r>
              <w:rPr>
                <w:spacing w:val="-2"/>
                <w:sz w:val="18"/>
              </w:rPr>
              <w:t> </w:t>
            </w:r>
            <w:r>
              <w:rPr>
                <w:sz w:val="18"/>
              </w:rPr>
              <w:t>cumplimiento</w:t>
            </w:r>
            <w:r>
              <w:rPr>
                <w:spacing w:val="-2"/>
                <w:sz w:val="18"/>
              </w:rPr>
              <w:t> </w:t>
            </w:r>
            <w:r>
              <w:rPr>
                <w:sz w:val="18"/>
              </w:rPr>
              <w:t>de</w:t>
            </w:r>
            <w:r>
              <w:rPr>
                <w:spacing w:val="-2"/>
                <w:sz w:val="18"/>
              </w:rPr>
              <w:t> </w:t>
            </w:r>
            <w:r>
              <w:rPr>
                <w:sz w:val="18"/>
              </w:rPr>
              <w:t>metas</w:t>
            </w:r>
            <w:r>
              <w:rPr>
                <w:spacing w:val="-2"/>
                <w:sz w:val="18"/>
              </w:rPr>
              <w:t> </w:t>
            </w:r>
            <w:r>
              <w:rPr>
                <w:sz w:val="18"/>
              </w:rPr>
              <w:t>del </w:t>
            </w:r>
            <w:r>
              <w:rPr>
                <w:spacing w:val="-2"/>
                <w:sz w:val="18"/>
              </w:rPr>
              <w:t>PAPPEMS;</w:t>
            </w:r>
          </w:p>
          <w:p>
            <w:pPr>
              <w:pStyle w:val="TableParagraph"/>
              <w:numPr>
                <w:ilvl w:val="0"/>
                <w:numId w:val="16"/>
              </w:numPr>
              <w:tabs>
                <w:tab w:pos="714" w:val="left" w:leader="none"/>
                <w:tab w:pos="721" w:val="left" w:leader="none"/>
              </w:tabs>
              <w:spacing w:line="242" w:lineRule="auto" w:before="106" w:after="0"/>
              <w:ind w:left="721" w:right="61" w:hanging="360"/>
              <w:jc w:val="both"/>
              <w:rPr>
                <w:sz w:val="18"/>
              </w:rPr>
            </w:pPr>
            <w:r>
              <w:rPr>
                <w:sz w:val="18"/>
              </w:rPr>
              <w:t>Entregar a la CSPyA, los avances trimestrales físico-presupuestarios del Programa conforme al Anexo 1e, anexando los estados de cuenta </w:t>
            </w:r>
            <w:r>
              <w:rPr>
                <w:sz w:val="18"/>
              </w:rPr>
              <w:t>bancarios correspondientes, 15 (quince) días hábiles posteriores a la terminación del trimestre que se reporta; durante los 15 (quince) días hábiles posteriores a la terminación del trimestre que se reporta;</w:t>
            </w:r>
          </w:p>
          <w:p>
            <w:pPr>
              <w:pStyle w:val="TableParagraph"/>
              <w:numPr>
                <w:ilvl w:val="0"/>
                <w:numId w:val="16"/>
              </w:numPr>
              <w:tabs>
                <w:tab w:pos="630" w:val="left" w:leader="none"/>
                <w:tab w:pos="721" w:val="left" w:leader="none"/>
              </w:tabs>
              <w:spacing w:line="237" w:lineRule="auto" w:before="103" w:after="0"/>
              <w:ind w:left="721" w:right="61" w:hanging="360"/>
              <w:jc w:val="both"/>
              <w:rPr>
                <w:sz w:val="18"/>
              </w:rPr>
            </w:pPr>
            <w:r>
              <w:rPr>
                <w:sz w:val="18"/>
              </w:rPr>
              <w:t>Solventar los comentarios emitidos por la CSPyA sobre los avances físicos y financieros a más tardar dentro de los 15 (quince) días hábiles posteriores.</w:t>
            </w:r>
          </w:p>
          <w:p>
            <w:pPr>
              <w:pStyle w:val="TableParagraph"/>
              <w:numPr>
                <w:ilvl w:val="0"/>
                <w:numId w:val="16"/>
              </w:numPr>
              <w:tabs>
                <w:tab w:pos="652" w:val="left" w:leader="none"/>
                <w:tab w:pos="721" w:val="left" w:leader="none"/>
              </w:tabs>
              <w:spacing w:line="237" w:lineRule="auto" w:before="93" w:after="0"/>
              <w:ind w:left="721" w:right="61" w:hanging="360"/>
              <w:jc w:val="both"/>
              <w:rPr>
                <w:sz w:val="18"/>
              </w:rPr>
            </w:pPr>
            <w:r>
              <w:rPr>
                <w:sz w:val="18"/>
              </w:rPr>
              <w:t>Apoyar a la CSPyA en las acciones inherentes a la operación, desarrollo </w:t>
            </w:r>
            <w:r>
              <w:rPr>
                <w:sz w:val="18"/>
              </w:rPr>
              <w:t>y seguimiento del PAPPEMS;</w:t>
            </w:r>
          </w:p>
          <w:p>
            <w:pPr>
              <w:pStyle w:val="TableParagraph"/>
              <w:numPr>
                <w:ilvl w:val="0"/>
                <w:numId w:val="16"/>
              </w:numPr>
              <w:tabs>
                <w:tab w:pos="597" w:val="left" w:leader="none"/>
                <w:tab w:pos="721" w:val="left" w:leader="none"/>
              </w:tabs>
              <w:spacing w:line="237" w:lineRule="auto" w:before="107" w:after="0"/>
              <w:ind w:left="721" w:right="61" w:hanging="360"/>
              <w:jc w:val="both"/>
              <w:rPr>
                <w:sz w:val="18"/>
              </w:rPr>
            </w:pPr>
            <w:r>
              <w:rPr>
                <w:sz w:val="18"/>
              </w:rPr>
              <w:t>Realizar la planeación y coordinación de acciones de participación y </w:t>
            </w:r>
            <w:r>
              <w:rPr>
                <w:sz w:val="18"/>
              </w:rPr>
              <w:t>contraloría </w:t>
            </w:r>
            <w:r>
              <w:rPr>
                <w:spacing w:val="-2"/>
                <w:sz w:val="18"/>
              </w:rPr>
              <w:t>social;</w:t>
            </w:r>
          </w:p>
          <w:p>
            <w:pPr>
              <w:pStyle w:val="TableParagraph"/>
              <w:numPr>
                <w:ilvl w:val="0"/>
                <w:numId w:val="16"/>
              </w:numPr>
              <w:tabs>
                <w:tab w:pos="612" w:val="left" w:leader="none"/>
                <w:tab w:pos="721" w:val="left" w:leader="none"/>
              </w:tabs>
              <w:spacing w:line="242" w:lineRule="auto" w:before="106" w:after="0"/>
              <w:ind w:left="721" w:right="61" w:hanging="360"/>
              <w:jc w:val="both"/>
              <w:rPr>
                <w:sz w:val="18"/>
              </w:rPr>
            </w:pPr>
            <w:r>
              <w:rPr>
                <w:sz w:val="18"/>
              </w:rPr>
              <w:t>Si al cubrir las metas comprometidas del PAPPEMS, se tienen remanentes de recursos (economías), se podrán utilizar para atender los objetivos </w:t>
            </w:r>
            <w:r>
              <w:rPr>
                <w:sz w:val="18"/>
              </w:rPr>
              <w:t>del PAPPEMS, previa solicitud y autorización de la CSPyA y conforme a la </w:t>
            </w:r>
            <w:r>
              <w:rPr>
                <w:spacing w:val="-2"/>
                <w:sz w:val="18"/>
              </w:rPr>
              <w:t>normativa;</w:t>
            </w:r>
          </w:p>
          <w:p>
            <w:pPr>
              <w:pStyle w:val="TableParagraph"/>
              <w:numPr>
                <w:ilvl w:val="0"/>
                <w:numId w:val="16"/>
              </w:numPr>
              <w:tabs>
                <w:tab w:pos="620" w:val="left" w:leader="none"/>
                <w:tab w:pos="721" w:val="left" w:leader="none"/>
              </w:tabs>
              <w:spacing w:line="242" w:lineRule="auto" w:before="85" w:after="0"/>
              <w:ind w:left="721" w:right="61" w:hanging="360"/>
              <w:jc w:val="both"/>
              <w:rPr>
                <w:sz w:val="18"/>
              </w:rPr>
            </w:pPr>
            <w:r>
              <w:rPr>
                <w:sz w:val="18"/>
              </w:rPr>
              <w:t>Conservar la documentación original y los comprobantes digitales (CDFI), </w:t>
            </w:r>
            <w:r>
              <w:rPr>
                <w:sz w:val="18"/>
              </w:rPr>
              <w:t>que amparen el ejercicio del gasto. Dicha documentación deberán resguardarla durante 5 (cinco) años, y quedará a disposición de cualquier autoridad </w:t>
            </w:r>
            <w:r>
              <w:rPr>
                <w:spacing w:val="-2"/>
                <w:sz w:val="18"/>
              </w:rPr>
              <w:t>competente.</w:t>
            </w:r>
          </w:p>
          <w:p>
            <w:pPr>
              <w:pStyle w:val="TableParagraph"/>
              <w:numPr>
                <w:ilvl w:val="0"/>
                <w:numId w:val="16"/>
              </w:numPr>
              <w:tabs>
                <w:tab w:pos="564" w:val="left" w:leader="none"/>
              </w:tabs>
              <w:spacing w:line="240" w:lineRule="auto" w:before="101" w:after="0"/>
              <w:ind w:left="564" w:right="0" w:hanging="203"/>
              <w:jc w:val="both"/>
              <w:rPr>
                <w:sz w:val="18"/>
              </w:rPr>
            </w:pPr>
            <w:r>
              <w:rPr>
                <w:sz w:val="18"/>
              </w:rPr>
              <w:t>La</w:t>
            </w:r>
            <w:r>
              <w:rPr>
                <w:spacing w:val="-10"/>
                <w:sz w:val="18"/>
              </w:rPr>
              <w:t> </w:t>
            </w:r>
            <w:r>
              <w:rPr>
                <w:sz w:val="18"/>
              </w:rPr>
              <w:t>AEL</w:t>
            </w:r>
            <w:r>
              <w:rPr>
                <w:spacing w:val="-7"/>
                <w:sz w:val="18"/>
              </w:rPr>
              <w:t> </w:t>
            </w:r>
            <w:r>
              <w:rPr>
                <w:sz w:val="18"/>
              </w:rPr>
              <w:t>deberá cancelar las cuentas bancarias receptora y </w:t>
            </w:r>
            <w:r>
              <w:rPr>
                <w:spacing w:val="-2"/>
                <w:sz w:val="18"/>
              </w:rPr>
              <w:t>operativa:</w:t>
            </w:r>
          </w:p>
          <w:p>
            <w:pPr>
              <w:pStyle w:val="TableParagraph"/>
              <w:numPr>
                <w:ilvl w:val="0"/>
                <w:numId w:val="16"/>
              </w:numPr>
              <w:tabs>
                <w:tab w:pos="596" w:val="left" w:leader="none"/>
                <w:tab w:pos="721" w:val="left" w:leader="none"/>
              </w:tabs>
              <w:spacing w:line="237" w:lineRule="auto" w:before="102" w:after="0"/>
              <w:ind w:left="721" w:right="61" w:hanging="360"/>
              <w:jc w:val="both"/>
              <w:rPr>
                <w:sz w:val="18"/>
              </w:rPr>
            </w:pPr>
            <w:r>
              <w:rPr>
                <w:sz w:val="18"/>
              </w:rPr>
              <w:t>a) Las AEL que cierren en 2024 deberán cancelar las cuentas bancarias a </w:t>
            </w:r>
            <w:r>
              <w:rPr>
                <w:sz w:val="18"/>
              </w:rPr>
              <w:t>más tardar en el primer trimestre del 2025.</w:t>
            </w:r>
          </w:p>
          <w:p>
            <w:pPr>
              <w:pStyle w:val="TableParagraph"/>
              <w:numPr>
                <w:ilvl w:val="0"/>
                <w:numId w:val="16"/>
              </w:numPr>
              <w:tabs>
                <w:tab w:pos="629" w:val="left" w:leader="none"/>
                <w:tab w:pos="721" w:val="left" w:leader="none"/>
              </w:tabs>
              <w:spacing w:line="237" w:lineRule="auto" w:before="107" w:after="0"/>
              <w:ind w:left="721" w:right="61" w:hanging="360"/>
              <w:jc w:val="both"/>
              <w:rPr>
                <w:sz w:val="18"/>
              </w:rPr>
            </w:pPr>
            <w:r>
              <w:rPr>
                <w:sz w:val="18"/>
              </w:rPr>
              <w:t>b) Las AEL que cierren en apego al Art. 17 de LDFEM deberán cancelar las cuentas bancarias a más tardar en el segundo trimestre del 2025.</w:t>
            </w:r>
          </w:p>
        </w:tc>
      </w:tr>
      <w:tr>
        <w:trPr>
          <w:trHeight w:val="2444" w:hRule="atLeast"/>
        </w:trPr>
        <w:tc>
          <w:tcPr>
            <w:tcW w:w="2115" w:type="dxa"/>
          </w:tcPr>
          <w:p>
            <w:pPr>
              <w:pStyle w:val="TableParagraph"/>
              <w:tabs>
                <w:tab w:pos="1519" w:val="left" w:leader="none"/>
              </w:tabs>
              <w:spacing w:line="242" w:lineRule="auto" w:before="11"/>
              <w:ind w:left="79" w:right="69"/>
              <w:jc w:val="both"/>
              <w:rPr>
                <w:rFonts w:ascii="Arial" w:hAnsi="Arial"/>
                <w:b/>
                <w:sz w:val="18"/>
              </w:rPr>
            </w:pPr>
            <w:r>
              <w:rPr>
                <w:rFonts w:ascii="Arial" w:hAnsi="Arial"/>
                <w:b/>
                <w:sz w:val="18"/>
              </w:rPr>
              <w:t>Planteles Públicos </w:t>
            </w:r>
            <w:r>
              <w:rPr>
                <w:rFonts w:ascii="Arial" w:hAnsi="Arial"/>
                <w:b/>
                <w:sz w:val="18"/>
              </w:rPr>
              <w:t>de </w:t>
            </w:r>
            <w:r>
              <w:rPr>
                <w:rFonts w:ascii="Arial" w:hAnsi="Arial"/>
                <w:b/>
                <w:spacing w:val="-2"/>
                <w:sz w:val="18"/>
              </w:rPr>
              <w:t>Educación</w:t>
            </w:r>
            <w:r>
              <w:rPr>
                <w:rFonts w:ascii="Arial" w:hAnsi="Arial"/>
                <w:b/>
                <w:sz w:val="18"/>
              </w:rPr>
              <w:tab/>
            </w:r>
            <w:r>
              <w:rPr>
                <w:rFonts w:ascii="Arial" w:hAnsi="Arial"/>
                <w:b/>
                <w:spacing w:val="-2"/>
                <w:sz w:val="18"/>
              </w:rPr>
              <w:t>Media Superior</w:t>
            </w:r>
          </w:p>
        </w:tc>
        <w:tc>
          <w:tcPr>
            <w:tcW w:w="7185" w:type="dxa"/>
          </w:tcPr>
          <w:p>
            <w:pPr>
              <w:pStyle w:val="TableParagraph"/>
              <w:numPr>
                <w:ilvl w:val="0"/>
                <w:numId w:val="17"/>
              </w:numPr>
              <w:tabs>
                <w:tab w:pos="564" w:val="left" w:leader="none"/>
              </w:tabs>
              <w:spacing w:line="240" w:lineRule="auto" w:before="9" w:after="0"/>
              <w:ind w:left="564" w:right="0" w:hanging="203"/>
              <w:jc w:val="left"/>
              <w:rPr>
                <w:sz w:val="18"/>
              </w:rPr>
            </w:pPr>
            <w:r>
              <w:rPr>
                <w:sz w:val="18"/>
              </w:rPr>
              <w:t>Participar en el </w:t>
            </w:r>
            <w:r>
              <w:rPr>
                <w:spacing w:val="-2"/>
                <w:sz w:val="18"/>
              </w:rPr>
              <w:t>PAPPEMS.</w:t>
            </w:r>
          </w:p>
          <w:p>
            <w:pPr>
              <w:pStyle w:val="TableParagraph"/>
              <w:numPr>
                <w:ilvl w:val="0"/>
                <w:numId w:val="17"/>
              </w:numPr>
              <w:tabs>
                <w:tab w:pos="647" w:val="left" w:leader="none"/>
                <w:tab w:pos="721" w:val="left" w:leader="none"/>
              </w:tabs>
              <w:spacing w:line="242" w:lineRule="auto" w:before="100" w:after="0"/>
              <w:ind w:left="721" w:right="61" w:hanging="360"/>
              <w:jc w:val="both"/>
              <w:rPr>
                <w:sz w:val="18"/>
              </w:rPr>
            </w:pPr>
            <w:r>
              <w:rPr>
                <w:sz w:val="18"/>
              </w:rPr>
              <w:t>Realizar un Proyecto para el Avance en la Atención de la Educación Media Superior para Estudiantes con Discapacidad para la mejora de </w:t>
            </w:r>
            <w:r>
              <w:rPr>
                <w:sz w:val="18"/>
              </w:rPr>
              <w:t>la infraestructura, mobiliario, equipamiento específico y material educativo de apoyo, conforme a las necesidades de su población con discapacidad.</w:t>
            </w:r>
          </w:p>
          <w:p>
            <w:pPr>
              <w:pStyle w:val="TableParagraph"/>
              <w:numPr>
                <w:ilvl w:val="0"/>
                <w:numId w:val="17"/>
              </w:numPr>
              <w:tabs>
                <w:tab w:pos="593" w:val="left" w:leader="none"/>
                <w:tab w:pos="721" w:val="left" w:leader="none"/>
              </w:tabs>
              <w:spacing w:line="237" w:lineRule="auto" w:before="102" w:after="0"/>
              <w:ind w:left="721" w:right="61" w:hanging="360"/>
              <w:jc w:val="both"/>
              <w:rPr>
                <w:sz w:val="18"/>
              </w:rPr>
            </w:pPr>
            <w:r>
              <w:rPr>
                <w:sz w:val="18"/>
              </w:rPr>
              <w:t>Llevar a cabo las acciones necesarias para la instalación, uso, mantenimiento </w:t>
            </w:r>
            <w:r>
              <w:rPr>
                <w:sz w:val="18"/>
              </w:rPr>
              <w:t>y resguardo de los bienes que se adquieran con recursos del PAPPEMS.</w:t>
            </w:r>
          </w:p>
          <w:p>
            <w:pPr>
              <w:pStyle w:val="TableParagraph"/>
              <w:numPr>
                <w:ilvl w:val="0"/>
                <w:numId w:val="17"/>
              </w:numPr>
              <w:tabs>
                <w:tab w:pos="596" w:val="left" w:leader="none"/>
                <w:tab w:pos="721" w:val="left" w:leader="none"/>
              </w:tabs>
              <w:spacing w:line="237" w:lineRule="auto" w:before="93" w:after="0"/>
              <w:ind w:left="721" w:right="61" w:hanging="360"/>
              <w:jc w:val="both"/>
              <w:rPr>
                <w:sz w:val="18"/>
              </w:rPr>
            </w:pPr>
            <w:r>
              <w:rPr>
                <w:sz w:val="18"/>
              </w:rPr>
              <w:t>Proporcionar la información que la SEMS les requiera a través de la AEL de su </w:t>
            </w:r>
            <w:r>
              <w:rPr>
                <w:spacing w:val="-2"/>
                <w:sz w:val="18"/>
              </w:rPr>
              <w:t>adscripción.</w:t>
            </w:r>
          </w:p>
        </w:tc>
      </w:tr>
    </w:tbl>
    <w:p>
      <w:pPr>
        <w:pStyle w:val="BodyText"/>
        <w:spacing w:before="106"/>
        <w:ind w:left="0" w:right="0" w:firstLine="0"/>
        <w:jc w:val="left"/>
        <w:rPr>
          <w:rFonts w:ascii="Arial"/>
          <w:b/>
        </w:rPr>
      </w:pPr>
    </w:p>
    <w:p>
      <w:pPr>
        <w:pStyle w:val="ListParagraph"/>
        <w:numPr>
          <w:ilvl w:val="2"/>
          <w:numId w:val="2"/>
        </w:numPr>
        <w:tabs>
          <w:tab w:pos="902" w:val="left" w:leader="none"/>
        </w:tabs>
        <w:spacing w:line="240" w:lineRule="auto" w:before="0" w:after="0"/>
        <w:ind w:left="902" w:right="0" w:hanging="500"/>
        <w:jc w:val="left"/>
        <w:rPr>
          <w:rFonts w:ascii="Arial"/>
          <w:b/>
          <w:sz w:val="18"/>
        </w:rPr>
      </w:pPr>
      <w:r>
        <w:rPr>
          <w:rFonts w:ascii="Arial"/>
          <w:b/>
          <w:sz w:val="18"/>
        </w:rPr>
        <w:t>Instancia(s) </w:t>
      </w:r>
      <w:r>
        <w:rPr>
          <w:rFonts w:ascii="Arial"/>
          <w:b/>
          <w:spacing w:val="-2"/>
          <w:sz w:val="18"/>
        </w:rPr>
        <w:t>normativa(s)</w:t>
      </w:r>
    </w:p>
    <w:p>
      <w:pPr>
        <w:pStyle w:val="BodyText"/>
        <w:spacing w:line="242" w:lineRule="auto"/>
      </w:pPr>
      <w:r>
        <w:rPr/>
        <w:t>La SEMS, a través de la CSPyA, será la instancia encargada de interpretar las presentes RO y resolver las dudas y aspectos no contemplados en las mismas, de conformidad con las disposiciones aplicables en la materia que operan el PAPPEMS.</w:t>
      </w:r>
    </w:p>
    <w:p>
      <w:pPr>
        <w:pStyle w:val="Heading2"/>
        <w:numPr>
          <w:ilvl w:val="1"/>
          <w:numId w:val="2"/>
        </w:numPr>
        <w:tabs>
          <w:tab w:pos="752" w:val="left" w:leader="none"/>
        </w:tabs>
        <w:spacing w:line="240" w:lineRule="auto" w:before="2" w:after="0"/>
        <w:ind w:left="752" w:right="0" w:hanging="350"/>
        <w:jc w:val="left"/>
      </w:pPr>
      <w:r>
        <w:rPr/>
        <w:t>Coordinación </w:t>
      </w:r>
      <w:r>
        <w:rPr>
          <w:spacing w:val="-2"/>
        </w:rPr>
        <w:t>institucional</w:t>
      </w:r>
    </w:p>
    <w:p>
      <w:pPr>
        <w:pStyle w:val="BodyText"/>
        <w:spacing w:line="242" w:lineRule="auto" w:before="93"/>
      </w:pPr>
      <w:r>
        <w:rPr/>
        <w:t>La</w:t>
      </w:r>
      <w:r>
        <w:rPr>
          <w:spacing w:val="-2"/>
        </w:rPr>
        <w:t> </w:t>
      </w:r>
      <w:r>
        <w:rPr/>
        <w:t>SEMS,</w:t>
      </w:r>
      <w:r>
        <w:rPr>
          <w:spacing w:val="-2"/>
        </w:rPr>
        <w:t> </w:t>
      </w:r>
      <w:r>
        <w:rPr/>
        <w:t>a</w:t>
      </w:r>
      <w:r>
        <w:rPr>
          <w:spacing w:val="-2"/>
        </w:rPr>
        <w:t> </w:t>
      </w:r>
      <w:r>
        <w:rPr/>
        <w:t>través</w:t>
      </w:r>
      <w:r>
        <w:rPr>
          <w:spacing w:val="-2"/>
        </w:rPr>
        <w:t> </w:t>
      </w:r>
      <w:r>
        <w:rPr/>
        <w:t>de</w:t>
      </w:r>
      <w:r>
        <w:rPr>
          <w:spacing w:val="-2"/>
        </w:rPr>
        <w:t> </w:t>
      </w:r>
      <w:r>
        <w:rPr/>
        <w:t>la</w:t>
      </w:r>
      <w:r>
        <w:rPr>
          <w:spacing w:val="-2"/>
        </w:rPr>
        <w:t> </w:t>
      </w:r>
      <w:r>
        <w:rPr/>
        <w:t>CSPyA,</w:t>
      </w:r>
      <w:r>
        <w:rPr>
          <w:spacing w:val="-2"/>
        </w:rPr>
        <w:t> </w:t>
      </w:r>
      <w:r>
        <w:rPr/>
        <w:t>podrá</w:t>
      </w:r>
      <w:r>
        <w:rPr>
          <w:spacing w:val="-2"/>
        </w:rPr>
        <w:t> </w:t>
      </w:r>
      <w:r>
        <w:rPr/>
        <w:t>establecer</w:t>
      </w:r>
      <w:r>
        <w:rPr>
          <w:spacing w:val="-2"/>
        </w:rPr>
        <w:t> </w:t>
      </w:r>
      <w:r>
        <w:rPr/>
        <w:t>acciones</w:t>
      </w:r>
      <w:r>
        <w:rPr>
          <w:spacing w:val="-2"/>
        </w:rPr>
        <w:t> </w:t>
      </w:r>
      <w:r>
        <w:rPr/>
        <w:t>de</w:t>
      </w:r>
      <w:r>
        <w:rPr>
          <w:spacing w:val="-2"/>
        </w:rPr>
        <w:t> </w:t>
      </w:r>
      <w:r>
        <w:rPr/>
        <w:t>coordinación</w:t>
      </w:r>
      <w:r>
        <w:rPr>
          <w:spacing w:val="-2"/>
        </w:rPr>
        <w:t> </w:t>
      </w:r>
      <w:r>
        <w:rPr/>
        <w:t>con</w:t>
      </w:r>
      <w:r>
        <w:rPr>
          <w:spacing w:val="-2"/>
        </w:rPr>
        <w:t> </w:t>
      </w:r>
      <w:r>
        <w:rPr/>
        <w:t>las</w:t>
      </w:r>
      <w:r>
        <w:rPr>
          <w:spacing w:val="-2"/>
        </w:rPr>
        <w:t> </w:t>
      </w:r>
      <w:r>
        <w:rPr/>
        <w:t>autoridades</w:t>
      </w:r>
      <w:r>
        <w:rPr>
          <w:spacing w:val="-2"/>
        </w:rPr>
        <w:t> </w:t>
      </w:r>
      <w:r>
        <w:rPr/>
        <w:t>federales</w:t>
      </w:r>
      <w:r>
        <w:rPr>
          <w:spacing w:val="-2"/>
        </w:rPr>
        <w:t> </w:t>
      </w:r>
      <w:r>
        <w:rPr/>
        <w:t>y</w:t>
      </w:r>
      <w:r>
        <w:rPr>
          <w:spacing w:val="-2"/>
        </w:rPr>
        <w:t> </w:t>
      </w:r>
      <w:r>
        <w:rPr/>
        <w:t>locales</w:t>
      </w:r>
      <w:r>
        <w:rPr>
          <w:spacing w:val="-2"/>
        </w:rPr>
        <w:t> </w:t>
      </w:r>
      <w:r>
        <w:rPr/>
        <w:t>(estatales, municipales, CDMX y demarcaciones territoriales de la Ciudad de México) las cuales tendrán que darse en el marco de las disposiciones de las presentes RO y de la normativa aplicable, a fin de evitar duplicidades con otros programas del </w:t>
      </w:r>
      <w:r>
        <w:rPr/>
        <w:t>Gobierno </w:t>
      </w:r>
      <w:r>
        <w:rPr>
          <w:spacing w:val="-2"/>
        </w:rPr>
        <w:t>Federal.</w:t>
      </w:r>
    </w:p>
    <w:p>
      <w:pPr>
        <w:spacing w:after="0" w:line="242" w:lineRule="auto"/>
        <w:sectPr>
          <w:pgSz w:w="12240" w:h="15840"/>
          <w:pgMar w:header="269" w:footer="260" w:top="460" w:bottom="440" w:left="860" w:right="720"/>
        </w:sectPr>
      </w:pPr>
    </w:p>
    <w:p>
      <w:pPr>
        <w:pStyle w:val="BodyText"/>
        <w:spacing w:line="242" w:lineRule="auto" w:before="82"/>
        <w:ind w:right="117"/>
      </w:pPr>
      <w:r>
        <w:rPr/>
        <w:t>Para el mejor cumplimiento de las acciones que se ejecutan a través del presente Programa, se podrán realizar los ajustes necesarios en su planeación y alcances, estableciendo los acuerdos, la coordinación y vinculación interinstitucional correspondientes, en el marco de lo dispuesto en las disposiciones jurídicas aplicables en la materia, lo establecido por las presentes Reglas de Operación y de las metas establecidas, así como en función de la disponibilidad presupuestaria autorizada.</w:t>
      </w:r>
    </w:p>
    <w:p>
      <w:pPr>
        <w:pStyle w:val="Heading1"/>
        <w:numPr>
          <w:ilvl w:val="0"/>
          <w:numId w:val="2"/>
        </w:numPr>
        <w:tabs>
          <w:tab w:pos="4882" w:val="left" w:leader="none"/>
        </w:tabs>
        <w:spacing w:line="240" w:lineRule="auto" w:before="109" w:after="0"/>
        <w:ind w:left="4882" w:right="0" w:hanging="200"/>
        <w:jc w:val="left"/>
        <w:rPr>
          <w:rFonts w:ascii="Arial" w:hAnsi="Arial"/>
        </w:rPr>
      </w:pPr>
      <w:r>
        <w:rPr>
          <w:rFonts w:ascii="Arial" w:hAnsi="Arial"/>
          <w:spacing w:val="-2"/>
        </w:rPr>
        <w:t>OPERACIÓN</w:t>
      </w:r>
    </w:p>
    <w:p>
      <w:pPr>
        <w:pStyle w:val="Heading2"/>
        <w:numPr>
          <w:ilvl w:val="1"/>
          <w:numId w:val="2"/>
        </w:numPr>
        <w:tabs>
          <w:tab w:pos="752" w:val="left" w:leader="none"/>
        </w:tabs>
        <w:spacing w:line="240" w:lineRule="auto" w:before="93" w:after="0"/>
        <w:ind w:left="752" w:right="0" w:hanging="350"/>
        <w:jc w:val="left"/>
      </w:pPr>
      <w:r>
        <w:rPr>
          <w:spacing w:val="-2"/>
        </w:rPr>
        <w:t>Proceso</w:t>
      </w:r>
    </w:p>
    <w:p>
      <w:pPr>
        <w:pStyle w:val="BodyText"/>
        <w:spacing w:before="93"/>
        <w:ind w:left="402" w:right="0" w:firstLine="0"/>
        <w:jc w:val="left"/>
      </w:pPr>
      <w:r>
        <w:rPr/>
        <w:t>(Anexo 1d Diagrama de </w:t>
      </w:r>
      <w:r>
        <w:rPr>
          <w:spacing w:val="-2"/>
        </w:rPr>
        <w:t>Flujo)</w:t>
      </w:r>
    </w:p>
    <w:p>
      <w:pPr>
        <w:pStyle w:val="BodyText"/>
        <w:spacing w:before="4" w:after="1"/>
        <w:ind w:left="0" w:right="0" w:firstLine="0"/>
        <w:jc w:val="left"/>
        <w:rPr>
          <w:sz w:val="8"/>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74"/>
        <w:gridCol w:w="622"/>
        <w:gridCol w:w="3000"/>
        <w:gridCol w:w="253"/>
        <w:gridCol w:w="378"/>
        <w:gridCol w:w="485"/>
        <w:gridCol w:w="350"/>
        <w:gridCol w:w="291"/>
        <w:gridCol w:w="2415"/>
      </w:tblGrid>
      <w:tr>
        <w:trPr>
          <w:trHeight w:val="329" w:hRule="atLeast"/>
        </w:trPr>
        <w:tc>
          <w:tcPr>
            <w:tcW w:w="2296" w:type="dxa"/>
            <w:gridSpan w:val="2"/>
          </w:tcPr>
          <w:p>
            <w:pPr>
              <w:pStyle w:val="TableParagraph"/>
              <w:spacing w:before="11"/>
              <w:ind w:left="15"/>
              <w:jc w:val="center"/>
              <w:rPr>
                <w:rFonts w:ascii="Arial"/>
                <w:b/>
                <w:sz w:val="18"/>
              </w:rPr>
            </w:pPr>
            <w:r>
              <w:rPr>
                <w:rFonts w:ascii="Arial"/>
                <w:b/>
                <w:spacing w:val="-2"/>
                <w:sz w:val="18"/>
              </w:rPr>
              <w:t>Etapa</w:t>
            </w:r>
          </w:p>
        </w:tc>
        <w:tc>
          <w:tcPr>
            <w:tcW w:w="4757" w:type="dxa"/>
            <w:gridSpan w:val="6"/>
          </w:tcPr>
          <w:p>
            <w:pPr>
              <w:pStyle w:val="TableParagraph"/>
              <w:spacing w:before="11"/>
              <w:ind w:left="18"/>
              <w:jc w:val="center"/>
              <w:rPr>
                <w:rFonts w:ascii="Arial"/>
                <w:b/>
                <w:sz w:val="18"/>
              </w:rPr>
            </w:pPr>
            <w:r>
              <w:rPr>
                <w:rFonts w:ascii="Arial"/>
                <w:b/>
                <w:spacing w:val="-2"/>
                <w:sz w:val="18"/>
              </w:rPr>
              <w:t>Actividad</w:t>
            </w:r>
          </w:p>
        </w:tc>
        <w:tc>
          <w:tcPr>
            <w:tcW w:w="2415" w:type="dxa"/>
          </w:tcPr>
          <w:p>
            <w:pPr>
              <w:pStyle w:val="TableParagraph"/>
              <w:spacing w:before="11"/>
              <w:ind w:left="9"/>
              <w:jc w:val="center"/>
              <w:rPr>
                <w:rFonts w:ascii="Arial"/>
                <w:b/>
                <w:sz w:val="18"/>
              </w:rPr>
            </w:pPr>
            <w:r>
              <w:rPr>
                <w:rFonts w:ascii="Arial"/>
                <w:b/>
                <w:spacing w:val="-2"/>
                <w:sz w:val="18"/>
              </w:rPr>
              <w:t>Responsable</w:t>
            </w:r>
          </w:p>
        </w:tc>
      </w:tr>
      <w:tr>
        <w:trPr>
          <w:trHeight w:val="944" w:hRule="atLeast"/>
        </w:trPr>
        <w:tc>
          <w:tcPr>
            <w:tcW w:w="2296" w:type="dxa"/>
            <w:gridSpan w:val="2"/>
          </w:tcPr>
          <w:p>
            <w:pPr>
              <w:pStyle w:val="TableParagraph"/>
              <w:spacing w:before="11"/>
              <w:ind w:left="79"/>
              <w:rPr>
                <w:sz w:val="18"/>
              </w:rPr>
            </w:pPr>
            <w:r>
              <w:rPr>
                <w:spacing w:val="-2"/>
                <w:sz w:val="18"/>
              </w:rPr>
              <w:t>Notificación</w:t>
            </w:r>
          </w:p>
        </w:tc>
        <w:tc>
          <w:tcPr>
            <w:tcW w:w="4757" w:type="dxa"/>
            <w:gridSpan w:val="6"/>
          </w:tcPr>
          <w:p>
            <w:pPr>
              <w:pStyle w:val="TableParagraph"/>
              <w:spacing w:line="242" w:lineRule="auto" w:before="11"/>
              <w:ind w:left="80" w:right="60"/>
              <w:jc w:val="both"/>
              <w:rPr>
                <w:sz w:val="18"/>
              </w:rPr>
            </w:pPr>
            <w:r>
              <w:rPr>
                <w:sz w:val="18"/>
              </w:rPr>
              <w:t>Publicar y notificar a las</w:t>
            </w:r>
            <w:r>
              <w:rPr>
                <w:spacing w:val="-4"/>
                <w:sz w:val="18"/>
              </w:rPr>
              <w:t> </w:t>
            </w:r>
            <w:r>
              <w:rPr>
                <w:sz w:val="18"/>
              </w:rPr>
              <w:t>AEL, la relación de los </w:t>
            </w:r>
            <w:r>
              <w:rPr>
                <w:sz w:val="18"/>
              </w:rPr>
              <w:t>planteles beneficiarios. Durante los 20 (veinte) días naturales posteriores al término de la selección de beneficiarios.</w:t>
            </w:r>
          </w:p>
        </w:tc>
        <w:tc>
          <w:tcPr>
            <w:tcW w:w="2415" w:type="dxa"/>
          </w:tcPr>
          <w:p>
            <w:pPr>
              <w:pStyle w:val="TableParagraph"/>
              <w:spacing w:before="11"/>
              <w:ind w:left="9"/>
              <w:jc w:val="center"/>
              <w:rPr>
                <w:sz w:val="18"/>
              </w:rPr>
            </w:pPr>
            <w:r>
              <w:rPr>
                <w:spacing w:val="-4"/>
                <w:sz w:val="18"/>
              </w:rPr>
              <w:t>SEMS</w:t>
            </w:r>
          </w:p>
        </w:tc>
      </w:tr>
      <w:tr>
        <w:trPr>
          <w:trHeight w:val="1169" w:hRule="atLeast"/>
        </w:trPr>
        <w:tc>
          <w:tcPr>
            <w:tcW w:w="2296" w:type="dxa"/>
            <w:gridSpan w:val="2"/>
          </w:tcPr>
          <w:p>
            <w:pPr>
              <w:pStyle w:val="TableParagraph"/>
              <w:spacing w:before="11"/>
              <w:ind w:left="79"/>
              <w:rPr>
                <w:sz w:val="18"/>
              </w:rPr>
            </w:pPr>
            <w:r>
              <w:rPr>
                <w:spacing w:val="-2"/>
                <w:sz w:val="18"/>
              </w:rPr>
              <w:t>Formalización</w:t>
            </w:r>
          </w:p>
        </w:tc>
        <w:tc>
          <w:tcPr>
            <w:tcW w:w="4757" w:type="dxa"/>
            <w:gridSpan w:val="6"/>
          </w:tcPr>
          <w:p>
            <w:pPr>
              <w:pStyle w:val="TableParagraph"/>
              <w:spacing w:line="242" w:lineRule="auto" w:before="11"/>
              <w:ind w:left="80" w:right="59"/>
              <w:jc w:val="both"/>
              <w:rPr>
                <w:sz w:val="18"/>
              </w:rPr>
            </w:pPr>
            <w:r>
              <w:rPr>
                <w:sz w:val="18"/>
              </w:rPr>
              <w:t>Suscribir convenio de colaboración con los Gobiernos </w:t>
            </w:r>
            <w:r>
              <w:rPr>
                <w:sz w:val="18"/>
              </w:rPr>
              <w:t>de las Entidades Federativas en las que se encuentran los planteles beneficiarios. Durante los 60 (sesenta) días naturales posteriores a la notificación del carácter de </w:t>
            </w:r>
            <w:r>
              <w:rPr>
                <w:spacing w:val="-2"/>
                <w:sz w:val="18"/>
              </w:rPr>
              <w:t>beneficiarios.</w:t>
            </w:r>
          </w:p>
        </w:tc>
        <w:tc>
          <w:tcPr>
            <w:tcW w:w="2415" w:type="dxa"/>
          </w:tcPr>
          <w:p>
            <w:pPr>
              <w:pStyle w:val="TableParagraph"/>
              <w:spacing w:before="11"/>
              <w:ind w:left="9"/>
              <w:jc w:val="center"/>
              <w:rPr>
                <w:sz w:val="18"/>
              </w:rPr>
            </w:pPr>
            <w:r>
              <w:rPr>
                <w:sz w:val="18"/>
              </w:rPr>
              <w:t>SEMS</w:t>
            </w:r>
            <w:r>
              <w:rPr>
                <w:spacing w:val="-10"/>
                <w:sz w:val="18"/>
              </w:rPr>
              <w:t> </w:t>
            </w:r>
            <w:r>
              <w:rPr>
                <w:spacing w:val="-5"/>
                <w:sz w:val="18"/>
              </w:rPr>
              <w:t>AEL</w:t>
            </w:r>
          </w:p>
        </w:tc>
      </w:tr>
      <w:tr>
        <w:trPr>
          <w:trHeight w:val="959" w:hRule="atLeast"/>
        </w:trPr>
        <w:tc>
          <w:tcPr>
            <w:tcW w:w="2296" w:type="dxa"/>
            <w:gridSpan w:val="2"/>
          </w:tcPr>
          <w:p>
            <w:pPr>
              <w:pStyle w:val="TableParagraph"/>
              <w:spacing w:before="11"/>
              <w:ind w:left="79"/>
              <w:rPr>
                <w:sz w:val="18"/>
              </w:rPr>
            </w:pPr>
            <w:r>
              <w:rPr>
                <w:sz w:val="18"/>
              </w:rPr>
              <w:t>Solicitud de </w:t>
            </w:r>
            <w:r>
              <w:rPr>
                <w:spacing w:val="-2"/>
                <w:sz w:val="18"/>
              </w:rPr>
              <w:t>apoyo</w:t>
            </w:r>
          </w:p>
        </w:tc>
        <w:tc>
          <w:tcPr>
            <w:tcW w:w="4757" w:type="dxa"/>
            <w:gridSpan w:val="6"/>
          </w:tcPr>
          <w:p>
            <w:pPr>
              <w:pStyle w:val="TableParagraph"/>
              <w:spacing w:line="242" w:lineRule="auto" w:before="11"/>
              <w:ind w:left="80" w:right="60"/>
              <w:jc w:val="both"/>
              <w:rPr>
                <w:sz w:val="18"/>
              </w:rPr>
            </w:pPr>
            <w:r>
              <w:rPr>
                <w:sz w:val="18"/>
              </w:rPr>
              <w:t>Suscribir el Recibo de Ministración para la entrega de </w:t>
            </w:r>
            <w:r>
              <w:rPr>
                <w:sz w:val="18"/>
              </w:rPr>
              <w:t>los apoyos del PAPPEMS a los planteles públicos. Durante los 30 (treinta) días naturales posteriores a la formalización de los convenios.</w:t>
            </w:r>
          </w:p>
        </w:tc>
        <w:tc>
          <w:tcPr>
            <w:tcW w:w="2415" w:type="dxa"/>
          </w:tcPr>
          <w:p>
            <w:pPr>
              <w:pStyle w:val="TableParagraph"/>
              <w:spacing w:before="11"/>
              <w:ind w:left="9"/>
              <w:jc w:val="center"/>
              <w:rPr>
                <w:sz w:val="18"/>
              </w:rPr>
            </w:pPr>
            <w:r>
              <w:rPr>
                <w:spacing w:val="-5"/>
                <w:sz w:val="18"/>
              </w:rPr>
              <w:t>AEL</w:t>
            </w:r>
          </w:p>
        </w:tc>
      </w:tr>
      <w:tr>
        <w:trPr>
          <w:trHeight w:val="749" w:hRule="atLeast"/>
        </w:trPr>
        <w:tc>
          <w:tcPr>
            <w:tcW w:w="1674" w:type="dxa"/>
            <w:tcBorders>
              <w:right w:val="nil"/>
            </w:tcBorders>
          </w:tcPr>
          <w:p>
            <w:pPr>
              <w:pStyle w:val="TableParagraph"/>
              <w:spacing w:line="242" w:lineRule="auto" w:before="11"/>
              <w:ind w:left="79" w:right="38"/>
              <w:rPr>
                <w:sz w:val="18"/>
              </w:rPr>
            </w:pPr>
            <w:r>
              <w:rPr>
                <w:spacing w:val="-2"/>
                <w:sz w:val="18"/>
              </w:rPr>
              <w:t>Comprobante </w:t>
            </w:r>
            <w:r>
              <w:rPr>
                <w:sz w:val="18"/>
              </w:rPr>
              <w:t>Digital</w:t>
            </w:r>
            <w:r>
              <w:rPr>
                <w:spacing w:val="-15"/>
                <w:sz w:val="18"/>
              </w:rPr>
              <w:t> </w:t>
            </w:r>
            <w:r>
              <w:rPr>
                <w:sz w:val="18"/>
              </w:rPr>
              <w:t>por</w:t>
            </w:r>
            <w:r>
              <w:rPr>
                <w:spacing w:val="-12"/>
                <w:sz w:val="18"/>
              </w:rPr>
              <w:t> </w:t>
            </w:r>
            <w:r>
              <w:rPr>
                <w:sz w:val="18"/>
              </w:rPr>
              <w:t>Internet.</w:t>
            </w:r>
          </w:p>
        </w:tc>
        <w:tc>
          <w:tcPr>
            <w:tcW w:w="622" w:type="dxa"/>
            <w:tcBorders>
              <w:left w:val="nil"/>
            </w:tcBorders>
          </w:tcPr>
          <w:p>
            <w:pPr>
              <w:pStyle w:val="TableParagraph"/>
              <w:spacing w:before="11"/>
              <w:ind w:right="61"/>
              <w:jc w:val="right"/>
              <w:rPr>
                <w:sz w:val="18"/>
              </w:rPr>
            </w:pPr>
            <w:r>
              <w:rPr>
                <w:spacing w:val="-2"/>
                <w:sz w:val="18"/>
              </w:rPr>
              <w:t>Fiscal</w:t>
            </w:r>
          </w:p>
        </w:tc>
        <w:tc>
          <w:tcPr>
            <w:tcW w:w="4757" w:type="dxa"/>
            <w:gridSpan w:val="6"/>
          </w:tcPr>
          <w:p>
            <w:pPr>
              <w:pStyle w:val="TableParagraph"/>
              <w:spacing w:line="242" w:lineRule="auto" w:before="11"/>
              <w:ind w:left="80" w:right="60"/>
              <w:jc w:val="both"/>
              <w:rPr>
                <w:sz w:val="18"/>
              </w:rPr>
            </w:pPr>
            <w:r>
              <w:rPr>
                <w:sz w:val="18"/>
              </w:rPr>
              <w:t>Enviar a la CSPyA el CFDI en formato PDF y XML. Durante los 5 (cinco) primeros días hábiles del </w:t>
            </w:r>
            <w:r>
              <w:rPr>
                <w:sz w:val="18"/>
              </w:rPr>
              <w:t>mes posterior a la entrega del Recibo de Ministración.</w:t>
            </w:r>
          </w:p>
        </w:tc>
        <w:tc>
          <w:tcPr>
            <w:tcW w:w="2415" w:type="dxa"/>
          </w:tcPr>
          <w:p>
            <w:pPr>
              <w:pStyle w:val="TableParagraph"/>
              <w:spacing w:before="11"/>
              <w:ind w:left="9"/>
              <w:jc w:val="center"/>
              <w:rPr>
                <w:sz w:val="18"/>
              </w:rPr>
            </w:pPr>
            <w:r>
              <w:rPr>
                <w:spacing w:val="-5"/>
                <w:sz w:val="18"/>
              </w:rPr>
              <w:t>AEL</w:t>
            </w:r>
          </w:p>
        </w:tc>
      </w:tr>
      <w:tr>
        <w:trPr>
          <w:trHeight w:val="1379" w:hRule="atLeast"/>
        </w:trPr>
        <w:tc>
          <w:tcPr>
            <w:tcW w:w="2296" w:type="dxa"/>
            <w:gridSpan w:val="2"/>
          </w:tcPr>
          <w:p>
            <w:pPr>
              <w:pStyle w:val="TableParagraph"/>
              <w:spacing w:before="11"/>
              <w:ind w:left="79"/>
              <w:rPr>
                <w:sz w:val="18"/>
              </w:rPr>
            </w:pPr>
            <w:r>
              <w:rPr>
                <w:sz w:val="18"/>
              </w:rPr>
              <w:t>Entrega de</w:t>
            </w:r>
            <w:r>
              <w:rPr>
                <w:spacing w:val="-10"/>
                <w:sz w:val="18"/>
              </w:rPr>
              <w:t> </w:t>
            </w:r>
            <w:r>
              <w:rPr>
                <w:spacing w:val="-2"/>
                <w:sz w:val="18"/>
              </w:rPr>
              <w:t>Apoyos</w:t>
            </w:r>
          </w:p>
        </w:tc>
        <w:tc>
          <w:tcPr>
            <w:tcW w:w="4757" w:type="dxa"/>
            <w:gridSpan w:val="6"/>
          </w:tcPr>
          <w:p>
            <w:pPr>
              <w:pStyle w:val="TableParagraph"/>
              <w:spacing w:line="242" w:lineRule="auto" w:before="11"/>
              <w:ind w:left="80" w:right="60"/>
              <w:jc w:val="both"/>
              <w:rPr>
                <w:sz w:val="18"/>
              </w:rPr>
            </w:pPr>
            <w:r>
              <w:rPr>
                <w:sz w:val="18"/>
              </w:rPr>
              <w:t>Entregar los subsidios a los gobiernos de cada </w:t>
            </w:r>
            <w:r>
              <w:rPr>
                <w:sz w:val="18"/>
              </w:rPr>
              <w:t>Entidad Federativa para el desarrollo del presente Programa, previo envío de los CFDI en formato PDF y XML por</w:t>
            </w:r>
            <w:r>
              <w:rPr>
                <w:spacing w:val="40"/>
                <w:sz w:val="18"/>
              </w:rPr>
              <w:t> </w:t>
            </w:r>
            <w:r>
              <w:rPr>
                <w:sz w:val="18"/>
              </w:rPr>
              <w:t>parte de las AEL a la CSPyA, de conformidad al tiempo establecido para tal efecto en el Convenio de </w:t>
            </w:r>
            <w:r>
              <w:rPr>
                <w:spacing w:val="-2"/>
                <w:sz w:val="18"/>
              </w:rPr>
              <w:t>colaboración.</w:t>
            </w:r>
          </w:p>
        </w:tc>
        <w:tc>
          <w:tcPr>
            <w:tcW w:w="2415" w:type="dxa"/>
          </w:tcPr>
          <w:p>
            <w:pPr>
              <w:pStyle w:val="TableParagraph"/>
              <w:spacing w:before="11"/>
              <w:ind w:left="9"/>
              <w:jc w:val="center"/>
              <w:rPr>
                <w:sz w:val="18"/>
              </w:rPr>
            </w:pPr>
            <w:r>
              <w:rPr>
                <w:spacing w:val="-4"/>
                <w:sz w:val="18"/>
              </w:rPr>
              <w:t>SEMS</w:t>
            </w:r>
          </w:p>
        </w:tc>
      </w:tr>
      <w:tr>
        <w:trPr>
          <w:trHeight w:val="554" w:hRule="atLeast"/>
        </w:trPr>
        <w:tc>
          <w:tcPr>
            <w:tcW w:w="1674" w:type="dxa"/>
            <w:tcBorders>
              <w:right w:val="nil"/>
            </w:tcBorders>
          </w:tcPr>
          <w:p>
            <w:pPr>
              <w:pStyle w:val="TableParagraph"/>
              <w:spacing w:line="242" w:lineRule="auto" w:before="11"/>
              <w:ind w:left="79" w:right="38"/>
              <w:rPr>
                <w:sz w:val="18"/>
              </w:rPr>
            </w:pPr>
            <w:r>
              <w:rPr>
                <w:spacing w:val="-2"/>
                <w:sz w:val="18"/>
              </w:rPr>
              <w:t>Notificación Ministración.</w:t>
            </w:r>
          </w:p>
        </w:tc>
        <w:tc>
          <w:tcPr>
            <w:tcW w:w="622" w:type="dxa"/>
            <w:tcBorders>
              <w:left w:val="nil"/>
            </w:tcBorders>
          </w:tcPr>
          <w:p>
            <w:pPr>
              <w:pStyle w:val="TableParagraph"/>
              <w:spacing w:before="11"/>
              <w:ind w:right="61"/>
              <w:jc w:val="right"/>
              <w:rPr>
                <w:sz w:val="18"/>
              </w:rPr>
            </w:pPr>
            <w:r>
              <w:rPr>
                <w:spacing w:val="-5"/>
                <w:sz w:val="18"/>
              </w:rPr>
              <w:t>de</w:t>
            </w:r>
          </w:p>
        </w:tc>
        <w:tc>
          <w:tcPr>
            <w:tcW w:w="3000" w:type="dxa"/>
            <w:tcBorders>
              <w:right w:val="nil"/>
            </w:tcBorders>
          </w:tcPr>
          <w:p>
            <w:pPr>
              <w:pStyle w:val="TableParagraph"/>
              <w:spacing w:line="242" w:lineRule="auto" w:before="11"/>
              <w:ind w:left="80" w:right="68"/>
              <w:rPr>
                <w:sz w:val="18"/>
              </w:rPr>
            </w:pPr>
            <w:r>
              <w:rPr>
                <w:sz w:val="18"/>
              </w:rPr>
              <w:t>La</w:t>
            </w:r>
            <w:r>
              <w:rPr>
                <w:spacing w:val="80"/>
                <w:sz w:val="18"/>
              </w:rPr>
              <w:t> </w:t>
            </w:r>
            <w:r>
              <w:rPr>
                <w:sz w:val="18"/>
              </w:rPr>
              <w:t>CSPyA</w:t>
            </w:r>
            <w:r>
              <w:rPr>
                <w:spacing w:val="80"/>
                <w:sz w:val="18"/>
              </w:rPr>
              <w:t> </w:t>
            </w:r>
            <w:r>
              <w:rPr>
                <w:sz w:val="18"/>
              </w:rPr>
              <w:t>notifican</w:t>
            </w:r>
            <w:r>
              <w:rPr>
                <w:spacing w:val="80"/>
                <w:sz w:val="18"/>
              </w:rPr>
              <w:t> </w:t>
            </w:r>
            <w:r>
              <w:rPr>
                <w:sz w:val="18"/>
              </w:rPr>
              <w:t>por</w:t>
            </w:r>
            <w:r>
              <w:rPr>
                <w:spacing w:val="80"/>
                <w:sz w:val="18"/>
              </w:rPr>
              <w:t> </w:t>
            </w:r>
            <w:r>
              <w:rPr>
                <w:sz w:val="18"/>
              </w:rPr>
              <w:t>escrito ministración de los subsidios.</w:t>
            </w:r>
          </w:p>
        </w:tc>
        <w:tc>
          <w:tcPr>
            <w:tcW w:w="253" w:type="dxa"/>
            <w:tcBorders>
              <w:left w:val="nil"/>
              <w:right w:val="nil"/>
            </w:tcBorders>
          </w:tcPr>
          <w:p>
            <w:pPr>
              <w:pStyle w:val="TableParagraph"/>
              <w:spacing w:before="11"/>
              <w:ind w:left="82"/>
              <w:rPr>
                <w:sz w:val="18"/>
              </w:rPr>
            </w:pPr>
            <w:r>
              <w:rPr>
                <w:spacing w:val="-10"/>
                <w:sz w:val="18"/>
              </w:rPr>
              <w:t>a</w:t>
            </w:r>
          </w:p>
        </w:tc>
        <w:tc>
          <w:tcPr>
            <w:tcW w:w="378" w:type="dxa"/>
            <w:tcBorders>
              <w:left w:val="nil"/>
              <w:right w:val="nil"/>
            </w:tcBorders>
          </w:tcPr>
          <w:p>
            <w:pPr>
              <w:pStyle w:val="TableParagraph"/>
              <w:spacing w:before="11"/>
              <w:ind w:left="82"/>
              <w:rPr>
                <w:sz w:val="18"/>
              </w:rPr>
            </w:pPr>
            <w:r>
              <w:rPr>
                <w:spacing w:val="-5"/>
                <w:sz w:val="18"/>
              </w:rPr>
              <w:t>las</w:t>
            </w:r>
          </w:p>
        </w:tc>
        <w:tc>
          <w:tcPr>
            <w:tcW w:w="485" w:type="dxa"/>
            <w:tcBorders>
              <w:left w:val="nil"/>
              <w:right w:val="nil"/>
            </w:tcBorders>
          </w:tcPr>
          <w:p>
            <w:pPr>
              <w:pStyle w:val="TableParagraph"/>
              <w:spacing w:before="11"/>
              <w:ind w:left="77"/>
              <w:rPr>
                <w:sz w:val="18"/>
              </w:rPr>
            </w:pPr>
            <w:r>
              <w:rPr>
                <w:spacing w:val="-5"/>
                <w:sz w:val="18"/>
              </w:rPr>
              <w:t>AEL</w:t>
            </w:r>
          </w:p>
        </w:tc>
        <w:tc>
          <w:tcPr>
            <w:tcW w:w="350" w:type="dxa"/>
            <w:tcBorders>
              <w:left w:val="nil"/>
              <w:right w:val="nil"/>
            </w:tcBorders>
          </w:tcPr>
          <w:p>
            <w:pPr>
              <w:pStyle w:val="TableParagraph"/>
              <w:spacing w:before="11"/>
              <w:ind w:left="78"/>
              <w:rPr>
                <w:sz w:val="18"/>
              </w:rPr>
            </w:pPr>
            <w:r>
              <w:rPr>
                <w:spacing w:val="-5"/>
                <w:sz w:val="18"/>
              </w:rPr>
              <w:t>de</w:t>
            </w:r>
          </w:p>
        </w:tc>
        <w:tc>
          <w:tcPr>
            <w:tcW w:w="291" w:type="dxa"/>
            <w:tcBorders>
              <w:left w:val="nil"/>
            </w:tcBorders>
          </w:tcPr>
          <w:p>
            <w:pPr>
              <w:pStyle w:val="TableParagraph"/>
              <w:spacing w:before="11"/>
              <w:ind w:left="81"/>
              <w:rPr>
                <w:sz w:val="18"/>
              </w:rPr>
            </w:pPr>
            <w:r>
              <w:rPr>
                <w:spacing w:val="-5"/>
                <w:sz w:val="18"/>
              </w:rPr>
              <w:t>la</w:t>
            </w:r>
          </w:p>
        </w:tc>
        <w:tc>
          <w:tcPr>
            <w:tcW w:w="2415" w:type="dxa"/>
          </w:tcPr>
          <w:p>
            <w:pPr>
              <w:pStyle w:val="TableParagraph"/>
              <w:spacing w:before="11"/>
              <w:ind w:left="9"/>
              <w:jc w:val="center"/>
              <w:rPr>
                <w:sz w:val="18"/>
              </w:rPr>
            </w:pPr>
            <w:r>
              <w:rPr>
                <w:spacing w:val="-4"/>
                <w:sz w:val="18"/>
              </w:rPr>
              <w:t>SEMS</w:t>
            </w:r>
          </w:p>
        </w:tc>
      </w:tr>
      <w:tr>
        <w:trPr>
          <w:trHeight w:val="749" w:hRule="atLeast"/>
        </w:trPr>
        <w:tc>
          <w:tcPr>
            <w:tcW w:w="2296" w:type="dxa"/>
            <w:gridSpan w:val="2"/>
          </w:tcPr>
          <w:p>
            <w:pPr>
              <w:pStyle w:val="TableParagraph"/>
              <w:spacing w:before="11"/>
              <w:ind w:left="79"/>
              <w:rPr>
                <w:sz w:val="18"/>
              </w:rPr>
            </w:pPr>
            <w:r>
              <w:rPr>
                <w:sz w:val="18"/>
              </w:rPr>
              <w:t>Ejecución de</w:t>
            </w:r>
            <w:r>
              <w:rPr>
                <w:spacing w:val="-10"/>
                <w:sz w:val="18"/>
              </w:rPr>
              <w:t> </w:t>
            </w:r>
            <w:r>
              <w:rPr>
                <w:spacing w:val="-2"/>
                <w:sz w:val="18"/>
              </w:rPr>
              <w:t>Apoyos</w:t>
            </w:r>
          </w:p>
        </w:tc>
        <w:tc>
          <w:tcPr>
            <w:tcW w:w="4757" w:type="dxa"/>
            <w:gridSpan w:val="6"/>
          </w:tcPr>
          <w:p>
            <w:pPr>
              <w:pStyle w:val="TableParagraph"/>
              <w:spacing w:line="242" w:lineRule="auto" w:before="11"/>
              <w:ind w:left="80" w:right="60"/>
              <w:jc w:val="both"/>
              <w:rPr>
                <w:sz w:val="18"/>
              </w:rPr>
            </w:pPr>
            <w:r>
              <w:rPr>
                <w:sz w:val="18"/>
              </w:rPr>
              <w:t>Ejercer los subsidios entregados por el PAPPEMS </w:t>
            </w:r>
            <w:r>
              <w:rPr>
                <w:sz w:val="18"/>
              </w:rPr>
              <w:t>de conformidad con las presentes RO. Durante el ejercicio fiscal 2024.</w:t>
            </w:r>
          </w:p>
        </w:tc>
        <w:tc>
          <w:tcPr>
            <w:tcW w:w="2415" w:type="dxa"/>
          </w:tcPr>
          <w:p>
            <w:pPr>
              <w:pStyle w:val="TableParagraph"/>
              <w:spacing w:before="11"/>
              <w:ind w:left="9"/>
              <w:jc w:val="center"/>
              <w:rPr>
                <w:sz w:val="18"/>
              </w:rPr>
            </w:pPr>
            <w:r>
              <w:rPr>
                <w:spacing w:val="-5"/>
                <w:sz w:val="18"/>
              </w:rPr>
              <w:t>AEL</w:t>
            </w:r>
          </w:p>
        </w:tc>
      </w:tr>
      <w:tr>
        <w:trPr>
          <w:trHeight w:val="1169" w:hRule="atLeast"/>
        </w:trPr>
        <w:tc>
          <w:tcPr>
            <w:tcW w:w="2296" w:type="dxa"/>
            <w:gridSpan w:val="2"/>
          </w:tcPr>
          <w:p>
            <w:pPr>
              <w:pStyle w:val="TableParagraph"/>
              <w:spacing w:before="11"/>
              <w:ind w:left="79"/>
              <w:rPr>
                <w:sz w:val="18"/>
              </w:rPr>
            </w:pPr>
            <w:r>
              <w:rPr>
                <w:spacing w:val="-2"/>
                <w:sz w:val="18"/>
              </w:rPr>
              <w:t>Coordinación</w:t>
            </w:r>
          </w:p>
        </w:tc>
        <w:tc>
          <w:tcPr>
            <w:tcW w:w="4757" w:type="dxa"/>
            <w:gridSpan w:val="6"/>
          </w:tcPr>
          <w:p>
            <w:pPr>
              <w:pStyle w:val="TableParagraph"/>
              <w:spacing w:line="242" w:lineRule="auto" w:before="11"/>
              <w:ind w:left="80" w:right="59"/>
              <w:jc w:val="both"/>
              <w:rPr>
                <w:sz w:val="18"/>
              </w:rPr>
            </w:pPr>
            <w:r>
              <w:rPr>
                <w:sz w:val="18"/>
              </w:rPr>
              <w:t>Coordinar la recepción de apoyos en los </w:t>
            </w:r>
            <w:r>
              <w:rPr>
                <w:sz w:val="18"/>
              </w:rPr>
              <w:t>planteles públicos y el desarrollo de los Proyectos para el Avance en la Atención de la Educación Media Superior para Estudiantes con Discapacidad autorizados para cada plantel beneficiado.</w:t>
            </w:r>
          </w:p>
        </w:tc>
        <w:tc>
          <w:tcPr>
            <w:tcW w:w="2415" w:type="dxa"/>
          </w:tcPr>
          <w:p>
            <w:pPr>
              <w:pStyle w:val="TableParagraph"/>
              <w:spacing w:before="11"/>
              <w:ind w:left="9"/>
              <w:jc w:val="center"/>
              <w:rPr>
                <w:sz w:val="18"/>
              </w:rPr>
            </w:pPr>
            <w:r>
              <w:rPr>
                <w:spacing w:val="-2"/>
                <w:sz w:val="18"/>
              </w:rPr>
              <w:t>SEMS/AEL</w:t>
            </w:r>
          </w:p>
        </w:tc>
      </w:tr>
      <w:tr>
        <w:trPr>
          <w:trHeight w:val="1169" w:hRule="atLeast"/>
        </w:trPr>
        <w:tc>
          <w:tcPr>
            <w:tcW w:w="2296" w:type="dxa"/>
            <w:gridSpan w:val="2"/>
          </w:tcPr>
          <w:p>
            <w:pPr>
              <w:pStyle w:val="TableParagraph"/>
              <w:spacing w:before="11"/>
              <w:ind w:left="79"/>
              <w:rPr>
                <w:sz w:val="18"/>
              </w:rPr>
            </w:pPr>
            <w:r>
              <w:rPr>
                <w:sz w:val="18"/>
              </w:rPr>
              <w:t>Informes </w:t>
            </w:r>
            <w:r>
              <w:rPr>
                <w:spacing w:val="-2"/>
                <w:sz w:val="18"/>
              </w:rPr>
              <w:t>trimestrales</w:t>
            </w:r>
          </w:p>
        </w:tc>
        <w:tc>
          <w:tcPr>
            <w:tcW w:w="4757" w:type="dxa"/>
            <w:gridSpan w:val="6"/>
          </w:tcPr>
          <w:p>
            <w:pPr>
              <w:pStyle w:val="TableParagraph"/>
              <w:spacing w:line="242" w:lineRule="auto" w:before="11"/>
              <w:ind w:left="80" w:right="60"/>
              <w:jc w:val="both"/>
              <w:rPr>
                <w:sz w:val="18"/>
              </w:rPr>
            </w:pPr>
            <w:r>
              <w:rPr>
                <w:sz w:val="18"/>
              </w:rPr>
              <w:t>Formular trimestralmente, el reporte de los </w:t>
            </w:r>
            <w:r>
              <w:rPr>
                <w:sz w:val="18"/>
              </w:rPr>
              <w:t>avances físicos y financieros de los recursos otorgados para la ejecución del PAPPEMS y su envío en original durante los 10 (diez) días hábiles posteriores a la terminación del </w:t>
            </w:r>
            <w:r>
              <w:rPr>
                <w:spacing w:val="-2"/>
                <w:sz w:val="18"/>
              </w:rPr>
              <w:t>trimestre.</w:t>
            </w:r>
          </w:p>
        </w:tc>
        <w:tc>
          <w:tcPr>
            <w:tcW w:w="2415" w:type="dxa"/>
          </w:tcPr>
          <w:p>
            <w:pPr>
              <w:pStyle w:val="TableParagraph"/>
              <w:spacing w:before="11"/>
              <w:ind w:left="9"/>
              <w:jc w:val="center"/>
              <w:rPr>
                <w:sz w:val="18"/>
              </w:rPr>
            </w:pPr>
            <w:r>
              <w:rPr>
                <w:spacing w:val="-5"/>
                <w:sz w:val="18"/>
              </w:rPr>
              <w:t>AEL</w:t>
            </w:r>
          </w:p>
        </w:tc>
      </w:tr>
      <w:tr>
        <w:trPr>
          <w:trHeight w:val="1169" w:hRule="atLeast"/>
        </w:trPr>
        <w:tc>
          <w:tcPr>
            <w:tcW w:w="2296" w:type="dxa"/>
            <w:gridSpan w:val="2"/>
          </w:tcPr>
          <w:p>
            <w:pPr>
              <w:pStyle w:val="TableParagraph"/>
              <w:spacing w:before="11"/>
              <w:ind w:left="79"/>
              <w:rPr>
                <w:sz w:val="18"/>
              </w:rPr>
            </w:pPr>
            <w:r>
              <w:rPr>
                <w:sz w:val="18"/>
              </w:rPr>
              <w:t>Supervisión y </w:t>
            </w:r>
            <w:r>
              <w:rPr>
                <w:spacing w:val="-2"/>
                <w:sz w:val="18"/>
              </w:rPr>
              <w:t>seguimiento</w:t>
            </w:r>
          </w:p>
        </w:tc>
        <w:tc>
          <w:tcPr>
            <w:tcW w:w="4757" w:type="dxa"/>
            <w:gridSpan w:val="6"/>
          </w:tcPr>
          <w:p>
            <w:pPr>
              <w:pStyle w:val="TableParagraph"/>
              <w:spacing w:line="242" w:lineRule="auto" w:before="11"/>
              <w:ind w:left="80" w:right="60"/>
              <w:jc w:val="both"/>
              <w:rPr>
                <w:sz w:val="18"/>
              </w:rPr>
            </w:pPr>
            <w:r>
              <w:rPr>
                <w:sz w:val="18"/>
              </w:rPr>
              <w:t>Supervisar y dar seguimiento a los recursos </w:t>
            </w:r>
            <w:r>
              <w:rPr>
                <w:sz w:val="18"/>
              </w:rPr>
              <w:t>otorgados para la ejecución del PAPPEMS. De acuerdo con los plazos establecidos en el Proyecto para el Avance en la Atención de la Educación Media Superior para Estudiantes con Discapacidad autorizado.</w:t>
            </w:r>
          </w:p>
        </w:tc>
        <w:tc>
          <w:tcPr>
            <w:tcW w:w="2415" w:type="dxa"/>
          </w:tcPr>
          <w:p>
            <w:pPr>
              <w:pStyle w:val="TableParagraph"/>
              <w:spacing w:before="11"/>
              <w:ind w:left="9"/>
              <w:jc w:val="center"/>
              <w:rPr>
                <w:sz w:val="18"/>
              </w:rPr>
            </w:pPr>
            <w:r>
              <w:rPr>
                <w:spacing w:val="-5"/>
                <w:sz w:val="18"/>
              </w:rPr>
              <w:t>AEL</w:t>
            </w:r>
          </w:p>
        </w:tc>
      </w:tr>
      <w:tr>
        <w:trPr>
          <w:trHeight w:val="959" w:hRule="atLeast"/>
        </w:trPr>
        <w:tc>
          <w:tcPr>
            <w:tcW w:w="2296" w:type="dxa"/>
            <w:gridSpan w:val="2"/>
          </w:tcPr>
          <w:p>
            <w:pPr>
              <w:pStyle w:val="TableParagraph"/>
              <w:spacing w:before="11"/>
              <w:ind w:left="79"/>
              <w:rPr>
                <w:sz w:val="18"/>
              </w:rPr>
            </w:pPr>
            <w:r>
              <w:rPr>
                <w:spacing w:val="-2"/>
                <w:sz w:val="18"/>
              </w:rPr>
              <w:t>Reintegros</w:t>
            </w:r>
          </w:p>
        </w:tc>
        <w:tc>
          <w:tcPr>
            <w:tcW w:w="4757" w:type="dxa"/>
            <w:gridSpan w:val="6"/>
          </w:tcPr>
          <w:p>
            <w:pPr>
              <w:pStyle w:val="TableParagraph"/>
              <w:spacing w:line="242" w:lineRule="auto" w:before="11"/>
              <w:ind w:left="80" w:right="60"/>
              <w:jc w:val="both"/>
              <w:rPr>
                <w:sz w:val="18"/>
              </w:rPr>
            </w:pPr>
            <w:r>
              <w:rPr>
                <w:sz w:val="18"/>
              </w:rPr>
              <w:t>Reintegrar a la</w:t>
            </w:r>
            <w:r>
              <w:rPr>
                <w:spacing w:val="-4"/>
                <w:sz w:val="18"/>
              </w:rPr>
              <w:t> </w:t>
            </w:r>
            <w:r>
              <w:rPr>
                <w:sz w:val="18"/>
              </w:rPr>
              <w:t>TESOFE, de acuerdo con la </w:t>
            </w:r>
            <w:r>
              <w:rPr>
                <w:sz w:val="18"/>
              </w:rPr>
              <w:t>normatividad aplicable, los recursos no devengados y sus dividendos durante el ejercicio fiscal, a más tardar el 15 de enero de </w:t>
            </w:r>
            <w:r>
              <w:rPr>
                <w:spacing w:val="-2"/>
                <w:sz w:val="18"/>
              </w:rPr>
              <w:t>2025.</w:t>
            </w:r>
          </w:p>
        </w:tc>
        <w:tc>
          <w:tcPr>
            <w:tcW w:w="2415" w:type="dxa"/>
          </w:tcPr>
          <w:p>
            <w:pPr>
              <w:pStyle w:val="TableParagraph"/>
              <w:spacing w:before="11"/>
              <w:ind w:left="9"/>
              <w:jc w:val="center"/>
              <w:rPr>
                <w:sz w:val="18"/>
              </w:rPr>
            </w:pPr>
            <w:r>
              <w:rPr>
                <w:spacing w:val="-5"/>
                <w:sz w:val="18"/>
              </w:rPr>
              <w:t>AEL</w:t>
            </w:r>
          </w:p>
        </w:tc>
      </w:tr>
      <w:tr>
        <w:trPr>
          <w:trHeight w:val="959" w:hRule="atLeast"/>
        </w:trPr>
        <w:tc>
          <w:tcPr>
            <w:tcW w:w="2296" w:type="dxa"/>
            <w:gridSpan w:val="2"/>
          </w:tcPr>
          <w:p>
            <w:pPr>
              <w:pStyle w:val="TableParagraph"/>
              <w:spacing w:before="11"/>
              <w:ind w:left="79"/>
              <w:rPr>
                <w:sz w:val="18"/>
              </w:rPr>
            </w:pPr>
            <w:r>
              <w:rPr>
                <w:sz w:val="18"/>
              </w:rPr>
              <w:t>Cierre del </w:t>
            </w:r>
            <w:r>
              <w:rPr>
                <w:spacing w:val="-2"/>
                <w:sz w:val="18"/>
              </w:rPr>
              <w:t>Ejercicio</w:t>
            </w:r>
          </w:p>
        </w:tc>
        <w:tc>
          <w:tcPr>
            <w:tcW w:w="4757" w:type="dxa"/>
            <w:gridSpan w:val="6"/>
          </w:tcPr>
          <w:p>
            <w:pPr>
              <w:pStyle w:val="TableParagraph"/>
              <w:spacing w:line="242" w:lineRule="auto" w:before="11"/>
              <w:ind w:left="80" w:right="60"/>
              <w:jc w:val="both"/>
              <w:rPr>
                <w:sz w:val="18"/>
              </w:rPr>
            </w:pPr>
            <w:r>
              <w:rPr>
                <w:sz w:val="18"/>
              </w:rPr>
              <w:t>Enviar el informe de cierre del ejercicio fiscal, </w:t>
            </w:r>
            <w:r>
              <w:rPr>
                <w:sz w:val="18"/>
              </w:rPr>
              <w:t>conforme</w:t>
            </w:r>
            <w:r>
              <w:rPr>
                <w:spacing w:val="80"/>
                <w:sz w:val="18"/>
              </w:rPr>
              <w:t> </w:t>
            </w:r>
            <w:r>
              <w:rPr>
                <w:sz w:val="18"/>
              </w:rPr>
              <w:t>al numeral 4.3.2. de estas RO. Dentro de los 30 (treinta) días naturales siguientes al cierre del ejercicio fiscal</w:t>
            </w:r>
            <w:r>
              <w:rPr>
                <w:spacing w:val="40"/>
                <w:sz w:val="18"/>
              </w:rPr>
              <w:t> </w:t>
            </w:r>
            <w:r>
              <w:rPr>
                <w:spacing w:val="-2"/>
                <w:sz w:val="18"/>
              </w:rPr>
              <w:t>2024.</w:t>
            </w:r>
          </w:p>
        </w:tc>
        <w:tc>
          <w:tcPr>
            <w:tcW w:w="2415" w:type="dxa"/>
          </w:tcPr>
          <w:p>
            <w:pPr>
              <w:pStyle w:val="TableParagraph"/>
              <w:spacing w:before="11"/>
              <w:ind w:left="9"/>
              <w:jc w:val="center"/>
              <w:rPr>
                <w:sz w:val="18"/>
              </w:rPr>
            </w:pPr>
            <w:r>
              <w:rPr>
                <w:spacing w:val="-5"/>
                <w:sz w:val="18"/>
              </w:rPr>
              <w:t>AEL</w:t>
            </w:r>
          </w:p>
        </w:tc>
      </w:tr>
    </w:tbl>
    <w:p>
      <w:pPr>
        <w:spacing w:after="0"/>
        <w:jc w:val="center"/>
        <w:rPr>
          <w:sz w:val="18"/>
        </w:rPr>
        <w:sectPr>
          <w:pgSz w:w="12240" w:h="15840"/>
          <w:pgMar w:header="269" w:footer="260" w:top="460" w:bottom="440" w:left="860" w:right="720"/>
        </w:sectPr>
      </w:pPr>
    </w:p>
    <w:p>
      <w:pPr>
        <w:pStyle w:val="Heading2"/>
        <w:numPr>
          <w:ilvl w:val="1"/>
          <w:numId w:val="2"/>
        </w:numPr>
        <w:tabs>
          <w:tab w:pos="752" w:val="left" w:leader="none"/>
        </w:tabs>
        <w:spacing w:line="240" w:lineRule="auto" w:before="82" w:after="0"/>
        <w:ind w:left="752" w:right="0" w:hanging="350"/>
        <w:jc w:val="left"/>
      </w:pPr>
      <w:r>
        <w:rPr>
          <w:spacing w:val="-2"/>
        </w:rPr>
        <w:t>Ejecución</w:t>
      </w:r>
    </w:p>
    <w:p>
      <w:pPr>
        <w:pStyle w:val="ListParagraph"/>
        <w:numPr>
          <w:ilvl w:val="2"/>
          <w:numId w:val="2"/>
        </w:numPr>
        <w:tabs>
          <w:tab w:pos="895" w:val="left" w:leader="none"/>
        </w:tabs>
        <w:spacing w:line="240" w:lineRule="auto" w:before="93" w:after="0"/>
        <w:ind w:left="895" w:right="0" w:hanging="493"/>
        <w:jc w:val="left"/>
        <w:rPr>
          <w:rFonts w:ascii="Arial" w:hAnsi="Arial"/>
          <w:b/>
          <w:sz w:val="18"/>
        </w:rPr>
      </w:pPr>
      <w:r>
        <w:rPr>
          <w:rFonts w:ascii="Arial" w:hAnsi="Arial"/>
          <w:b/>
          <w:sz w:val="18"/>
        </w:rPr>
        <w:t>Avances</w:t>
      </w:r>
      <w:r>
        <w:rPr>
          <w:rFonts w:ascii="Arial" w:hAnsi="Arial"/>
          <w:b/>
          <w:spacing w:val="-3"/>
          <w:sz w:val="18"/>
        </w:rPr>
        <w:t> </w:t>
      </w:r>
      <w:r>
        <w:rPr>
          <w:rFonts w:ascii="Arial" w:hAnsi="Arial"/>
          <w:b/>
          <w:sz w:val="18"/>
        </w:rPr>
        <w:t>físico</w:t>
      </w:r>
      <w:r>
        <w:rPr>
          <w:rFonts w:ascii="Arial" w:hAnsi="Arial"/>
          <w:b/>
          <w:spacing w:val="-2"/>
          <w:sz w:val="18"/>
        </w:rPr>
        <w:t> </w:t>
      </w:r>
      <w:r>
        <w:rPr>
          <w:rFonts w:ascii="Arial" w:hAnsi="Arial"/>
          <w:b/>
          <w:sz w:val="18"/>
        </w:rPr>
        <w:t>y</w:t>
      </w:r>
      <w:r>
        <w:rPr>
          <w:rFonts w:ascii="Arial" w:hAnsi="Arial"/>
          <w:b/>
          <w:spacing w:val="-2"/>
          <w:sz w:val="18"/>
        </w:rPr>
        <w:t> financiero</w:t>
      </w:r>
    </w:p>
    <w:p>
      <w:pPr>
        <w:pStyle w:val="BodyText"/>
        <w:spacing w:line="242" w:lineRule="auto" w:before="78"/>
      </w:pPr>
      <w:r>
        <w:rPr/>
        <w:t>Las</w:t>
      </w:r>
      <w:r>
        <w:rPr>
          <w:spacing w:val="-1"/>
        </w:rPr>
        <w:t> </w:t>
      </w:r>
      <w:r>
        <w:rPr/>
        <w:t>AEL formularán trimestralmente el reporte de los avances sobre la aplicación de los recursos y/o de las acciones que se ejecuten bajo su responsabilidad con cargo a los recursos otorgados mediante este Programa, mismos que deberán remitir a la SEMS a través de la CSPyA, durante los 10 (diez) días hábiles posteriores a la terminación del trimestre que se </w:t>
      </w:r>
      <w:r>
        <w:rPr/>
        <w:t>reporta. Invariablemente, la instancia ejecutora deberá acompañar a dicho reporte, la explicación de las variaciones entre el presupuesto autorizado, el modificado y el ejercido, así como las diferencias entre las metas programadas y las alcanzadas.</w:t>
      </w:r>
    </w:p>
    <w:p>
      <w:pPr>
        <w:pStyle w:val="BodyText"/>
        <w:spacing w:line="242" w:lineRule="auto" w:before="95"/>
      </w:pPr>
      <w:r>
        <w:rPr/>
        <w:t>Dichos reportes deberán identificar y registrar a la población atendida diferenciada por sexo, grupo de edad, tipo </w:t>
      </w:r>
      <w:r>
        <w:rPr/>
        <w:t>de discapacidad(es), región del país, Entidad Federativa, Municipio o demarcación territorial de la Ciudad de México.</w:t>
      </w:r>
    </w:p>
    <w:p>
      <w:pPr>
        <w:pStyle w:val="BodyText"/>
        <w:spacing w:line="242" w:lineRule="auto" w:before="92"/>
      </w:pPr>
      <w:r>
        <w:rPr/>
        <w:t>Los reportes permitirán dar a conocer los avances de la operación del Programa en el periodo que se reporta, y la información contenida en los mismos será utilizada para integrar los informes institucionales correspondientes.</w:t>
      </w:r>
    </w:p>
    <w:p>
      <w:pPr>
        <w:pStyle w:val="BodyText"/>
        <w:spacing w:line="242" w:lineRule="auto" w:before="92"/>
      </w:pPr>
      <w:r>
        <w:rPr/>
        <w:t>Será responsabilidad de la SEMS a través de la CSPyA, concentrar y analizar dicha información, para la toma oportuna de </w:t>
      </w:r>
      <w:r>
        <w:rPr>
          <w:spacing w:val="-2"/>
        </w:rPr>
        <w:t>decisiones.</w:t>
      </w:r>
    </w:p>
    <w:p>
      <w:pPr>
        <w:pStyle w:val="BodyText"/>
        <w:spacing w:line="242" w:lineRule="auto" w:before="76"/>
        <w:ind w:right="117"/>
      </w:pPr>
      <w:r>
        <w:rPr/>
        <w:t>Asimismo, cuando las Entidades Federativas son las beneficiarias de los apoyos del programa, estas, por conducto de la Secretaría de Finanzas, o equivalente de la Entidad Federativa que corresponda, deberán remitir de manera trimestral a la SHCP a través del Sistema de Recursos Federales transferidos (https://www.mstwls.hacienda.gob.mx), el informe sobre el destino y </w:t>
      </w:r>
      <w:r>
        <w:rPr/>
        <w:t>los resultados obtenidos de la aplicación de los recursos en el marco de los convenios suscritos con la SEP</w:t>
      </w:r>
      <w:r>
        <w:rPr>
          <w:spacing w:val="-3"/>
        </w:rPr>
        <w:t> </w:t>
      </w:r>
      <w:r>
        <w:rPr/>
        <w:t>por los apoyos otorgados en cumplimiento de los</w:t>
      </w:r>
      <w:r>
        <w:rPr>
          <w:spacing w:val="-7"/>
        </w:rPr>
        <w:t> </w:t>
      </w:r>
      <w:r>
        <w:rPr/>
        <w:t>Artículos 85 de la Ley Federal de Presupuesto y Responsabilidad Hacendaria y 71 y 72 de la Ley General de Contabilidad Gubernamental.</w:t>
      </w:r>
    </w:p>
    <w:p>
      <w:pPr>
        <w:pStyle w:val="Heading2"/>
        <w:numPr>
          <w:ilvl w:val="2"/>
          <w:numId w:val="2"/>
        </w:numPr>
        <w:tabs>
          <w:tab w:pos="895" w:val="left" w:leader="none"/>
        </w:tabs>
        <w:spacing w:line="240" w:lineRule="auto" w:before="96" w:after="0"/>
        <w:ind w:left="895" w:right="0" w:hanging="493"/>
        <w:jc w:val="left"/>
      </w:pPr>
      <w:r>
        <w:rPr/>
        <w:t>Acta de entrega-</w:t>
      </w:r>
      <w:r>
        <w:rPr>
          <w:spacing w:val="-2"/>
        </w:rPr>
        <w:t>recepción</w:t>
      </w:r>
    </w:p>
    <w:p>
      <w:pPr>
        <w:pStyle w:val="BodyText"/>
        <w:spacing w:line="242" w:lineRule="auto" w:before="93"/>
      </w:pPr>
      <w:r>
        <w:rPr/>
        <w:t>En caso de ser aplicable, para cada una de las obras terminadas las instancias ejecutoras, las AEL elaborarán un acta de entrega recepción, la cual formará parte del expediente de la obra y constituye la prueba documental que certifica su existencia.</w:t>
      </w:r>
    </w:p>
    <w:p>
      <w:pPr>
        <w:pStyle w:val="Heading2"/>
        <w:numPr>
          <w:ilvl w:val="2"/>
          <w:numId w:val="2"/>
        </w:numPr>
        <w:tabs>
          <w:tab w:pos="902" w:val="left" w:leader="none"/>
        </w:tabs>
        <w:spacing w:line="240" w:lineRule="auto" w:before="77" w:after="0"/>
        <w:ind w:left="902" w:right="0" w:hanging="500"/>
        <w:jc w:val="left"/>
      </w:pPr>
      <w:r>
        <w:rPr/>
        <w:t>Cierre de </w:t>
      </w:r>
      <w:r>
        <w:rPr>
          <w:spacing w:val="-2"/>
        </w:rPr>
        <w:t>ejercicio</w:t>
      </w:r>
    </w:p>
    <w:p>
      <w:pPr>
        <w:pStyle w:val="BodyText"/>
        <w:spacing w:line="242" w:lineRule="auto" w:before="93"/>
        <w:ind w:right="117"/>
      </w:pPr>
      <w:r>
        <w:rPr/>
        <w:t>Los Gobiernos de las Entidades Federativas y la UR 600 Subsecretaría de Educación Media Superior como </w:t>
      </w:r>
      <w:r>
        <w:rPr/>
        <w:t>instancia(s) ejecutora(s) y las UR del PAPPEMS estarán obligadas a presentar, como parte de su informe correspondiente al cuarto trimestre del año fiscal 2024, una estimación de cierre (objetivos, metas y gasto) conforme a lo establecido por la SHCP en los respectivos Lineamientos</w:t>
      </w:r>
      <w:r>
        <w:rPr>
          <w:spacing w:val="-1"/>
        </w:rPr>
        <w:t> </w:t>
      </w:r>
      <w:r>
        <w:rPr/>
        <w:t>de</w:t>
      </w:r>
      <w:r>
        <w:rPr>
          <w:spacing w:val="-1"/>
        </w:rPr>
        <w:t> </w:t>
      </w:r>
      <w:r>
        <w:rPr/>
        <w:t>Cierre</w:t>
      </w:r>
      <w:r>
        <w:rPr>
          <w:spacing w:val="-1"/>
        </w:rPr>
        <w:t> </w:t>
      </w:r>
      <w:r>
        <w:rPr/>
        <w:t>de</w:t>
      </w:r>
      <w:r>
        <w:rPr>
          <w:spacing w:val="-1"/>
        </w:rPr>
        <w:t> </w:t>
      </w:r>
      <w:r>
        <w:rPr/>
        <w:t>Ejercicio</w:t>
      </w:r>
      <w:r>
        <w:rPr>
          <w:spacing w:val="-1"/>
        </w:rPr>
        <w:t> </w:t>
      </w:r>
      <w:r>
        <w:rPr/>
        <w:t>Fiscal;</w:t>
      </w:r>
      <w:r>
        <w:rPr>
          <w:spacing w:val="-1"/>
        </w:rPr>
        <w:t> </w:t>
      </w:r>
      <w:r>
        <w:rPr/>
        <w:t>mismos</w:t>
      </w:r>
      <w:r>
        <w:rPr>
          <w:spacing w:val="-1"/>
        </w:rPr>
        <w:t> </w:t>
      </w:r>
      <w:r>
        <w:rPr/>
        <w:t>que</w:t>
      </w:r>
      <w:r>
        <w:rPr>
          <w:spacing w:val="-1"/>
        </w:rPr>
        <w:t> </w:t>
      </w:r>
      <w:r>
        <w:rPr/>
        <w:t>se</w:t>
      </w:r>
      <w:r>
        <w:rPr>
          <w:spacing w:val="-1"/>
        </w:rPr>
        <w:t> </w:t>
      </w:r>
      <w:r>
        <w:rPr/>
        <w:t>consolidarán</w:t>
      </w:r>
      <w:r>
        <w:rPr>
          <w:spacing w:val="-1"/>
        </w:rPr>
        <w:t> </w:t>
      </w:r>
      <w:r>
        <w:rPr/>
        <w:t>con</w:t>
      </w:r>
      <w:r>
        <w:rPr>
          <w:spacing w:val="-1"/>
        </w:rPr>
        <w:t> </w:t>
      </w:r>
      <w:r>
        <w:rPr/>
        <w:t>los</w:t>
      </w:r>
      <w:r>
        <w:rPr>
          <w:spacing w:val="-1"/>
        </w:rPr>
        <w:t> </w:t>
      </w:r>
      <w:r>
        <w:rPr/>
        <w:t>informes</w:t>
      </w:r>
      <w:r>
        <w:rPr>
          <w:spacing w:val="-1"/>
        </w:rPr>
        <w:t> </w:t>
      </w:r>
      <w:r>
        <w:rPr/>
        <w:t>trimestrales</w:t>
      </w:r>
      <w:r>
        <w:rPr>
          <w:spacing w:val="-1"/>
        </w:rPr>
        <w:t> </w:t>
      </w:r>
      <w:r>
        <w:rPr/>
        <w:t>de</w:t>
      </w:r>
      <w:r>
        <w:rPr>
          <w:spacing w:val="-1"/>
        </w:rPr>
        <w:t> </w:t>
      </w:r>
      <w:r>
        <w:rPr/>
        <w:t>avance</w:t>
      </w:r>
      <w:r>
        <w:rPr>
          <w:spacing w:val="-1"/>
        </w:rPr>
        <w:t> </w:t>
      </w:r>
      <w:r>
        <w:rPr/>
        <w:t>físico</w:t>
      </w:r>
      <w:r>
        <w:rPr>
          <w:spacing w:val="-1"/>
        </w:rPr>
        <w:t> </w:t>
      </w:r>
      <w:r>
        <w:rPr/>
        <w:t>y</w:t>
      </w:r>
      <w:r>
        <w:rPr>
          <w:spacing w:val="-1"/>
        </w:rPr>
        <w:t> </w:t>
      </w:r>
      <w:r>
        <w:rPr/>
        <w:t>financiero y/o físico presupuestario entregados por los/las beneficiarios/as, a más tardar 10 (diez) días hábiles posteriores al cierre del ejercicio fiscal 2024.</w:t>
      </w:r>
    </w:p>
    <w:p>
      <w:pPr>
        <w:pStyle w:val="BodyText"/>
        <w:spacing w:line="242" w:lineRule="auto" w:before="96"/>
      </w:pPr>
      <w:r>
        <w:rPr/>
        <w:t>La documentación original que acredita la comprobación de los recursos del PAPPEMS, quedará bajo resguardo en las</w:t>
      </w:r>
      <w:r>
        <w:rPr>
          <w:spacing w:val="-7"/>
        </w:rPr>
        <w:t> </w:t>
      </w:r>
      <w:r>
        <w:rPr/>
        <w:t>AEL</w:t>
      </w:r>
      <w:r>
        <w:rPr>
          <w:spacing w:val="-4"/>
        </w:rPr>
        <w:t> </w:t>
      </w:r>
      <w:r>
        <w:rPr/>
        <w:t>y a disposición de los órganos estatales o federales facultados para la Fiscalización y/o Inspección del ejercicio de los recursos.</w:t>
      </w:r>
    </w:p>
    <w:p>
      <w:pPr>
        <w:pStyle w:val="Heading1"/>
        <w:numPr>
          <w:ilvl w:val="0"/>
          <w:numId w:val="2"/>
        </w:numPr>
        <w:tabs>
          <w:tab w:pos="3696" w:val="left" w:leader="none"/>
        </w:tabs>
        <w:spacing w:line="240" w:lineRule="auto" w:before="92" w:after="0"/>
        <w:ind w:left="3696" w:right="0" w:hanging="193"/>
        <w:jc w:val="left"/>
        <w:rPr>
          <w:rFonts w:ascii="Arial" w:hAnsi="Arial"/>
        </w:rPr>
      </w:pPr>
      <w:r>
        <w:rPr>
          <w:rFonts w:ascii="Arial" w:hAnsi="Arial"/>
        </w:rPr>
        <w:t>AUDITORÍA,</w:t>
      </w:r>
      <w:r>
        <w:rPr>
          <w:rFonts w:ascii="Arial" w:hAnsi="Arial"/>
          <w:spacing w:val="-2"/>
        </w:rPr>
        <w:t> </w:t>
      </w:r>
      <w:r>
        <w:rPr>
          <w:rFonts w:ascii="Arial" w:hAnsi="Arial"/>
        </w:rPr>
        <w:t>CONTROL</w:t>
      </w:r>
      <w:r>
        <w:rPr>
          <w:rFonts w:ascii="Arial" w:hAnsi="Arial"/>
          <w:spacing w:val="-8"/>
        </w:rPr>
        <w:t> </w:t>
      </w:r>
      <w:r>
        <w:rPr>
          <w:rFonts w:ascii="Arial" w:hAnsi="Arial"/>
        </w:rPr>
        <w:t>Y</w:t>
      </w:r>
      <w:r>
        <w:rPr>
          <w:rFonts w:ascii="Arial" w:hAnsi="Arial"/>
          <w:spacing w:val="-5"/>
        </w:rPr>
        <w:t> </w:t>
      </w:r>
      <w:r>
        <w:rPr>
          <w:rFonts w:ascii="Arial" w:hAnsi="Arial"/>
          <w:spacing w:val="-2"/>
        </w:rPr>
        <w:t>SEGUIMIENTO</w:t>
      </w:r>
    </w:p>
    <w:p>
      <w:pPr>
        <w:pStyle w:val="BodyText"/>
        <w:spacing w:line="242" w:lineRule="auto" w:before="78"/>
        <w:ind w:right="119"/>
      </w:pPr>
      <w:r>
        <w:rPr/>
        <w:t>Los subsidios mantienen su naturaleza jurídica de recursos públicos federales para efectos de aplicación, ejecución, fiscalización, transparencia y rendición de cuentas, por lo tanto podrán ser revisados y auditados por la SFP o </w:t>
      </w:r>
      <w:r>
        <w:rPr/>
        <w:t>instancia fiscalizadora correspondiente que se determine; por el Órgano Interno de Control en la SEP y/o auditores independientes contratados para dicho fin, en coordinación con los Órganos Locales de Control; por la SHCP; por la Auditoría Superior de la Federación y demás instancias que en el ámbito de sus respectivas atribuciones resulten competentes.</w:t>
      </w:r>
    </w:p>
    <w:p>
      <w:pPr>
        <w:pStyle w:val="BodyText"/>
        <w:spacing w:line="242" w:lineRule="auto" w:before="94"/>
      </w:pPr>
      <w:r>
        <w:rPr/>
        <w:t>Como resultado de las acciones de auditoría que se lleven a cabo, la instancia de control que las realice mantendrá </w:t>
      </w:r>
      <w:r>
        <w:rPr/>
        <w:t>un seguimiento interno que permita emitir informes de las revisiones efectuadas, dando principal importancia a la atención en tiempo y forma de las anomalías detectadas hasta su total solventación.</w:t>
      </w:r>
    </w:p>
    <w:p>
      <w:pPr>
        <w:pStyle w:val="Heading1"/>
        <w:numPr>
          <w:ilvl w:val="0"/>
          <w:numId w:val="2"/>
        </w:numPr>
        <w:tabs>
          <w:tab w:pos="4838" w:val="left" w:leader="none"/>
        </w:tabs>
        <w:spacing w:line="240" w:lineRule="auto" w:before="93" w:after="0"/>
        <w:ind w:left="4838" w:right="0" w:hanging="200"/>
        <w:jc w:val="left"/>
        <w:rPr>
          <w:rFonts w:ascii="Arial" w:hAnsi="Arial"/>
        </w:rPr>
      </w:pPr>
      <w:r>
        <w:rPr>
          <w:rFonts w:ascii="Arial" w:hAnsi="Arial"/>
          <w:spacing w:val="-2"/>
        </w:rPr>
        <w:t>EVALUACIÓN</w:t>
      </w:r>
    </w:p>
    <w:p>
      <w:pPr>
        <w:pStyle w:val="Heading2"/>
        <w:numPr>
          <w:ilvl w:val="1"/>
          <w:numId w:val="2"/>
        </w:numPr>
        <w:tabs>
          <w:tab w:pos="752" w:val="left" w:leader="none"/>
        </w:tabs>
        <w:spacing w:line="240" w:lineRule="auto" w:before="3" w:after="0"/>
        <w:ind w:left="752" w:right="0" w:hanging="350"/>
        <w:jc w:val="left"/>
      </w:pPr>
      <w:r>
        <w:rPr>
          <w:spacing w:val="-2"/>
        </w:rPr>
        <w:t>Interna</w:t>
      </w:r>
    </w:p>
    <w:p>
      <w:pPr>
        <w:pStyle w:val="BodyText"/>
        <w:spacing w:line="242" w:lineRule="auto" w:before="93"/>
      </w:pPr>
      <w:r>
        <w:rPr/>
        <w:t>La SEMS a través de la CSPyA podrá instrumentar un procedimiento de evaluación interna con el fin de monitorear el desempeño del Programa construyendo, para tal efecto, indicadores relacionados con sus objetivos específicos, de acuerdo </w:t>
      </w:r>
      <w:r>
        <w:rPr/>
        <w:t>con</w:t>
      </w:r>
      <w:r>
        <w:rPr>
          <w:spacing w:val="40"/>
        </w:rPr>
        <w:t> </w:t>
      </w:r>
      <w:r>
        <w:rPr/>
        <w:t>lo que establece la Metodología de Marco Lógico. El procedimiento se operará considerando la disponibilidad de los recursos humanos y presupuestarios de las instancias que intervienen.</w:t>
      </w:r>
    </w:p>
    <w:p>
      <w:pPr>
        <w:pStyle w:val="BodyText"/>
        <w:spacing w:line="242" w:lineRule="auto" w:before="79"/>
        <w:ind w:right="117"/>
      </w:pPr>
      <w:r>
        <w:rPr/>
        <w:t>Asimismo,</w:t>
      </w:r>
      <w:r>
        <w:rPr>
          <w:spacing w:val="-1"/>
        </w:rPr>
        <w:t> </w:t>
      </w:r>
      <w:r>
        <w:rPr/>
        <w:t>se</w:t>
      </w:r>
      <w:r>
        <w:rPr>
          <w:spacing w:val="-1"/>
        </w:rPr>
        <w:t> </w:t>
      </w:r>
      <w:r>
        <w:rPr/>
        <w:t>deberán</w:t>
      </w:r>
      <w:r>
        <w:rPr>
          <w:spacing w:val="-1"/>
        </w:rPr>
        <w:t> </w:t>
      </w:r>
      <w:r>
        <w:rPr/>
        <w:t>incorporar</w:t>
      </w:r>
      <w:r>
        <w:rPr>
          <w:spacing w:val="-1"/>
        </w:rPr>
        <w:t> </w:t>
      </w:r>
      <w:r>
        <w:rPr/>
        <w:t>indicadores</w:t>
      </w:r>
      <w:r>
        <w:rPr>
          <w:spacing w:val="-1"/>
        </w:rPr>
        <w:t> </w:t>
      </w:r>
      <w:r>
        <w:rPr/>
        <w:t>específicos</w:t>
      </w:r>
      <w:r>
        <w:rPr>
          <w:spacing w:val="-1"/>
        </w:rPr>
        <w:t> </w:t>
      </w:r>
      <w:r>
        <w:rPr/>
        <w:t>que</w:t>
      </w:r>
      <w:r>
        <w:rPr>
          <w:spacing w:val="-1"/>
        </w:rPr>
        <w:t> </w:t>
      </w:r>
      <w:r>
        <w:rPr/>
        <w:t>permitan</w:t>
      </w:r>
      <w:r>
        <w:rPr>
          <w:spacing w:val="-1"/>
        </w:rPr>
        <w:t> </w:t>
      </w:r>
      <w:r>
        <w:rPr/>
        <w:t>evaluar</w:t>
      </w:r>
      <w:r>
        <w:rPr>
          <w:spacing w:val="-1"/>
        </w:rPr>
        <w:t> </w:t>
      </w:r>
      <w:r>
        <w:rPr/>
        <w:t>la</w:t>
      </w:r>
      <w:r>
        <w:rPr>
          <w:spacing w:val="-1"/>
        </w:rPr>
        <w:t> </w:t>
      </w:r>
      <w:r>
        <w:rPr/>
        <w:t>incidencia</w:t>
      </w:r>
      <w:r>
        <w:rPr>
          <w:spacing w:val="-1"/>
        </w:rPr>
        <w:t> </w:t>
      </w:r>
      <w:r>
        <w:rPr/>
        <w:t>de</w:t>
      </w:r>
      <w:r>
        <w:rPr>
          <w:spacing w:val="-1"/>
        </w:rPr>
        <w:t> </w:t>
      </w:r>
      <w:r>
        <w:rPr/>
        <w:t>los</w:t>
      </w:r>
      <w:r>
        <w:rPr>
          <w:spacing w:val="-1"/>
        </w:rPr>
        <w:t> </w:t>
      </w:r>
      <w:r>
        <w:rPr/>
        <w:t>programas</w:t>
      </w:r>
      <w:r>
        <w:rPr>
          <w:spacing w:val="-1"/>
        </w:rPr>
        <w:t> </w:t>
      </w:r>
      <w:r>
        <w:rPr/>
        <w:t>presupuestarios en el abatimiento de las brechas entre mujeres y hombres, la prevención de la violencia de género y de cualquier forma de discriminación basada en el género, discapacidad, origen étnico, u otras formas.</w:t>
      </w:r>
    </w:p>
    <w:p>
      <w:pPr>
        <w:pStyle w:val="Heading2"/>
        <w:numPr>
          <w:ilvl w:val="1"/>
          <w:numId w:val="2"/>
        </w:numPr>
        <w:tabs>
          <w:tab w:pos="752" w:val="left" w:leader="none"/>
        </w:tabs>
        <w:spacing w:line="240" w:lineRule="auto" w:before="108" w:after="0"/>
        <w:ind w:left="752" w:right="0" w:hanging="350"/>
        <w:jc w:val="left"/>
      </w:pPr>
      <w:r>
        <w:rPr>
          <w:spacing w:val="-2"/>
        </w:rPr>
        <w:t>Externa</w:t>
      </w:r>
    </w:p>
    <w:p>
      <w:pPr>
        <w:pStyle w:val="BodyText"/>
        <w:spacing w:line="242" w:lineRule="auto"/>
        <w:ind w:right="117"/>
      </w:pPr>
      <w:r>
        <w:rPr/>
        <w:t>La Dirección General de Análisis y Diagnóstico del Aprovechamiento Educativo es la unidad administrativa ajena a la</w:t>
      </w:r>
      <w:r>
        <w:rPr>
          <w:spacing w:val="40"/>
        </w:rPr>
        <w:t> </w:t>
      </w:r>
      <w:r>
        <w:rPr/>
        <w:t>operación de los Programas que, en coordinación con la SEMS a través de la CSPyA, instrumentarán lo establecido para la evaluación externa de programas federales, de acuerdo con la Ley General de Desarrollo Social, el PEF para el ejercicio fiscal 2024, los Lineamientos Generales para la Evaluación de los Programas Federales de la Administración Pública Federal y el Programa Anual de Evaluación. Dicha evaluación deberá incorporar la perspectiva de género.</w:t>
      </w:r>
    </w:p>
    <w:p>
      <w:pPr>
        <w:pStyle w:val="BodyText"/>
        <w:spacing w:line="242" w:lineRule="auto" w:before="95"/>
      </w:pPr>
      <w:r>
        <w:rPr/>
        <w:t>Asimismo,</w:t>
      </w:r>
      <w:r>
        <w:rPr>
          <w:spacing w:val="-2"/>
        </w:rPr>
        <w:t> </w:t>
      </w:r>
      <w:r>
        <w:rPr/>
        <w:t>es</w:t>
      </w:r>
      <w:r>
        <w:rPr>
          <w:spacing w:val="-2"/>
        </w:rPr>
        <w:t> </w:t>
      </w:r>
      <w:r>
        <w:rPr/>
        <w:t>responsabilidad</w:t>
      </w:r>
      <w:r>
        <w:rPr>
          <w:spacing w:val="-2"/>
        </w:rPr>
        <w:t> </w:t>
      </w:r>
      <w:r>
        <w:rPr/>
        <w:t>de</w:t>
      </w:r>
      <w:r>
        <w:rPr>
          <w:spacing w:val="-2"/>
        </w:rPr>
        <w:t> </w:t>
      </w:r>
      <w:r>
        <w:rPr/>
        <w:t>la</w:t>
      </w:r>
      <w:r>
        <w:rPr>
          <w:spacing w:val="-2"/>
        </w:rPr>
        <w:t> </w:t>
      </w:r>
      <w:r>
        <w:rPr/>
        <w:t>SEMS</w:t>
      </w:r>
      <w:r>
        <w:rPr>
          <w:spacing w:val="-2"/>
        </w:rPr>
        <w:t> </w:t>
      </w:r>
      <w:r>
        <w:rPr/>
        <w:t>cubrir</w:t>
      </w:r>
      <w:r>
        <w:rPr>
          <w:spacing w:val="-2"/>
        </w:rPr>
        <w:t> </w:t>
      </w:r>
      <w:r>
        <w:rPr/>
        <w:t>el</w:t>
      </w:r>
      <w:r>
        <w:rPr>
          <w:spacing w:val="-2"/>
        </w:rPr>
        <w:t> </w:t>
      </w:r>
      <w:r>
        <w:rPr/>
        <w:t>costo</w:t>
      </w:r>
      <w:r>
        <w:rPr>
          <w:spacing w:val="-2"/>
        </w:rPr>
        <w:t> </w:t>
      </w:r>
      <w:r>
        <w:rPr/>
        <w:t>de</w:t>
      </w:r>
      <w:r>
        <w:rPr>
          <w:spacing w:val="-2"/>
        </w:rPr>
        <w:t> </w:t>
      </w:r>
      <w:r>
        <w:rPr/>
        <w:t>las</w:t>
      </w:r>
      <w:r>
        <w:rPr>
          <w:spacing w:val="-2"/>
        </w:rPr>
        <w:t> </w:t>
      </w:r>
      <w:r>
        <w:rPr/>
        <w:t>evaluaciones</w:t>
      </w:r>
      <w:r>
        <w:rPr>
          <w:spacing w:val="-2"/>
        </w:rPr>
        <w:t> </w:t>
      </w:r>
      <w:r>
        <w:rPr/>
        <w:t>externas,</w:t>
      </w:r>
      <w:r>
        <w:rPr>
          <w:spacing w:val="-2"/>
        </w:rPr>
        <w:t> </w:t>
      </w:r>
      <w:r>
        <w:rPr/>
        <w:t>continuar</w:t>
      </w:r>
      <w:r>
        <w:rPr>
          <w:spacing w:val="-2"/>
        </w:rPr>
        <w:t> </w:t>
      </w:r>
      <w:r>
        <w:rPr/>
        <w:t>y,</w:t>
      </w:r>
      <w:r>
        <w:rPr>
          <w:spacing w:val="-2"/>
        </w:rPr>
        <w:t> </w:t>
      </w:r>
      <w:r>
        <w:rPr/>
        <w:t>en</w:t>
      </w:r>
      <w:r>
        <w:rPr>
          <w:spacing w:val="-2"/>
        </w:rPr>
        <w:t> </w:t>
      </w:r>
      <w:r>
        <w:rPr/>
        <w:t>su</w:t>
      </w:r>
      <w:r>
        <w:rPr>
          <w:spacing w:val="-2"/>
        </w:rPr>
        <w:t> </w:t>
      </w:r>
      <w:r>
        <w:rPr/>
        <w:t>caso,</w:t>
      </w:r>
      <w:r>
        <w:rPr>
          <w:spacing w:val="-2"/>
        </w:rPr>
        <w:t> </w:t>
      </w:r>
      <w:r>
        <w:rPr/>
        <w:t>concluir</w:t>
      </w:r>
      <w:r>
        <w:rPr>
          <w:spacing w:val="-2"/>
        </w:rPr>
        <w:t> </w:t>
      </w:r>
      <w:r>
        <w:rPr/>
        <w:t>con</w:t>
      </w:r>
      <w:r>
        <w:rPr>
          <w:spacing w:val="-2"/>
        </w:rPr>
        <w:t> </w:t>
      </w:r>
      <w:r>
        <w:rPr/>
        <w:t>lo establecido en los programas anuales de evaluación de años anteriores. En tal sentido y una vez concluidas las evaluaciones del Programa, éste habrá de dar atención y seguimiento a los aspectos susceptibles de mejora.</w:t>
      </w:r>
    </w:p>
    <w:p>
      <w:pPr>
        <w:pStyle w:val="BodyText"/>
        <w:spacing w:line="242" w:lineRule="auto"/>
      </w:pPr>
      <w:r>
        <w:rPr/>
        <w:t>Las presentes RO fueron elaboradas bajo el enfoque de la Metodología del Marco Lógico, conforme a los criterios emitidos conjuntamente por el Consejo Nacional de Evaluación de la Política de Desarrollo Social y la SHCP</w:t>
      </w:r>
      <w:r>
        <w:rPr>
          <w:spacing w:val="-2"/>
        </w:rPr>
        <w:t> </w:t>
      </w:r>
      <w:r>
        <w:rPr/>
        <w:t>mediante oficio números </w:t>
      </w:r>
      <w:r>
        <w:rPr/>
        <w:t>419- A-19-00598 y VQZ.SE.123/19, respectivamente, de fecha 27 de junio de 2019.</w:t>
      </w:r>
    </w:p>
    <w:p>
      <w:pPr>
        <w:spacing w:after="0" w:line="242" w:lineRule="auto"/>
        <w:sectPr>
          <w:pgSz w:w="12240" w:h="15840"/>
          <w:pgMar w:header="269" w:footer="260" w:top="460" w:bottom="440" w:left="860" w:right="720"/>
        </w:sectPr>
      </w:pPr>
    </w:p>
    <w:p>
      <w:pPr>
        <w:pStyle w:val="Heading2"/>
        <w:spacing w:before="82"/>
      </w:pPr>
      <w:r>
        <w:rPr/>
        <w:t>6.3 </w:t>
      </w:r>
      <w:r>
        <w:rPr>
          <w:spacing w:val="-2"/>
        </w:rPr>
        <w:t>Indicadores</w:t>
      </w:r>
    </w:p>
    <w:p>
      <w:pPr>
        <w:pStyle w:val="BodyText"/>
        <w:spacing w:line="242" w:lineRule="auto"/>
      </w:pPr>
      <w:r>
        <w:rPr/>
        <w:t>Los indicadores del PAPPEMS a nivel de propósito, componente y actividades de la Matriz de Indicadores para Resultados (MIR) 2024, cuyo nivel de desagregación es nacional, serán reportados por la SEMS en el Módulo PbR del Portal</w:t>
      </w:r>
      <w:r>
        <w:rPr>
          <w:spacing w:val="-6"/>
        </w:rPr>
        <w:t> </w:t>
      </w:r>
      <w:r>
        <w:rPr/>
        <w:t>Aplicativo de la SHCP (PbR PASH).</w:t>
      </w:r>
    </w:p>
    <w:p>
      <w:pPr>
        <w:pStyle w:val="BodyText"/>
        <w:spacing w:before="93"/>
        <w:ind w:left="402" w:right="0" w:firstLine="0"/>
        <w:jc w:val="left"/>
      </w:pPr>
      <w:r>
        <w:rPr/>
        <w:t>La MIR es pública y se encuentra disponible en las siguientes </w:t>
      </w:r>
      <w:r>
        <w:rPr>
          <w:spacing w:val="-2"/>
        </w:rPr>
        <w:t>ligas:</w:t>
      </w:r>
    </w:p>
    <w:p>
      <w:pPr>
        <w:pStyle w:val="ListParagraph"/>
        <w:numPr>
          <w:ilvl w:val="0"/>
          <w:numId w:val="18"/>
        </w:numPr>
        <w:tabs>
          <w:tab w:pos="762" w:val="left" w:leader="none"/>
          <w:tab w:pos="2572" w:val="left" w:leader="none"/>
          <w:tab w:pos="3549" w:val="left" w:leader="none"/>
          <w:tab w:pos="4256" w:val="left" w:leader="none"/>
          <w:tab w:pos="4903" w:val="left" w:leader="none"/>
          <w:tab w:pos="6240" w:val="left" w:leader="none"/>
          <w:tab w:pos="6948" w:val="left" w:leader="none"/>
          <w:tab w:pos="8215" w:val="left" w:leader="none"/>
          <w:tab w:pos="8812" w:val="left" w:leader="none"/>
          <w:tab w:pos="9899" w:val="left" w:leader="none"/>
        </w:tabs>
        <w:spacing w:line="235" w:lineRule="auto" w:before="126" w:after="0"/>
        <w:ind w:left="762" w:right="118" w:hanging="360"/>
        <w:jc w:val="left"/>
        <w:rPr>
          <w:sz w:val="18"/>
        </w:rPr>
      </w:pPr>
      <w:r>
        <w:rPr>
          <w:rFonts w:ascii="Courier New" w:hAnsi="Courier New"/>
          <w:color w:val="2E2E2E"/>
          <w:sz w:val="20"/>
        </w:rPr>
        <w:tab/>
      </w:r>
      <w:r>
        <w:rPr>
          <w:spacing w:val="-2"/>
          <w:sz w:val="18"/>
        </w:rPr>
        <w:t>Portal</w:t>
      </w:r>
      <w:r>
        <w:rPr>
          <w:sz w:val="18"/>
        </w:rPr>
        <w:tab/>
      </w:r>
      <w:r>
        <w:rPr>
          <w:spacing w:val="-6"/>
          <w:sz w:val="18"/>
        </w:rPr>
        <w:t>de</w:t>
      </w:r>
      <w:r>
        <w:rPr>
          <w:sz w:val="18"/>
        </w:rPr>
        <w:tab/>
      </w:r>
      <w:r>
        <w:rPr>
          <w:spacing w:val="-6"/>
          <w:sz w:val="18"/>
        </w:rPr>
        <w:t>la</w:t>
      </w:r>
      <w:r>
        <w:rPr>
          <w:sz w:val="18"/>
        </w:rPr>
        <w:tab/>
      </w:r>
      <w:r>
        <w:rPr>
          <w:spacing w:val="-2"/>
          <w:sz w:val="18"/>
        </w:rPr>
        <w:t>Secretaría</w:t>
      </w:r>
      <w:r>
        <w:rPr>
          <w:sz w:val="18"/>
        </w:rPr>
        <w:tab/>
      </w:r>
      <w:r>
        <w:rPr>
          <w:spacing w:val="-6"/>
          <w:sz w:val="18"/>
        </w:rPr>
        <w:t>de</w:t>
      </w:r>
      <w:r>
        <w:rPr>
          <w:sz w:val="18"/>
        </w:rPr>
        <w:tab/>
      </w:r>
      <w:r>
        <w:rPr>
          <w:spacing w:val="-2"/>
          <w:sz w:val="18"/>
        </w:rPr>
        <w:t>Hacienda</w:t>
      </w:r>
      <w:r>
        <w:rPr>
          <w:sz w:val="18"/>
        </w:rPr>
        <w:tab/>
      </w:r>
      <w:r>
        <w:rPr>
          <w:spacing w:val="-10"/>
          <w:sz w:val="18"/>
        </w:rPr>
        <w:t>y</w:t>
      </w:r>
      <w:r>
        <w:rPr>
          <w:sz w:val="18"/>
        </w:rPr>
        <w:tab/>
      </w:r>
      <w:r>
        <w:rPr>
          <w:spacing w:val="-2"/>
          <w:sz w:val="18"/>
        </w:rPr>
        <w:t>Crédito</w:t>
      </w:r>
      <w:r>
        <w:rPr>
          <w:sz w:val="18"/>
        </w:rPr>
        <w:tab/>
      </w:r>
      <w:r>
        <w:rPr>
          <w:spacing w:val="-2"/>
          <w:sz w:val="18"/>
        </w:rPr>
        <w:t>Público: </w:t>
      </w:r>
      <w:r>
        <w:rPr>
          <w:spacing w:val="-2"/>
          <w:sz w:val="18"/>
          <w:u w:val="single"/>
        </w:rPr>
        <w:t>https://</w:t>
      </w:r>
      <w:hyperlink r:id="rId10">
        <w:r>
          <w:rPr>
            <w:spacing w:val="-2"/>
            <w:sz w:val="18"/>
            <w:u w:val="single"/>
          </w:rPr>
          <w:t>www.transparenciapresupuestaria.gob.mx/es/PTP/programas#inicio</w:t>
        </w:r>
      </w:hyperlink>
    </w:p>
    <w:p>
      <w:pPr>
        <w:pStyle w:val="ListParagraph"/>
        <w:numPr>
          <w:ilvl w:val="0"/>
          <w:numId w:val="18"/>
        </w:numPr>
        <w:tabs>
          <w:tab w:pos="744" w:val="left" w:leader="none"/>
        </w:tabs>
        <w:spacing w:line="240" w:lineRule="auto" w:before="125" w:after="0"/>
        <w:ind w:left="744" w:right="0" w:hanging="342"/>
        <w:jc w:val="left"/>
        <w:rPr>
          <w:sz w:val="18"/>
        </w:rPr>
      </w:pPr>
      <w:r>
        <w:rPr>
          <w:sz w:val="18"/>
        </w:rPr>
        <w:t>La consulta puede realizarse de la siguiente </w:t>
      </w:r>
      <w:r>
        <w:rPr>
          <w:spacing w:val="-2"/>
          <w:sz w:val="18"/>
        </w:rPr>
        <w:t>manera:</w:t>
      </w:r>
    </w:p>
    <w:p>
      <w:pPr>
        <w:pStyle w:val="ListParagraph"/>
        <w:numPr>
          <w:ilvl w:val="0"/>
          <w:numId w:val="19"/>
        </w:numPr>
        <w:tabs>
          <w:tab w:pos="678" w:val="left" w:leader="none"/>
        </w:tabs>
        <w:spacing w:line="240" w:lineRule="auto" w:before="99" w:after="0"/>
        <w:ind w:left="678" w:right="0" w:hanging="276"/>
        <w:jc w:val="left"/>
        <w:rPr>
          <w:sz w:val="18"/>
        </w:rPr>
      </w:pPr>
      <w:r>
        <w:rPr>
          <w:sz w:val="18"/>
        </w:rPr>
        <w:t>En</w:t>
      </w:r>
      <w:r>
        <w:rPr>
          <w:spacing w:val="-3"/>
          <w:sz w:val="18"/>
        </w:rPr>
        <w:t> </w:t>
      </w:r>
      <w:r>
        <w:rPr>
          <w:sz w:val="18"/>
        </w:rPr>
        <w:t>la</w:t>
      </w:r>
      <w:r>
        <w:rPr>
          <w:spacing w:val="-2"/>
          <w:sz w:val="18"/>
        </w:rPr>
        <w:t> </w:t>
      </w:r>
      <w:r>
        <w:rPr>
          <w:sz w:val="18"/>
        </w:rPr>
        <w:t>pestaña</w:t>
      </w:r>
      <w:r>
        <w:rPr>
          <w:spacing w:val="-2"/>
          <w:sz w:val="18"/>
        </w:rPr>
        <w:t> </w:t>
      </w:r>
      <w:r>
        <w:rPr>
          <w:sz w:val="18"/>
        </w:rPr>
        <w:t>Ramo,</w:t>
      </w:r>
      <w:r>
        <w:rPr>
          <w:spacing w:val="-3"/>
          <w:sz w:val="18"/>
        </w:rPr>
        <w:t> </w:t>
      </w:r>
      <w:r>
        <w:rPr>
          <w:sz w:val="18"/>
        </w:rPr>
        <w:t>seleccionar</w:t>
      </w:r>
      <w:r>
        <w:rPr>
          <w:spacing w:val="-2"/>
          <w:sz w:val="18"/>
        </w:rPr>
        <w:t> </w:t>
      </w:r>
      <w:r>
        <w:rPr>
          <w:sz w:val="18"/>
        </w:rPr>
        <w:t>"11-Educación</w:t>
      </w:r>
      <w:r>
        <w:rPr>
          <w:spacing w:val="-2"/>
          <w:sz w:val="18"/>
        </w:rPr>
        <w:t> Pública".</w:t>
      </w:r>
    </w:p>
    <w:p>
      <w:pPr>
        <w:pStyle w:val="ListParagraph"/>
        <w:numPr>
          <w:ilvl w:val="0"/>
          <w:numId w:val="19"/>
        </w:numPr>
        <w:tabs>
          <w:tab w:pos="678" w:val="left" w:leader="none"/>
        </w:tabs>
        <w:spacing w:line="240" w:lineRule="auto" w:before="84" w:after="0"/>
        <w:ind w:left="678" w:right="0" w:hanging="276"/>
        <w:jc w:val="left"/>
        <w:rPr>
          <w:sz w:val="18"/>
        </w:rPr>
      </w:pPr>
      <w:r>
        <w:rPr>
          <w:sz w:val="18"/>
        </w:rPr>
        <w:t>En la pestaña Unidad Responsable, seleccionar "Subsecretaría de Educación Media </w:t>
      </w:r>
      <w:r>
        <w:rPr>
          <w:spacing w:val="-2"/>
          <w:sz w:val="18"/>
        </w:rPr>
        <w:t>Superior"</w:t>
      </w:r>
    </w:p>
    <w:p>
      <w:pPr>
        <w:pStyle w:val="ListParagraph"/>
        <w:numPr>
          <w:ilvl w:val="0"/>
          <w:numId w:val="19"/>
        </w:numPr>
        <w:tabs>
          <w:tab w:pos="678" w:val="left" w:leader="none"/>
        </w:tabs>
        <w:spacing w:line="240" w:lineRule="auto" w:before="100" w:after="0"/>
        <w:ind w:left="678" w:right="0" w:hanging="276"/>
        <w:jc w:val="left"/>
        <w:rPr>
          <w:sz w:val="18"/>
        </w:rPr>
      </w:pPr>
      <w:r>
        <w:rPr>
          <w:sz w:val="18"/>
        </w:rPr>
        <w:t>En la pestaña Modalidad, seleccionar "S-Sujetos a Reglas de </w:t>
      </w:r>
      <w:r>
        <w:rPr>
          <w:spacing w:val="-2"/>
          <w:sz w:val="18"/>
        </w:rPr>
        <w:t>Operación".</w:t>
      </w:r>
    </w:p>
    <w:p>
      <w:pPr>
        <w:pStyle w:val="ListParagraph"/>
        <w:numPr>
          <w:ilvl w:val="0"/>
          <w:numId w:val="19"/>
        </w:numPr>
        <w:tabs>
          <w:tab w:pos="678" w:val="left" w:leader="none"/>
        </w:tabs>
        <w:spacing w:line="240" w:lineRule="auto" w:before="100" w:after="0"/>
        <w:ind w:left="678" w:right="0" w:hanging="276"/>
        <w:jc w:val="left"/>
        <w:rPr>
          <w:sz w:val="18"/>
        </w:rPr>
      </w:pPr>
      <w:r>
        <w:rPr>
          <w:sz w:val="18"/>
        </w:rPr>
        <w:t>En la pestaña Clave, seleccionar </w:t>
      </w:r>
      <w:r>
        <w:rPr>
          <w:spacing w:val="-2"/>
          <w:sz w:val="18"/>
        </w:rPr>
        <w:t>"298".</w:t>
      </w:r>
    </w:p>
    <w:p>
      <w:pPr>
        <w:pStyle w:val="ListParagraph"/>
        <w:numPr>
          <w:ilvl w:val="0"/>
          <w:numId w:val="19"/>
        </w:numPr>
        <w:tabs>
          <w:tab w:pos="762" w:val="left" w:leader="none"/>
          <w:tab w:pos="791" w:val="left" w:leader="none"/>
        </w:tabs>
        <w:spacing w:line="237" w:lineRule="auto" w:before="87" w:after="0"/>
        <w:ind w:left="762" w:right="118" w:hanging="360"/>
        <w:jc w:val="left"/>
        <w:rPr>
          <w:sz w:val="18"/>
        </w:rPr>
      </w:pPr>
      <w:r>
        <w:rPr>
          <w:rFonts w:ascii="Times New Roman" w:hAnsi="Times New Roman"/>
          <w:color w:val="2E2E2E"/>
          <w:sz w:val="20"/>
        </w:rPr>
        <w:tab/>
      </w:r>
      <w:r>
        <w:rPr>
          <w:sz w:val="18"/>
        </w:rPr>
        <w:t>Dar</w:t>
      </w:r>
      <w:r>
        <w:rPr>
          <w:spacing w:val="34"/>
          <w:sz w:val="18"/>
        </w:rPr>
        <w:t> </w:t>
      </w:r>
      <w:r>
        <w:rPr>
          <w:sz w:val="18"/>
        </w:rPr>
        <w:t>clic</w:t>
      </w:r>
      <w:r>
        <w:rPr>
          <w:spacing w:val="34"/>
          <w:sz w:val="18"/>
        </w:rPr>
        <w:t> </w:t>
      </w:r>
      <w:r>
        <w:rPr>
          <w:sz w:val="18"/>
        </w:rPr>
        <w:t>en</w:t>
      </w:r>
      <w:r>
        <w:rPr>
          <w:spacing w:val="34"/>
          <w:sz w:val="18"/>
        </w:rPr>
        <w:t> </w:t>
      </w:r>
      <w:r>
        <w:rPr>
          <w:sz w:val="18"/>
        </w:rPr>
        <w:t>el</w:t>
      </w:r>
      <w:r>
        <w:rPr>
          <w:spacing w:val="34"/>
          <w:sz w:val="18"/>
        </w:rPr>
        <w:t> </w:t>
      </w:r>
      <w:r>
        <w:rPr>
          <w:sz w:val="18"/>
        </w:rPr>
        <w:t>nombre</w:t>
      </w:r>
      <w:r>
        <w:rPr>
          <w:spacing w:val="34"/>
          <w:sz w:val="18"/>
        </w:rPr>
        <w:t> </w:t>
      </w:r>
      <w:r>
        <w:rPr>
          <w:sz w:val="18"/>
        </w:rPr>
        <w:t>del</w:t>
      </w:r>
      <w:r>
        <w:rPr>
          <w:spacing w:val="34"/>
          <w:sz w:val="18"/>
        </w:rPr>
        <w:t> </w:t>
      </w:r>
      <w:r>
        <w:rPr>
          <w:sz w:val="18"/>
        </w:rPr>
        <w:t>Programa</w:t>
      </w:r>
      <w:r>
        <w:rPr>
          <w:spacing w:val="34"/>
          <w:sz w:val="18"/>
        </w:rPr>
        <w:t> </w:t>
      </w:r>
      <w:r>
        <w:rPr>
          <w:sz w:val="18"/>
        </w:rPr>
        <w:t>Presupuestario</w:t>
      </w:r>
      <w:r>
        <w:rPr>
          <w:spacing w:val="34"/>
          <w:sz w:val="18"/>
        </w:rPr>
        <w:t> </w:t>
      </w:r>
      <w:r>
        <w:rPr>
          <w:sz w:val="18"/>
        </w:rPr>
        <w:t>"Programa</w:t>
      </w:r>
      <w:r>
        <w:rPr>
          <w:spacing w:val="25"/>
          <w:sz w:val="18"/>
        </w:rPr>
        <w:t> </w:t>
      </w:r>
      <w:r>
        <w:rPr>
          <w:sz w:val="18"/>
        </w:rPr>
        <w:t>Atención</w:t>
      </w:r>
      <w:r>
        <w:rPr>
          <w:spacing w:val="34"/>
          <w:sz w:val="18"/>
        </w:rPr>
        <w:t> </w:t>
      </w:r>
      <w:r>
        <w:rPr>
          <w:sz w:val="18"/>
        </w:rPr>
        <w:t>de</w:t>
      </w:r>
      <w:r>
        <w:rPr>
          <w:spacing w:val="34"/>
          <w:sz w:val="18"/>
        </w:rPr>
        <w:t> </w:t>
      </w:r>
      <w:r>
        <w:rPr>
          <w:sz w:val="18"/>
        </w:rPr>
        <w:t>Planteles</w:t>
      </w:r>
      <w:r>
        <w:rPr>
          <w:spacing w:val="34"/>
          <w:sz w:val="18"/>
        </w:rPr>
        <w:t> </w:t>
      </w:r>
      <w:r>
        <w:rPr>
          <w:sz w:val="18"/>
        </w:rPr>
        <w:t>Públicos</w:t>
      </w:r>
      <w:r>
        <w:rPr>
          <w:spacing w:val="34"/>
          <w:sz w:val="18"/>
        </w:rPr>
        <w:t> </w:t>
      </w:r>
      <w:r>
        <w:rPr>
          <w:sz w:val="18"/>
        </w:rPr>
        <w:t>de</w:t>
      </w:r>
      <w:r>
        <w:rPr>
          <w:spacing w:val="34"/>
          <w:sz w:val="18"/>
        </w:rPr>
        <w:t> </w:t>
      </w:r>
      <w:r>
        <w:rPr>
          <w:sz w:val="18"/>
        </w:rPr>
        <w:t>Educación</w:t>
      </w:r>
      <w:r>
        <w:rPr>
          <w:spacing w:val="34"/>
          <w:sz w:val="18"/>
        </w:rPr>
        <w:t> </w:t>
      </w:r>
      <w:r>
        <w:rPr>
          <w:sz w:val="18"/>
        </w:rPr>
        <w:t>Media Superior con estudiantes con discapacidad (PAPPEMS)".</w:t>
      </w:r>
    </w:p>
    <w:p>
      <w:pPr>
        <w:pStyle w:val="BodyText"/>
        <w:spacing w:line="242" w:lineRule="auto"/>
        <w:ind w:right="117"/>
      </w:pPr>
      <w:r>
        <w:rPr/>
        <w:t>Posteriormente, aparecerá en la pantalla la "Ficha del Programa"; para acceder a la MIR, es necesario en la pantalla de la "Ficha del Programa" dar clic en la opción "Resultados" y en esa pantalla, seleccionar la opción "Descarga los Objetivos, Indicadores y Metas".</w:t>
      </w:r>
    </w:p>
    <w:p>
      <w:pPr>
        <w:pStyle w:val="ListParagraph"/>
        <w:numPr>
          <w:ilvl w:val="0"/>
          <w:numId w:val="18"/>
        </w:numPr>
        <w:tabs>
          <w:tab w:pos="762" w:val="left" w:leader="none"/>
          <w:tab w:pos="1243" w:val="left" w:leader="none"/>
        </w:tabs>
        <w:spacing w:line="235" w:lineRule="auto" w:before="126" w:after="0"/>
        <w:ind w:left="762" w:right="118" w:hanging="360"/>
        <w:jc w:val="left"/>
        <w:rPr>
          <w:sz w:val="18"/>
        </w:rPr>
      </w:pPr>
      <w:r>
        <w:rPr>
          <w:rFonts w:ascii="Courier New" w:hAnsi="Courier New"/>
          <w:color w:val="2E2E2E"/>
          <w:sz w:val="20"/>
        </w:rPr>
        <w:tab/>
      </w:r>
      <w:r>
        <w:rPr>
          <w:sz w:val="18"/>
        </w:rPr>
        <w:t>Portal</w:t>
      </w:r>
      <w:r>
        <w:rPr>
          <w:spacing w:val="80"/>
          <w:w w:val="150"/>
          <w:sz w:val="18"/>
        </w:rPr>
        <w:t> </w:t>
      </w:r>
      <w:r>
        <w:rPr>
          <w:sz w:val="18"/>
        </w:rPr>
        <w:t>de</w:t>
      </w:r>
      <w:r>
        <w:rPr>
          <w:spacing w:val="80"/>
          <w:w w:val="150"/>
          <w:sz w:val="18"/>
        </w:rPr>
        <w:t> </w:t>
      </w:r>
      <w:r>
        <w:rPr>
          <w:sz w:val="18"/>
        </w:rPr>
        <w:t>la</w:t>
      </w:r>
      <w:r>
        <w:rPr>
          <w:spacing w:val="80"/>
          <w:w w:val="150"/>
          <w:sz w:val="18"/>
        </w:rPr>
        <w:t> </w:t>
      </w:r>
      <w:r>
        <w:rPr>
          <w:sz w:val="18"/>
        </w:rPr>
        <w:t>Dirección</w:t>
      </w:r>
      <w:r>
        <w:rPr>
          <w:spacing w:val="80"/>
          <w:w w:val="150"/>
          <w:sz w:val="18"/>
        </w:rPr>
        <w:t> </w:t>
      </w:r>
      <w:r>
        <w:rPr>
          <w:sz w:val="18"/>
        </w:rPr>
        <w:t>General</w:t>
      </w:r>
      <w:r>
        <w:rPr>
          <w:spacing w:val="80"/>
          <w:w w:val="150"/>
          <w:sz w:val="18"/>
        </w:rPr>
        <w:t> </w:t>
      </w:r>
      <w:r>
        <w:rPr>
          <w:sz w:val="18"/>
        </w:rPr>
        <w:t>de</w:t>
      </w:r>
      <w:r>
        <w:rPr>
          <w:spacing w:val="80"/>
          <w:w w:val="150"/>
          <w:sz w:val="18"/>
        </w:rPr>
        <w:t> </w:t>
      </w:r>
      <w:r>
        <w:rPr>
          <w:sz w:val="18"/>
        </w:rPr>
        <w:t>Planeación,</w:t>
      </w:r>
      <w:r>
        <w:rPr>
          <w:spacing w:val="80"/>
          <w:w w:val="150"/>
          <w:sz w:val="18"/>
        </w:rPr>
        <w:t> </w:t>
      </w:r>
      <w:r>
        <w:rPr>
          <w:sz w:val="18"/>
        </w:rPr>
        <w:t>Programación</w:t>
      </w:r>
      <w:r>
        <w:rPr>
          <w:spacing w:val="80"/>
          <w:w w:val="150"/>
          <w:sz w:val="18"/>
        </w:rPr>
        <w:t> </w:t>
      </w:r>
      <w:r>
        <w:rPr>
          <w:sz w:val="18"/>
        </w:rPr>
        <w:t>y</w:t>
      </w:r>
      <w:r>
        <w:rPr>
          <w:spacing w:val="80"/>
          <w:w w:val="150"/>
          <w:sz w:val="18"/>
        </w:rPr>
        <w:t> </w:t>
      </w:r>
      <w:r>
        <w:rPr>
          <w:sz w:val="18"/>
        </w:rPr>
        <w:t>Estadística</w:t>
      </w:r>
      <w:r>
        <w:rPr>
          <w:spacing w:val="80"/>
          <w:w w:val="150"/>
          <w:sz w:val="18"/>
        </w:rPr>
        <w:t> </w:t>
      </w:r>
      <w:r>
        <w:rPr>
          <w:sz w:val="18"/>
        </w:rPr>
        <w:t>Educativa,</w:t>
      </w:r>
      <w:r>
        <w:rPr>
          <w:spacing w:val="80"/>
          <w:w w:val="150"/>
          <w:sz w:val="18"/>
        </w:rPr>
        <w:t> </w:t>
      </w:r>
      <w:r>
        <w:rPr>
          <w:sz w:val="18"/>
        </w:rPr>
        <w:t>de</w:t>
      </w:r>
      <w:r>
        <w:rPr>
          <w:spacing w:val="80"/>
          <w:w w:val="150"/>
          <w:sz w:val="18"/>
        </w:rPr>
        <w:t> </w:t>
      </w:r>
      <w:r>
        <w:rPr>
          <w:sz w:val="18"/>
        </w:rPr>
        <w:t>la</w:t>
      </w:r>
      <w:r>
        <w:rPr>
          <w:spacing w:val="80"/>
          <w:w w:val="150"/>
          <w:sz w:val="18"/>
        </w:rPr>
        <w:t> </w:t>
      </w:r>
      <w:r>
        <w:rPr>
          <w:sz w:val="18"/>
        </w:rPr>
        <w:t>SEP:</w:t>
      </w:r>
      <w:r>
        <w:rPr>
          <w:spacing w:val="40"/>
          <w:sz w:val="18"/>
        </w:rPr>
        <w:t> </w:t>
      </w:r>
      <w:hyperlink r:id="rId11">
        <w:r>
          <w:rPr>
            <w:spacing w:val="-2"/>
            <w:sz w:val="18"/>
            <w:u w:val="single"/>
          </w:rPr>
          <w:t>http://planeacion.sep.gob.mx/cortoplazo.aspx</w:t>
        </w:r>
      </w:hyperlink>
    </w:p>
    <w:p>
      <w:pPr>
        <w:pStyle w:val="BodyText"/>
        <w:spacing w:before="110"/>
        <w:ind w:left="402" w:right="0" w:firstLine="0"/>
        <w:jc w:val="left"/>
      </w:pPr>
      <w:r>
        <w:rPr/>
        <w:t>La consulta puede realizarse de la siguiente </w:t>
      </w:r>
      <w:r>
        <w:rPr>
          <w:spacing w:val="-2"/>
        </w:rPr>
        <w:t>manera:</w:t>
      </w:r>
    </w:p>
    <w:p>
      <w:pPr>
        <w:pStyle w:val="ListParagraph"/>
        <w:numPr>
          <w:ilvl w:val="0"/>
          <w:numId w:val="19"/>
        </w:numPr>
        <w:tabs>
          <w:tab w:pos="678" w:val="left" w:leader="none"/>
        </w:tabs>
        <w:spacing w:line="240" w:lineRule="auto" w:before="91" w:after="0"/>
        <w:ind w:left="678" w:right="0" w:hanging="276"/>
        <w:jc w:val="left"/>
        <w:rPr>
          <w:sz w:val="18"/>
        </w:rPr>
      </w:pPr>
      <w:r>
        <w:rPr>
          <w:sz w:val="18"/>
        </w:rPr>
        <w:t>Seleccionar el año a </w:t>
      </w:r>
      <w:r>
        <w:rPr>
          <w:spacing w:val="-2"/>
          <w:sz w:val="18"/>
        </w:rPr>
        <w:t>consultar</w:t>
      </w:r>
    </w:p>
    <w:p>
      <w:pPr>
        <w:pStyle w:val="ListParagraph"/>
        <w:numPr>
          <w:ilvl w:val="0"/>
          <w:numId w:val="19"/>
        </w:numPr>
        <w:tabs>
          <w:tab w:pos="678" w:val="left" w:leader="none"/>
        </w:tabs>
        <w:spacing w:line="240" w:lineRule="auto" w:before="100" w:after="0"/>
        <w:ind w:left="678" w:right="0" w:hanging="276"/>
        <w:jc w:val="left"/>
        <w:rPr>
          <w:sz w:val="18"/>
        </w:rPr>
      </w:pPr>
      <w:r>
        <w:rPr>
          <w:sz w:val="18"/>
        </w:rPr>
        <w:t>Descargar la MIR del </w:t>
      </w:r>
      <w:r>
        <w:rPr>
          <w:spacing w:val="-2"/>
          <w:sz w:val="18"/>
        </w:rPr>
        <w:t>Programa</w:t>
      </w:r>
    </w:p>
    <w:p>
      <w:pPr>
        <w:pStyle w:val="Heading1"/>
        <w:numPr>
          <w:ilvl w:val="0"/>
          <w:numId w:val="2"/>
        </w:numPr>
        <w:tabs>
          <w:tab w:pos="4653" w:val="left" w:leader="none"/>
        </w:tabs>
        <w:spacing w:line="240" w:lineRule="auto" w:before="102" w:after="0"/>
        <w:ind w:left="4653" w:right="0" w:hanging="200"/>
        <w:jc w:val="left"/>
        <w:rPr>
          <w:rFonts w:ascii="Arial"/>
        </w:rPr>
      </w:pPr>
      <w:r>
        <w:rPr>
          <w:rFonts w:ascii="Arial"/>
          <w:spacing w:val="-2"/>
        </w:rPr>
        <w:t>TRANSPARENCIA</w:t>
      </w:r>
    </w:p>
    <w:p>
      <w:pPr>
        <w:pStyle w:val="Heading2"/>
        <w:numPr>
          <w:ilvl w:val="1"/>
          <w:numId w:val="2"/>
        </w:numPr>
        <w:tabs>
          <w:tab w:pos="752" w:val="left" w:leader="none"/>
        </w:tabs>
        <w:spacing w:line="240" w:lineRule="auto" w:before="108" w:after="0"/>
        <w:ind w:left="752" w:right="0" w:hanging="350"/>
        <w:jc w:val="left"/>
      </w:pPr>
      <w:r>
        <w:rPr>
          <w:spacing w:val="-2"/>
        </w:rPr>
        <w:t>Difusión</w:t>
      </w:r>
    </w:p>
    <w:p>
      <w:pPr>
        <w:pStyle w:val="BodyText"/>
        <w:spacing w:line="242" w:lineRule="auto" w:before="93"/>
        <w:ind w:right="117"/>
      </w:pPr>
      <w:r>
        <w:rPr/>
        <w:t>En la operación del programa, se deberán atender las disposiciones aplicables en materia de transparencia y protección </w:t>
      </w:r>
      <w:r>
        <w:rPr/>
        <w:t>de datos personales establecidas por la Ley General de Transparencia y Acceso a la Información Pública, Ley Federal de Transparencia y Acceso a la Información Pública, así como la Ley General de Protección de Datos personales en Posesión de Sujetos Obligados y la normatividad que de éstas derivan.</w:t>
      </w:r>
    </w:p>
    <w:p>
      <w:pPr>
        <w:spacing w:line="242" w:lineRule="auto" w:before="109"/>
        <w:ind w:left="114" w:right="118" w:firstLine="287"/>
        <w:jc w:val="both"/>
        <w:rPr>
          <w:sz w:val="18"/>
        </w:rPr>
      </w:pPr>
      <w:r>
        <w:rPr>
          <w:sz w:val="18"/>
        </w:rPr>
        <w:t>Para garantizar la transparencia en el ejercicio de los recursos públicos, se dará amplia difusión al Programa a nivel nacional,</w:t>
      </w:r>
      <w:r>
        <w:rPr>
          <w:spacing w:val="40"/>
          <w:sz w:val="18"/>
        </w:rPr>
        <w:t> </w:t>
      </w:r>
      <w:r>
        <w:rPr>
          <w:sz w:val="18"/>
        </w:rPr>
        <w:t>y se promoverán acciones similares por parte de las autoridades locales y municipales. La papelería, documentación oficial, así como la publicidad y promoción de este Programa, deberán incluir la siguiente leyenda: </w:t>
      </w:r>
      <w:r>
        <w:rPr>
          <w:rFonts w:ascii="Arial" w:hAnsi="Arial"/>
          <w:b/>
          <w:sz w:val="18"/>
        </w:rPr>
        <w:t>"Este programa es público ajeno a cualquier partido político. Queda prohibido el uso para fines distintos a los establecidos en el programa". </w:t>
      </w:r>
      <w:r>
        <w:rPr>
          <w:sz w:val="18"/>
        </w:rPr>
        <w:t>Quien haga uso indebido de los recursos de este Programa deberá ser denunciada/o y sancionada/o de acuerdo con la ley aplicable y ante la autoridad competente.</w:t>
      </w:r>
    </w:p>
    <w:p>
      <w:pPr>
        <w:pStyle w:val="BodyText"/>
        <w:spacing w:line="242" w:lineRule="auto" w:before="110"/>
        <w:ind w:right="117"/>
      </w:pPr>
      <w:r>
        <w:rPr/>
        <w:t>Asimismo, se deberán difundir todas aquellas medidas que contribuyen a promover el acceso igualitario entre mujeres </w:t>
      </w:r>
      <w:r>
        <w:rPr/>
        <w:t>y hombres a los beneficios del Programa.</w:t>
      </w:r>
    </w:p>
    <w:p>
      <w:pPr>
        <w:pStyle w:val="BodyText"/>
        <w:spacing w:line="242" w:lineRule="auto" w:before="92"/>
        <w:ind w:right="117"/>
      </w:pPr>
      <w:r>
        <w:rPr/>
        <w:t>De acuerdo a lo establecido en el artículo 70, fracción XV de la Ley General de Transparencia y Acceso a la Información Pública, la UR 600 Subsecretaría de Educación Media Superior tendrá la obligación de publicar y mantener actualizada la información relativa a los programas de subsidios.</w:t>
      </w:r>
    </w:p>
    <w:p>
      <w:pPr>
        <w:pStyle w:val="Heading2"/>
        <w:numPr>
          <w:ilvl w:val="1"/>
          <w:numId w:val="2"/>
        </w:numPr>
        <w:tabs>
          <w:tab w:pos="752" w:val="left" w:leader="none"/>
        </w:tabs>
        <w:spacing w:line="240" w:lineRule="auto" w:before="108" w:after="0"/>
        <w:ind w:left="752" w:right="0" w:hanging="350"/>
        <w:jc w:val="left"/>
      </w:pPr>
      <w:r>
        <w:rPr/>
        <w:t>Contraloría </w:t>
      </w:r>
      <w:r>
        <w:rPr>
          <w:spacing w:val="-2"/>
        </w:rPr>
        <w:t>social</w:t>
      </w:r>
    </w:p>
    <w:p>
      <w:pPr>
        <w:pStyle w:val="BodyText"/>
        <w:spacing w:line="242" w:lineRule="auto"/>
      </w:pPr>
      <w:r>
        <w:rPr/>
        <w:t>Se reconoce a la Contraloría Social como el mecanismo de las personas beneficiarias, de manera organizada, independiente, voluntaria y honorífica, para verificar el cumplimiento de las metas y la correcta aplicación de los recursos públicos asignados </w:t>
      </w:r>
      <w:r>
        <w:rPr/>
        <w:t>a</w:t>
      </w:r>
      <w:r>
        <w:rPr>
          <w:spacing w:val="40"/>
        </w:rPr>
        <w:t> </w:t>
      </w:r>
      <w:r>
        <w:rPr/>
        <w:t>los programas federales, de conformidad con los artículos 69, 70 y 71 de la Ley General de Desarrollo Social; 67, 68, 69 y 70 de su Reglamento.</w:t>
      </w:r>
    </w:p>
    <w:p>
      <w:pPr>
        <w:pStyle w:val="BodyText"/>
        <w:spacing w:line="242" w:lineRule="auto" w:before="109"/>
        <w:ind w:right="117"/>
      </w:pPr>
      <w:r>
        <w:rPr/>
        <w:t>En materia de promoción, operación y seguimiento de Contraloría Social, este programa federal se encuentra sujeto a los Lineamientos y Estrategia Marco vigentes emitidos por la Secretaría de la Función Pública, así como a los </w:t>
      </w:r>
      <w:r>
        <w:rPr/>
        <w:t>documentos</w:t>
      </w:r>
      <w:r>
        <w:rPr>
          <w:spacing w:val="40"/>
        </w:rPr>
        <w:t> </w:t>
      </w:r>
      <w:r>
        <w:rPr/>
        <w:t>normativos (Esquema, Guía Operativa y Programa Anual de Trabajo de Contraloría Social) validados por dicha dependencia, mismos que integran la Estrategia de Contraloría Social.</w:t>
      </w:r>
    </w:p>
    <w:p>
      <w:pPr>
        <w:pStyle w:val="BodyText"/>
        <w:spacing w:line="242" w:lineRule="auto" w:before="94"/>
      </w:pPr>
      <w:r>
        <w:rPr/>
        <w:t>Los Comités de Contraloría Social, para solicitar su registro, deberán presentar ante la Unidad Responsable de la</w:t>
      </w:r>
      <w:r>
        <w:rPr>
          <w:spacing w:val="40"/>
        </w:rPr>
        <w:t> </w:t>
      </w:r>
      <w:r>
        <w:rPr/>
        <w:t>Dependencia</w:t>
      </w:r>
      <w:r>
        <w:rPr>
          <w:spacing w:val="-1"/>
        </w:rPr>
        <w:t> </w:t>
      </w:r>
      <w:r>
        <w:rPr/>
        <w:t>o</w:t>
      </w:r>
      <w:r>
        <w:rPr>
          <w:spacing w:val="-1"/>
        </w:rPr>
        <w:t> </w:t>
      </w:r>
      <w:r>
        <w:rPr/>
        <w:t>Entidad</w:t>
      </w:r>
      <w:r>
        <w:rPr>
          <w:spacing w:val="-1"/>
        </w:rPr>
        <w:t> </w:t>
      </w:r>
      <w:r>
        <w:rPr/>
        <w:t>de</w:t>
      </w:r>
      <w:r>
        <w:rPr>
          <w:spacing w:val="-1"/>
        </w:rPr>
        <w:t> </w:t>
      </w:r>
      <w:r>
        <w:rPr/>
        <w:t>la</w:t>
      </w:r>
      <w:r>
        <w:rPr>
          <w:spacing w:val="-11"/>
        </w:rPr>
        <w:t> </w:t>
      </w:r>
      <w:r>
        <w:rPr/>
        <w:t>Administración</w:t>
      </w:r>
      <w:r>
        <w:rPr>
          <w:spacing w:val="-1"/>
        </w:rPr>
        <w:t> </w:t>
      </w:r>
      <w:r>
        <w:rPr/>
        <w:t>Pública</w:t>
      </w:r>
      <w:r>
        <w:rPr>
          <w:spacing w:val="-1"/>
        </w:rPr>
        <w:t> </w:t>
      </w:r>
      <w:r>
        <w:rPr/>
        <w:t>Federal</w:t>
      </w:r>
      <w:r>
        <w:rPr>
          <w:spacing w:val="-1"/>
        </w:rPr>
        <w:t> </w:t>
      </w:r>
      <w:r>
        <w:rPr/>
        <w:t>a</w:t>
      </w:r>
      <w:r>
        <w:rPr>
          <w:spacing w:val="-1"/>
        </w:rPr>
        <w:t> </w:t>
      </w:r>
      <w:r>
        <w:rPr/>
        <w:t>cargo</w:t>
      </w:r>
      <w:r>
        <w:rPr>
          <w:spacing w:val="-1"/>
        </w:rPr>
        <w:t> </w:t>
      </w:r>
      <w:r>
        <w:rPr/>
        <w:t>del</w:t>
      </w:r>
      <w:r>
        <w:rPr>
          <w:spacing w:val="-1"/>
        </w:rPr>
        <w:t> </w:t>
      </w:r>
      <w:r>
        <w:rPr/>
        <w:t>programa,</w:t>
      </w:r>
      <w:r>
        <w:rPr>
          <w:spacing w:val="-1"/>
        </w:rPr>
        <w:t> </w:t>
      </w:r>
      <w:r>
        <w:rPr/>
        <w:t>un</w:t>
      </w:r>
      <w:r>
        <w:rPr>
          <w:spacing w:val="-1"/>
        </w:rPr>
        <w:t> </w:t>
      </w:r>
      <w:r>
        <w:rPr/>
        <w:t>escrito</w:t>
      </w:r>
      <w:r>
        <w:rPr>
          <w:spacing w:val="-1"/>
        </w:rPr>
        <w:t> </w:t>
      </w:r>
      <w:r>
        <w:rPr/>
        <w:t>libre</w:t>
      </w:r>
      <w:r>
        <w:rPr>
          <w:spacing w:val="-1"/>
        </w:rPr>
        <w:t> </w:t>
      </w:r>
      <w:r>
        <w:rPr/>
        <w:t>en</w:t>
      </w:r>
      <w:r>
        <w:rPr>
          <w:spacing w:val="-1"/>
        </w:rPr>
        <w:t> </w:t>
      </w:r>
      <w:r>
        <w:rPr/>
        <w:t>el</w:t>
      </w:r>
      <w:r>
        <w:rPr>
          <w:spacing w:val="-1"/>
        </w:rPr>
        <w:t> </w:t>
      </w:r>
      <w:r>
        <w:rPr/>
        <w:t>que</w:t>
      </w:r>
      <w:r>
        <w:rPr>
          <w:spacing w:val="-1"/>
        </w:rPr>
        <w:t> </w:t>
      </w:r>
      <w:r>
        <w:rPr/>
        <w:t>se</w:t>
      </w:r>
      <w:r>
        <w:rPr>
          <w:spacing w:val="-1"/>
        </w:rPr>
        <w:t> </w:t>
      </w:r>
      <w:r>
        <w:rPr/>
        <w:t>especifique,</w:t>
      </w:r>
      <w:r>
        <w:rPr>
          <w:spacing w:val="-1"/>
        </w:rPr>
        <w:t> </w:t>
      </w:r>
      <w:r>
        <w:rPr/>
        <w:t>como mínimo, el nombre del programa, el ejercicio fiscal de que se trate, su representación y domicilio legal, así como los </w:t>
      </w:r>
      <w:r>
        <w:rPr/>
        <w:t>mecanismos</w:t>
      </w:r>
      <w:r>
        <w:rPr>
          <w:spacing w:val="40"/>
        </w:rPr>
        <w:t> </w:t>
      </w:r>
      <w:r>
        <w:rPr/>
        <w:t>e instrumentos que se utilizarán para el ejercicio de sus funciones.</w:t>
      </w:r>
    </w:p>
    <w:p>
      <w:pPr>
        <w:pStyle w:val="BodyText"/>
        <w:spacing w:line="242" w:lineRule="auto"/>
        <w:ind w:right="117"/>
      </w:pPr>
      <w:r>
        <w:rPr/>
        <w:t>La Unidad Responsable del programa federal a través de sus Oficinas de Representación Federal y/o Instancias Ejecutoras deberá(n), de no haber impedimento alguno, expedir las constancias de registro de los comités en un plazo no mayor a 15</w:t>
      </w:r>
      <w:r>
        <w:rPr>
          <w:spacing w:val="40"/>
        </w:rPr>
        <w:t> </w:t>
      </w:r>
      <w:r>
        <w:rPr/>
        <w:t>(quince) días hábiles contados a partir de la solicitud de registro, mismas que fungirán como comprobante de su constitución, </w:t>
      </w:r>
      <w:r>
        <w:rPr/>
        <w:t>y deberán</w:t>
      </w:r>
      <w:r>
        <w:rPr>
          <w:spacing w:val="10"/>
        </w:rPr>
        <w:t> </w:t>
      </w:r>
      <w:r>
        <w:rPr/>
        <w:t>registrarse</w:t>
      </w:r>
      <w:r>
        <w:rPr>
          <w:spacing w:val="10"/>
        </w:rPr>
        <w:t> </w:t>
      </w:r>
      <w:r>
        <w:rPr/>
        <w:t>en</w:t>
      </w:r>
      <w:r>
        <w:rPr>
          <w:spacing w:val="10"/>
        </w:rPr>
        <w:t> </w:t>
      </w:r>
      <w:r>
        <w:rPr/>
        <w:t>el</w:t>
      </w:r>
      <w:r>
        <w:rPr>
          <w:spacing w:val="10"/>
        </w:rPr>
        <w:t> </w:t>
      </w:r>
      <w:r>
        <w:rPr/>
        <w:t>Sistema</w:t>
      </w:r>
      <w:r>
        <w:rPr>
          <w:spacing w:val="10"/>
        </w:rPr>
        <w:t> </w:t>
      </w:r>
      <w:r>
        <w:rPr/>
        <w:t>Informático</w:t>
      </w:r>
      <w:r>
        <w:rPr>
          <w:spacing w:val="10"/>
        </w:rPr>
        <w:t> </w:t>
      </w:r>
      <w:r>
        <w:rPr/>
        <w:t>de</w:t>
      </w:r>
      <w:r>
        <w:rPr>
          <w:spacing w:val="10"/>
        </w:rPr>
        <w:t> </w:t>
      </w:r>
      <w:r>
        <w:rPr/>
        <w:t>Contraloría</w:t>
      </w:r>
      <w:r>
        <w:rPr>
          <w:spacing w:val="10"/>
        </w:rPr>
        <w:t> </w:t>
      </w:r>
      <w:r>
        <w:rPr/>
        <w:t>Social. Asimismo,</w:t>
      </w:r>
      <w:r>
        <w:rPr>
          <w:spacing w:val="10"/>
        </w:rPr>
        <w:t> </w:t>
      </w:r>
      <w:r>
        <w:rPr/>
        <w:t>brindará</w:t>
      </w:r>
      <w:r>
        <w:rPr>
          <w:spacing w:val="10"/>
        </w:rPr>
        <w:t> </w:t>
      </w:r>
      <w:r>
        <w:rPr/>
        <w:t>a</w:t>
      </w:r>
      <w:r>
        <w:rPr>
          <w:spacing w:val="10"/>
        </w:rPr>
        <w:t> </w:t>
      </w:r>
      <w:r>
        <w:rPr/>
        <w:t>éstos</w:t>
      </w:r>
      <w:r>
        <w:rPr>
          <w:spacing w:val="10"/>
        </w:rPr>
        <w:t> </w:t>
      </w:r>
      <w:r>
        <w:rPr/>
        <w:t>la</w:t>
      </w:r>
      <w:r>
        <w:rPr>
          <w:spacing w:val="10"/>
        </w:rPr>
        <w:t> </w:t>
      </w:r>
      <w:r>
        <w:rPr/>
        <w:t>información</w:t>
      </w:r>
      <w:r>
        <w:rPr>
          <w:spacing w:val="10"/>
        </w:rPr>
        <w:t> </w:t>
      </w:r>
      <w:r>
        <w:rPr/>
        <w:t>pública</w:t>
      </w:r>
      <w:r>
        <w:rPr>
          <w:spacing w:val="10"/>
        </w:rPr>
        <w:t> </w:t>
      </w:r>
      <w:r>
        <w:rPr>
          <w:spacing w:val="-2"/>
        </w:rPr>
        <w:t>necesaria</w:t>
      </w:r>
    </w:p>
    <w:p>
      <w:pPr>
        <w:spacing w:after="0" w:line="242" w:lineRule="auto"/>
        <w:sectPr>
          <w:pgSz w:w="12240" w:h="15840"/>
          <w:pgMar w:header="269" w:footer="260" w:top="460" w:bottom="440" w:left="860" w:right="720"/>
        </w:sectPr>
      </w:pPr>
    </w:p>
    <w:p>
      <w:pPr>
        <w:pStyle w:val="BodyText"/>
        <w:spacing w:line="242" w:lineRule="auto" w:before="82"/>
        <w:ind w:right="0" w:firstLine="0"/>
        <w:jc w:val="left"/>
      </w:pPr>
      <w:r>
        <w:rPr/>
        <w:t>para llevar a cabo sus actividades, así como asesoría, capacitación, y orientación sobre los mecanismos para presentar quejas y </w:t>
      </w:r>
      <w:r>
        <w:rPr>
          <w:spacing w:val="-2"/>
        </w:rPr>
        <w:t>denuncias.</w:t>
      </w:r>
    </w:p>
    <w:p>
      <w:pPr>
        <w:pStyle w:val="BodyText"/>
        <w:spacing w:line="242" w:lineRule="auto" w:before="107"/>
      </w:pPr>
      <w:r>
        <w:rPr/>
        <w:t>La Secretaría de la Función Pública, brindará orientación en la materia a través del correo electrónico: </w:t>
      </w:r>
      <w:hyperlink r:id="rId12">
        <w:r>
          <w:rPr>
            <w:spacing w:val="-2"/>
          </w:rPr>
          <w:t>contraloriasocial@funcionpublica.gob.mx.</w:t>
        </w:r>
      </w:hyperlink>
    </w:p>
    <w:p>
      <w:pPr>
        <w:pStyle w:val="BodyText"/>
        <w:spacing w:line="242" w:lineRule="auto" w:before="92"/>
      </w:pPr>
      <w:r>
        <w:rPr/>
        <w:t>Adicionalmente, la Unidad Responsable del programa federal podrá promover e implementar los mecanismos de </w:t>
      </w:r>
      <w:r>
        <w:rPr/>
        <w:t>participación ciudadana</w:t>
      </w:r>
      <w:r>
        <w:rPr>
          <w:spacing w:val="-1"/>
        </w:rPr>
        <w:t> </w:t>
      </w:r>
      <w:r>
        <w:rPr/>
        <w:t>en</w:t>
      </w:r>
      <w:r>
        <w:rPr>
          <w:spacing w:val="-1"/>
        </w:rPr>
        <w:t> </w:t>
      </w:r>
      <w:r>
        <w:rPr/>
        <w:t>la</w:t>
      </w:r>
      <w:r>
        <w:rPr>
          <w:spacing w:val="-1"/>
        </w:rPr>
        <w:t> </w:t>
      </w:r>
      <w:r>
        <w:rPr/>
        <w:t>prevención</w:t>
      </w:r>
      <w:r>
        <w:rPr>
          <w:spacing w:val="-1"/>
        </w:rPr>
        <w:t> </w:t>
      </w:r>
      <w:r>
        <w:rPr/>
        <w:t>y</w:t>
      </w:r>
      <w:r>
        <w:rPr>
          <w:spacing w:val="-1"/>
        </w:rPr>
        <w:t> </w:t>
      </w:r>
      <w:r>
        <w:rPr/>
        <w:t>el</w:t>
      </w:r>
      <w:r>
        <w:rPr>
          <w:spacing w:val="-1"/>
        </w:rPr>
        <w:t> </w:t>
      </w:r>
      <w:r>
        <w:rPr/>
        <w:t>combate</w:t>
      </w:r>
      <w:r>
        <w:rPr>
          <w:spacing w:val="-1"/>
        </w:rPr>
        <w:t> </w:t>
      </w:r>
      <w:r>
        <w:rPr/>
        <w:t>a</w:t>
      </w:r>
      <w:r>
        <w:rPr>
          <w:spacing w:val="-1"/>
        </w:rPr>
        <w:t> </w:t>
      </w:r>
      <w:r>
        <w:rPr/>
        <w:t>la</w:t>
      </w:r>
      <w:r>
        <w:rPr>
          <w:spacing w:val="-1"/>
        </w:rPr>
        <w:t> </w:t>
      </w:r>
      <w:r>
        <w:rPr/>
        <w:t>corrupción</w:t>
      </w:r>
      <w:r>
        <w:rPr>
          <w:spacing w:val="-1"/>
        </w:rPr>
        <w:t> </w:t>
      </w:r>
      <w:r>
        <w:rPr/>
        <w:t>impulsados</w:t>
      </w:r>
      <w:r>
        <w:rPr>
          <w:spacing w:val="-1"/>
        </w:rPr>
        <w:t> </w:t>
      </w:r>
      <w:r>
        <w:rPr/>
        <w:t>por</w:t>
      </w:r>
      <w:r>
        <w:rPr>
          <w:spacing w:val="-1"/>
        </w:rPr>
        <w:t> </w:t>
      </w:r>
      <w:r>
        <w:rPr/>
        <w:t>la</w:t>
      </w:r>
      <w:r>
        <w:rPr>
          <w:spacing w:val="-1"/>
        </w:rPr>
        <w:t> </w:t>
      </w:r>
      <w:r>
        <w:rPr/>
        <w:t>Secretaría</w:t>
      </w:r>
      <w:r>
        <w:rPr>
          <w:spacing w:val="-1"/>
        </w:rPr>
        <w:t> </w:t>
      </w:r>
      <w:r>
        <w:rPr/>
        <w:t>de</w:t>
      </w:r>
      <w:r>
        <w:rPr>
          <w:spacing w:val="-1"/>
        </w:rPr>
        <w:t> </w:t>
      </w:r>
      <w:r>
        <w:rPr/>
        <w:t>la</w:t>
      </w:r>
      <w:r>
        <w:rPr>
          <w:spacing w:val="-1"/>
        </w:rPr>
        <w:t> </w:t>
      </w:r>
      <w:r>
        <w:rPr/>
        <w:t>Función</w:t>
      </w:r>
      <w:r>
        <w:rPr>
          <w:spacing w:val="-1"/>
        </w:rPr>
        <w:t> </w:t>
      </w:r>
      <w:r>
        <w:rPr/>
        <w:t>Pública,</w:t>
      </w:r>
      <w:r>
        <w:rPr>
          <w:spacing w:val="-1"/>
        </w:rPr>
        <w:t> </w:t>
      </w:r>
      <w:r>
        <w:rPr/>
        <w:t>por</w:t>
      </w:r>
      <w:r>
        <w:rPr>
          <w:spacing w:val="-1"/>
        </w:rPr>
        <w:t> </w:t>
      </w:r>
      <w:r>
        <w:rPr/>
        <w:t>medio</w:t>
      </w:r>
      <w:r>
        <w:rPr>
          <w:spacing w:val="-1"/>
        </w:rPr>
        <w:t> </w:t>
      </w:r>
      <w:r>
        <w:rPr/>
        <w:t>del</w:t>
      </w:r>
      <w:r>
        <w:rPr>
          <w:spacing w:val="-1"/>
        </w:rPr>
        <w:t> </w:t>
      </w:r>
      <w:r>
        <w:rPr/>
        <w:t>uso</w:t>
      </w:r>
      <w:r>
        <w:rPr>
          <w:spacing w:val="-1"/>
        </w:rPr>
        <w:t> </w:t>
      </w:r>
      <w:r>
        <w:rPr/>
        <w:t>de herramientas digitales, que faciliten a las personas beneficiarias y la ciudadanía en general, la posibilidad de incidir en dicha </w:t>
      </w:r>
      <w:r>
        <w:rPr>
          <w:spacing w:val="-2"/>
        </w:rPr>
        <w:t>materia.</w:t>
      </w:r>
    </w:p>
    <w:p>
      <w:pPr>
        <w:pStyle w:val="Heading1"/>
        <w:numPr>
          <w:ilvl w:val="0"/>
          <w:numId w:val="2"/>
        </w:numPr>
        <w:tabs>
          <w:tab w:pos="4415" w:val="left" w:leader="none"/>
        </w:tabs>
        <w:spacing w:line="240" w:lineRule="auto" w:before="109" w:after="0"/>
        <w:ind w:left="4415" w:right="0" w:hanging="200"/>
        <w:jc w:val="left"/>
        <w:rPr>
          <w:rFonts w:ascii="Arial"/>
        </w:rPr>
      </w:pPr>
      <w:r>
        <w:rPr>
          <w:rFonts w:ascii="Arial"/>
        </w:rPr>
        <w:t>QUEJAS</w:t>
      </w:r>
      <w:r>
        <w:rPr>
          <w:rFonts w:ascii="Arial"/>
          <w:spacing w:val="-4"/>
        </w:rPr>
        <w:t> </w:t>
      </w:r>
      <w:r>
        <w:rPr>
          <w:rFonts w:ascii="Arial"/>
        </w:rPr>
        <w:t>Y</w:t>
      </w:r>
      <w:r>
        <w:rPr>
          <w:rFonts w:ascii="Arial"/>
          <w:spacing w:val="-4"/>
        </w:rPr>
        <w:t> </w:t>
      </w:r>
      <w:r>
        <w:rPr>
          <w:rFonts w:ascii="Arial"/>
          <w:spacing w:val="-2"/>
        </w:rPr>
        <w:t>DENUNCIAS</w:t>
      </w:r>
    </w:p>
    <w:p>
      <w:pPr>
        <w:pStyle w:val="BodyText"/>
        <w:spacing w:line="242" w:lineRule="auto"/>
        <w:ind w:right="117"/>
      </w:pPr>
      <w:r>
        <w:rPr/>
        <w:t>La o el beneficiario y la ciudadanía en general, podrán presentar sus quejas o denuncias con respecto a la ejecución de las presentes RO de manera personal, escrita o por internet en:</w:t>
      </w:r>
      <w:r>
        <w:rPr>
          <w:spacing w:val="-3"/>
        </w:rPr>
        <w:t> </w:t>
      </w:r>
      <w:r>
        <w:rPr/>
        <w:t>Avenida Universidad número 1200, piso 4, sector 26, Colonia Xoco, Demarcación Territorial Benito Juárez, Código Postal 03330, Ciudad de México, al teléfono 55 36 00 25 11 extensión 50702 (Ciudad de México), en horario de atención de lunes a viernes de 09:00 a 19:00 horas (tiempo del centro de México); a los teléfonos de la SEP: TELSEP 5536 01 75 99 en la Ciudad de México o al 800 28 86 688 (Lada sin costo) así como en el correo electrónico: </w:t>
      </w:r>
      <w:hyperlink r:id="rId13">
        <w:r>
          <w:rPr/>
          <w:t>quejas@sep.gob.mx</w:t>
        </w:r>
      </w:hyperlink>
      <w:r>
        <w:rPr/>
        <w:t> y al correo electrónico: </w:t>
      </w:r>
      <w:hyperlink r:id="rId14">
        <w:r>
          <w:rPr/>
          <w:t>comentarios.pappems@sems.gob.mx</w:t>
        </w:r>
      </w:hyperlink>
    </w:p>
    <w:p>
      <w:pPr>
        <w:pStyle w:val="BodyText"/>
        <w:spacing w:line="242" w:lineRule="auto" w:before="110"/>
      </w:pPr>
      <w:r>
        <w:rPr/>
        <w:t>Las denuncias podrán realizarse a través del Sistema Integral de Denuncias Ciudadanas (SIDEC) en la liga https://sidec.funcionpublica.gob.mx/ las 24 horas del día, los 365 días del año; o mediante escrito presentado en la Secretaría </w:t>
      </w:r>
      <w:r>
        <w:rPr/>
        <w:t>de</w:t>
      </w:r>
      <w:r>
        <w:rPr>
          <w:spacing w:val="40"/>
        </w:rPr>
        <w:t> </w:t>
      </w:r>
      <w:r>
        <w:rPr/>
        <w:t>la Función Pública, ubicada en Avenida de los Insurgentes Sur 1735, Colonia Guadalupe Inn, C.P. 01020, Alcaldía Álvaro Obregón, Ciudad de México.</w:t>
      </w:r>
    </w:p>
    <w:p>
      <w:pPr>
        <w:pStyle w:val="BodyText"/>
        <w:spacing w:line="242" w:lineRule="auto" w:before="94"/>
      </w:pPr>
      <w:r>
        <w:rPr/>
        <w:t>En caso de requerir asesoría para la presentación de denuncias, podrán comunicarse a los teléfonos 55 2000 2000 y al número gratuito 800 112 87 00</w:t>
      </w:r>
      <w:r>
        <w:rPr>
          <w:color w:val="2E2E2E"/>
        </w:rPr>
        <w:t>.</w:t>
      </w:r>
    </w:p>
    <w:p>
      <w:pPr>
        <w:pStyle w:val="Heading1"/>
        <w:spacing w:before="108"/>
        <w:ind w:right="935"/>
        <w:jc w:val="center"/>
      </w:pPr>
      <w:r>
        <w:rPr>
          <w:color w:val="2E2E2E"/>
          <w:spacing w:val="-2"/>
        </w:rPr>
        <w:t>ANEXOS</w:t>
      </w:r>
    </w:p>
    <w:p>
      <w:pPr>
        <w:pStyle w:val="Heading2"/>
        <w:spacing w:before="122"/>
      </w:pPr>
      <w:r>
        <w:rPr/>
        <w:t>Anexo 1a Modelo de </w:t>
      </w:r>
      <w:r>
        <w:rPr>
          <w:spacing w:val="-2"/>
        </w:rPr>
        <w:t>Convocatoria</w:t>
      </w:r>
    </w:p>
    <w:p>
      <w:pPr>
        <w:pStyle w:val="BodyText"/>
        <w:tabs>
          <w:tab w:pos="6785" w:val="left" w:leader="none"/>
        </w:tabs>
        <w:spacing w:line="242" w:lineRule="auto" w:before="93"/>
      </w:pPr>
      <w:r>
        <w:rPr/>
        <w:t>La Secretaría de Educación Pública (SEP), a través de la Subsecretaría de Educación Media Superior (SEMS), </w:t>
      </w:r>
      <w:r>
        <w:rPr/>
        <w:t>promoviendo</w:t>
      </w:r>
      <w:r>
        <w:rPr>
          <w:spacing w:val="40"/>
        </w:rPr>
        <w:t> </w:t>
      </w:r>
      <w:r>
        <w:rPr/>
        <w:t>el derecho a la educación de las personas con discapacidad y el Acuerdo </w:t>
      </w:r>
      <w:r>
        <w:rPr>
          <w:rFonts w:ascii="Times New Roman" w:hAnsi="Times New Roman"/>
          <w:u w:val="single"/>
        </w:rPr>
        <w:tab/>
      </w:r>
      <w:r>
        <w:rPr/>
        <w:t>por el que se emiten las Reglas de Operación del Programa Atención de Planteles Públicos de Educación Media</w:t>
      </w:r>
    </w:p>
    <w:p>
      <w:pPr>
        <w:pStyle w:val="BodyText"/>
        <w:ind w:left="402" w:right="0" w:firstLine="0"/>
        <w:jc w:val="left"/>
      </w:pPr>
      <w:r>
        <w:rPr/>
        <w:t>Superior</w:t>
      </w:r>
      <w:r>
        <w:rPr>
          <w:spacing w:val="-2"/>
        </w:rPr>
        <w:t> </w:t>
      </w:r>
      <w:r>
        <w:rPr/>
        <w:t>con</w:t>
      </w:r>
      <w:r>
        <w:rPr>
          <w:spacing w:val="-1"/>
        </w:rPr>
        <w:t> </w:t>
      </w:r>
      <w:r>
        <w:rPr/>
        <w:t>estudiantes</w:t>
      </w:r>
      <w:r>
        <w:rPr>
          <w:spacing w:val="-2"/>
        </w:rPr>
        <w:t> </w:t>
      </w:r>
      <w:r>
        <w:rPr/>
        <w:t>con</w:t>
      </w:r>
      <w:r>
        <w:rPr>
          <w:spacing w:val="-1"/>
        </w:rPr>
        <w:t> </w:t>
      </w:r>
      <w:r>
        <w:rPr/>
        <w:t>discapacidad</w:t>
      </w:r>
      <w:r>
        <w:rPr>
          <w:spacing w:val="-1"/>
        </w:rPr>
        <w:t> </w:t>
      </w:r>
      <w:r>
        <w:rPr/>
        <w:t>(PAPPEMS)</w:t>
      </w:r>
      <w:r>
        <w:rPr>
          <w:spacing w:val="-2"/>
        </w:rPr>
        <w:t> </w:t>
      </w:r>
      <w:r>
        <w:rPr/>
        <w:t>para</w:t>
      </w:r>
      <w:r>
        <w:rPr>
          <w:spacing w:val="-1"/>
        </w:rPr>
        <w:t> </w:t>
      </w:r>
      <w:r>
        <w:rPr/>
        <w:t>el</w:t>
      </w:r>
      <w:r>
        <w:rPr>
          <w:spacing w:val="-2"/>
        </w:rPr>
        <w:t> </w:t>
      </w:r>
      <w:r>
        <w:rPr/>
        <w:t>ejercicio</w:t>
      </w:r>
      <w:r>
        <w:rPr>
          <w:spacing w:val="-1"/>
        </w:rPr>
        <w:t> </w:t>
      </w:r>
      <w:r>
        <w:rPr/>
        <w:t>fiscal</w:t>
      </w:r>
      <w:r>
        <w:rPr>
          <w:spacing w:val="-1"/>
        </w:rPr>
        <w:t> </w:t>
      </w:r>
      <w:r>
        <w:rPr>
          <w:spacing w:val="-2"/>
        </w:rPr>
        <w:t>2024.</w:t>
      </w:r>
    </w:p>
    <w:p>
      <w:pPr>
        <w:pStyle w:val="Heading1"/>
        <w:spacing w:before="109"/>
        <w:ind w:right="935"/>
        <w:jc w:val="center"/>
      </w:pPr>
      <w:r>
        <w:rPr>
          <w:color w:val="2E2E2E"/>
          <w:spacing w:val="-2"/>
        </w:rPr>
        <w:t>CONVOCA</w:t>
      </w:r>
    </w:p>
    <w:p>
      <w:pPr>
        <w:pStyle w:val="BodyText"/>
        <w:spacing w:line="242" w:lineRule="auto" w:before="122"/>
      </w:pPr>
      <w:r>
        <w:rPr/>
        <w:t>A los planteles públicos de Educación Media Superior que cumplan con los requisitos previstos en esta Convocatoria, a</w:t>
      </w:r>
      <w:r>
        <w:rPr>
          <w:spacing w:val="40"/>
        </w:rPr>
        <w:t> </w:t>
      </w:r>
      <w:r>
        <w:rPr/>
        <w:t>realizar su registro para la obtención de apoyos económicos para la atención de Estudiantes con Discapacidad, a partir del (Precisar día y mes) y hasta el (Precisar día y mes) del</w:t>
      </w:r>
      <w:r>
        <w:rPr>
          <w:rFonts w:ascii="Times New Roman" w:hAnsi="Times New Roman"/>
          <w:spacing w:val="80"/>
          <w:u w:val="single"/>
        </w:rPr>
        <w:t>  </w:t>
      </w:r>
      <w:r>
        <w:rPr/>
        <w:t>, conforme a lo siguiente:</w:t>
      </w:r>
    </w:p>
    <w:p>
      <w:pPr>
        <w:pStyle w:val="Heading1"/>
        <w:ind w:left="402"/>
        <w:rPr>
          <w:rFonts w:ascii="Arial"/>
        </w:rPr>
      </w:pPr>
      <w:r>
        <w:rPr>
          <w:rFonts w:ascii="Arial"/>
          <w:spacing w:val="-2"/>
        </w:rPr>
        <w:t>REQUISITOS.</w:t>
      </w:r>
    </w:p>
    <w:p>
      <w:pPr>
        <w:pStyle w:val="BodyText"/>
        <w:ind w:left="402" w:right="0" w:firstLine="0"/>
        <w:jc w:val="left"/>
      </w:pPr>
      <w:r>
        <w:rPr/>
        <w:t>Para participar en la presente convocatoria, los planteles deberán cubrir los siguientes </w:t>
      </w:r>
      <w:r>
        <w:rPr>
          <w:spacing w:val="-2"/>
        </w:rPr>
        <w:t>requisitos:</w:t>
      </w:r>
    </w:p>
    <w:p>
      <w:pPr>
        <w:pStyle w:val="ListParagraph"/>
        <w:numPr>
          <w:ilvl w:val="0"/>
          <w:numId w:val="20"/>
        </w:numPr>
        <w:tabs>
          <w:tab w:pos="602" w:val="left" w:leader="none"/>
        </w:tabs>
        <w:spacing w:line="240" w:lineRule="auto" w:before="108" w:after="0"/>
        <w:ind w:left="602" w:right="0" w:hanging="200"/>
        <w:jc w:val="left"/>
        <w:rPr>
          <w:sz w:val="18"/>
        </w:rPr>
      </w:pPr>
      <w:r>
        <w:rPr>
          <w:sz w:val="18"/>
        </w:rPr>
        <w:t>Ser planteles públicos de Educación Media </w:t>
      </w:r>
      <w:r>
        <w:rPr>
          <w:spacing w:val="-2"/>
          <w:sz w:val="18"/>
        </w:rPr>
        <w:t>Superior.</w:t>
      </w:r>
    </w:p>
    <w:p>
      <w:pPr>
        <w:pStyle w:val="ListParagraph"/>
        <w:numPr>
          <w:ilvl w:val="0"/>
          <w:numId w:val="20"/>
        </w:numPr>
        <w:tabs>
          <w:tab w:pos="612" w:val="left" w:leader="none"/>
        </w:tabs>
        <w:spacing w:line="242" w:lineRule="auto" w:before="108" w:after="0"/>
        <w:ind w:left="114" w:right="117" w:firstLine="287"/>
        <w:jc w:val="both"/>
        <w:rPr>
          <w:sz w:val="18"/>
        </w:rPr>
      </w:pPr>
      <w:r>
        <w:rPr>
          <w:sz w:val="18"/>
        </w:rPr>
        <w:t>Tener matrícula escolar de estudiantes con discapacidad la cual será acreditada mediante el Certificado de </w:t>
      </w:r>
      <w:r>
        <w:rPr>
          <w:sz w:val="18"/>
        </w:rPr>
        <w:t>Discapacidad, registrada en la estadística educativa.</w:t>
      </w:r>
    </w:p>
    <w:p>
      <w:pPr>
        <w:pStyle w:val="ListParagraph"/>
        <w:numPr>
          <w:ilvl w:val="0"/>
          <w:numId w:val="20"/>
        </w:numPr>
        <w:tabs>
          <w:tab w:pos="604" w:val="left" w:leader="none"/>
        </w:tabs>
        <w:spacing w:line="242" w:lineRule="auto" w:before="92" w:after="0"/>
        <w:ind w:left="114" w:right="118" w:firstLine="287"/>
        <w:jc w:val="both"/>
        <w:rPr>
          <w:sz w:val="18"/>
        </w:rPr>
      </w:pPr>
      <w:r>
        <w:rPr>
          <w:sz w:val="18"/>
        </w:rPr>
        <w:t>Registrar su Proyecto para el</w:t>
      </w:r>
      <w:r>
        <w:rPr>
          <w:spacing w:val="-9"/>
          <w:sz w:val="18"/>
        </w:rPr>
        <w:t> </w:t>
      </w:r>
      <w:r>
        <w:rPr>
          <w:sz w:val="18"/>
        </w:rPr>
        <w:t>Avance en la</w:t>
      </w:r>
      <w:r>
        <w:rPr>
          <w:spacing w:val="-9"/>
          <w:sz w:val="18"/>
        </w:rPr>
        <w:t> </w:t>
      </w:r>
      <w:r>
        <w:rPr>
          <w:sz w:val="18"/>
        </w:rPr>
        <w:t>Atención de la Educación Media Superior para Estudiantes con Discapacidad en el Sistema del PAPPEMS, ubicado en la página: </w:t>
      </w:r>
      <w:hyperlink r:id="rId7">
        <w:r>
          <w:rPr>
            <w:sz w:val="18"/>
          </w:rPr>
          <w:t>http://www.pappems.sems.gob.mx</w:t>
        </w:r>
      </w:hyperlink>
    </w:p>
    <w:p>
      <w:pPr>
        <w:pStyle w:val="Heading1"/>
        <w:spacing w:before="107"/>
        <w:ind w:left="402"/>
        <w:rPr>
          <w:rFonts w:ascii="Arial" w:hAnsi="Arial"/>
        </w:rPr>
      </w:pPr>
      <w:r>
        <w:rPr>
          <w:rFonts w:ascii="Arial" w:hAnsi="Arial"/>
        </w:rPr>
        <w:t>BASES DE </w:t>
      </w:r>
      <w:r>
        <w:rPr>
          <w:rFonts w:ascii="Arial" w:hAnsi="Arial"/>
          <w:spacing w:val="-2"/>
        </w:rPr>
        <w:t>PARTICIPACIÓN.</w:t>
      </w:r>
    </w:p>
    <w:p>
      <w:pPr>
        <w:pStyle w:val="ListParagraph"/>
        <w:numPr>
          <w:ilvl w:val="1"/>
          <w:numId w:val="20"/>
        </w:numPr>
        <w:tabs>
          <w:tab w:pos="647" w:val="left" w:leader="none"/>
        </w:tabs>
        <w:spacing w:line="252" w:lineRule="auto" w:before="108" w:after="0"/>
        <w:ind w:left="114" w:right="117" w:firstLine="287"/>
        <w:jc w:val="both"/>
        <w:rPr>
          <w:sz w:val="18"/>
        </w:rPr>
      </w:pPr>
      <w:r>
        <w:rPr/>
        <mc:AlternateContent>
          <mc:Choice Requires="wps">
            <w:drawing>
              <wp:anchor distT="0" distB="0" distL="0" distR="0" allowOverlap="1" layoutInCell="1" locked="0" behindDoc="0" simplePos="0" relativeHeight="15729664">
                <wp:simplePos x="0" y="0"/>
                <wp:positionH relativeFrom="page">
                  <wp:posOffset>6280546</wp:posOffset>
                </wp:positionH>
                <wp:positionV relativeFrom="paragraph">
                  <wp:posOffset>461450</wp:posOffset>
                </wp:positionV>
                <wp:extent cx="32384"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2384" cy="9525"/>
                        </a:xfrm>
                        <a:custGeom>
                          <a:avLst/>
                          <a:gdLst/>
                          <a:ahLst/>
                          <a:cxnLst/>
                          <a:rect l="l" t="t" r="r" b="b"/>
                          <a:pathLst>
                            <a:path w="32384" h="9525">
                              <a:moveTo>
                                <a:pt x="31849" y="9524"/>
                              </a:moveTo>
                              <a:lnTo>
                                <a:pt x="0" y="9524"/>
                              </a:lnTo>
                              <a:lnTo>
                                <a:pt x="0" y="0"/>
                              </a:lnTo>
                              <a:lnTo>
                                <a:pt x="31849" y="0"/>
                              </a:lnTo>
                              <a:lnTo>
                                <a:pt x="318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4.531219pt;margin-top:36.33469pt;width:2.507812pt;height:.75pt;mso-position-horizontal-relative:page;mso-position-vertical-relative:paragraph;z-index:15729664" id="docshape8" filled="true" fillcolor="#000000" stroked="false">
                <v:fill type="solid"/>
                <w10:wrap type="none"/>
              </v:rect>
            </w:pict>
          </mc:Fallback>
        </mc:AlternateContent>
      </w:r>
      <w:r>
        <w:rPr>
          <w:sz w:val="18"/>
        </w:rPr>
        <w:t>El Proyecto para el Avance en la Atención de la Educación Media Superior para Estudiantes con Discapacidad debe ajustarse a lo que se establece en las Reglas de Operación vigentes (RO) del Programa Atención de Planteles Públicos de Educación Media Superior con estudiantes con discapacidad, publicadas en el Diario Oficial de la Federación el</w:t>
      </w:r>
      <w:r>
        <w:rPr>
          <w:spacing w:val="80"/>
          <w:sz w:val="18"/>
        </w:rPr>
        <w:t>   </w:t>
      </w:r>
      <w:r>
        <w:rPr>
          <w:sz w:val="18"/>
        </w:rPr>
        <w:t>.</w:t>
      </w:r>
    </w:p>
    <w:p>
      <w:pPr>
        <w:pStyle w:val="ListParagraph"/>
        <w:numPr>
          <w:ilvl w:val="1"/>
          <w:numId w:val="20"/>
        </w:numPr>
        <w:tabs>
          <w:tab w:pos="614" w:val="left" w:leader="none"/>
        </w:tabs>
        <w:spacing w:line="242" w:lineRule="auto" w:before="83" w:after="0"/>
        <w:ind w:left="114" w:right="118" w:firstLine="287"/>
        <w:jc w:val="both"/>
        <w:rPr>
          <w:sz w:val="18"/>
        </w:rPr>
      </w:pPr>
      <w:r>
        <w:rPr>
          <w:sz w:val="18"/>
        </w:rPr>
        <w:t>La propuesta deberá ser incluyente, justificando la solicitud en términos de la matrícula con discapacidad de acuerdo con la estadística educativa o que se acredite mediante Certificado de Discapacidad, que se requiere atender.</w:t>
      </w:r>
    </w:p>
    <w:p>
      <w:pPr>
        <w:pStyle w:val="ListParagraph"/>
        <w:numPr>
          <w:ilvl w:val="1"/>
          <w:numId w:val="20"/>
        </w:numPr>
        <w:tabs>
          <w:tab w:pos="603" w:val="left" w:leader="none"/>
        </w:tabs>
        <w:spacing w:line="242" w:lineRule="auto" w:before="106" w:after="0"/>
        <w:ind w:left="114" w:right="118" w:firstLine="287"/>
        <w:jc w:val="both"/>
        <w:rPr>
          <w:sz w:val="18"/>
        </w:rPr>
      </w:pPr>
      <w:r>
        <w:rPr>
          <w:sz w:val="18"/>
        </w:rPr>
        <w:t>La propuesta deberá precisar la situación, necesidades y requerimientos para la atención de las y los estudiantes con </w:t>
      </w:r>
      <w:r>
        <w:rPr>
          <w:sz w:val="18"/>
        </w:rPr>
        <w:t>algún tipo de discapacidad o discapacidades múltiples, identificando las necesidades diferenciadas de los mismos, conforme a lo solicitado en el numeral 3.3.1. "Requisitos" de las RO.</w:t>
      </w:r>
    </w:p>
    <w:p>
      <w:pPr>
        <w:pStyle w:val="ListParagraph"/>
        <w:numPr>
          <w:ilvl w:val="1"/>
          <w:numId w:val="20"/>
        </w:numPr>
        <w:tabs>
          <w:tab w:pos="621" w:val="left" w:leader="none"/>
        </w:tabs>
        <w:spacing w:line="242" w:lineRule="auto" w:before="108" w:after="0"/>
        <w:ind w:left="114" w:right="118" w:firstLine="287"/>
        <w:jc w:val="both"/>
        <w:rPr>
          <w:sz w:val="18"/>
        </w:rPr>
      </w:pPr>
      <w:r>
        <w:rPr>
          <w:sz w:val="18"/>
        </w:rPr>
        <w:t>La directora, director o responsable del plantel aspirante deberá registrarse, capturar la información y completar el </w:t>
      </w:r>
      <w:r>
        <w:rPr>
          <w:sz w:val="18"/>
        </w:rPr>
        <w:t>registro de los formatos del Proyecto para el Avance en la Atención de la Educación Media Superior para Estudiantes con Discapacidad referido en las RO vigentes del PAPPEMS, a través del Sistema del PAPPEMS, ubicado en la página: </w:t>
      </w:r>
      <w:hyperlink r:id="rId7">
        <w:r>
          <w:rPr>
            <w:sz w:val="18"/>
          </w:rPr>
          <w:t>http://www.pappems.sems.gob.mx</w:t>
        </w:r>
      </w:hyperlink>
      <w:r>
        <w:rPr>
          <w:sz w:val="18"/>
        </w:rPr>
        <w:t> y de cumplir con los requisitos se deberá enviar por la misma vía, con la siguiente </w:t>
      </w:r>
      <w:r>
        <w:rPr>
          <w:spacing w:val="-2"/>
          <w:sz w:val="18"/>
        </w:rPr>
        <w:t>documentación:</w:t>
      </w:r>
    </w:p>
    <w:p>
      <w:pPr>
        <w:pStyle w:val="ListParagraph"/>
        <w:numPr>
          <w:ilvl w:val="2"/>
          <w:numId w:val="20"/>
        </w:numPr>
        <w:tabs>
          <w:tab w:pos="806" w:val="left" w:leader="none"/>
          <w:tab w:pos="834" w:val="left" w:leader="none"/>
        </w:tabs>
        <w:spacing w:line="242" w:lineRule="auto" w:before="125" w:after="0"/>
        <w:ind w:left="834" w:right="117" w:hanging="432"/>
        <w:jc w:val="both"/>
        <w:rPr>
          <w:sz w:val="18"/>
        </w:rPr>
      </w:pPr>
      <w:r>
        <w:rPr>
          <w:color w:val="2E2E2E"/>
          <w:sz w:val="18"/>
        </w:rPr>
        <w:t>Oficio de la directora, director o responsable del plantel, en el que manifieste el interés de que su plantel sea beneficiario del PAPPEMS, avalando la veracidad de la información capturada en la página electrónica: </w:t>
      </w:r>
      <w:hyperlink r:id="rId7">
        <w:r>
          <w:rPr>
            <w:color w:val="2E2E2E"/>
            <w:spacing w:val="-2"/>
            <w:sz w:val="18"/>
          </w:rPr>
          <w:t>http://www.pappems.sems.gob.mx</w:t>
        </w:r>
      </w:hyperlink>
    </w:p>
    <w:p>
      <w:pPr>
        <w:pStyle w:val="ListParagraph"/>
        <w:numPr>
          <w:ilvl w:val="2"/>
          <w:numId w:val="20"/>
        </w:numPr>
        <w:tabs>
          <w:tab w:pos="834" w:val="left" w:leader="none"/>
          <w:tab w:pos="1390" w:val="left" w:leader="none"/>
        </w:tabs>
        <w:spacing w:line="242" w:lineRule="auto" w:before="108" w:after="0"/>
        <w:ind w:left="834" w:right="118" w:hanging="432"/>
        <w:jc w:val="both"/>
        <w:rPr>
          <w:sz w:val="18"/>
        </w:rPr>
      </w:pPr>
      <w:r>
        <w:rPr>
          <w:color w:val="2E2E2E"/>
          <w:sz w:val="18"/>
        </w:rPr>
        <w:tab/>
        <w:t>Un ejemplar debidamente requisitado y firmado de los formatos generados en el sitio electrónico </w:t>
      </w:r>
      <w:hyperlink r:id="rId7">
        <w:r>
          <w:rPr>
            <w:color w:val="2E2E2E"/>
            <w:sz w:val="18"/>
          </w:rPr>
          <w:t>http://www.pappems.sems.gob.mx,</w:t>
        </w:r>
      </w:hyperlink>
      <w:r>
        <w:rPr>
          <w:color w:val="2E2E2E"/>
          <w:sz w:val="18"/>
        </w:rPr>
        <w:t> con firma de la directora, director o responsable del plantel.</w:t>
      </w:r>
    </w:p>
    <w:p>
      <w:pPr>
        <w:spacing w:after="0" w:line="242" w:lineRule="auto"/>
        <w:jc w:val="both"/>
        <w:rPr>
          <w:sz w:val="18"/>
        </w:rPr>
        <w:sectPr>
          <w:pgSz w:w="12240" w:h="15840"/>
          <w:pgMar w:header="269" w:footer="260" w:top="460" w:bottom="440" w:left="860" w:right="720"/>
        </w:sectPr>
      </w:pPr>
    </w:p>
    <w:p>
      <w:pPr>
        <w:pStyle w:val="ListParagraph"/>
        <w:numPr>
          <w:ilvl w:val="1"/>
          <w:numId w:val="20"/>
        </w:numPr>
        <w:tabs>
          <w:tab w:pos="785" w:val="left" w:leader="none"/>
        </w:tabs>
        <w:spacing w:line="240" w:lineRule="auto" w:before="97" w:after="0"/>
        <w:ind w:left="785" w:right="0" w:hanging="382"/>
        <w:jc w:val="left"/>
        <w:rPr>
          <w:color w:val="2E2E2E"/>
          <w:sz w:val="18"/>
        </w:rPr>
      </w:pPr>
      <w:r>
        <w:rPr>
          <w:color w:val="2E2E2E"/>
          <w:sz w:val="18"/>
        </w:rPr>
        <w:t>Los planteles públicos deberán requisitar el formato denominado "Cédula Inventario Planteles </w:t>
      </w:r>
      <w:r>
        <w:rPr>
          <w:color w:val="2E2E2E"/>
          <w:spacing w:val="-2"/>
          <w:sz w:val="18"/>
        </w:rPr>
        <w:t>Públicos".</w:t>
      </w:r>
    </w:p>
    <w:p>
      <w:pPr>
        <w:pStyle w:val="ListParagraph"/>
        <w:numPr>
          <w:ilvl w:val="1"/>
          <w:numId w:val="20"/>
        </w:numPr>
        <w:tabs>
          <w:tab w:pos="791" w:val="left" w:leader="none"/>
          <w:tab w:pos="834" w:val="left" w:leader="none"/>
        </w:tabs>
        <w:spacing w:line="242" w:lineRule="auto" w:before="123" w:after="0"/>
        <w:ind w:left="834" w:right="118" w:hanging="432"/>
        <w:jc w:val="both"/>
        <w:rPr>
          <w:color w:val="2E2E2E"/>
          <w:sz w:val="18"/>
        </w:rPr>
      </w:pPr>
      <w:r>
        <w:rPr>
          <w:color w:val="2E2E2E"/>
          <w:sz w:val="18"/>
        </w:rPr>
        <w:t>Los</w:t>
      </w:r>
      <w:r>
        <w:rPr>
          <w:color w:val="2E2E2E"/>
          <w:spacing w:val="-3"/>
          <w:sz w:val="18"/>
        </w:rPr>
        <w:t> </w:t>
      </w:r>
      <w:r>
        <w:rPr>
          <w:color w:val="2E2E2E"/>
          <w:sz w:val="18"/>
        </w:rPr>
        <w:t>Proyectos</w:t>
      </w:r>
      <w:r>
        <w:rPr>
          <w:color w:val="2E2E2E"/>
          <w:spacing w:val="-3"/>
          <w:sz w:val="18"/>
        </w:rPr>
        <w:t> </w:t>
      </w:r>
      <w:r>
        <w:rPr>
          <w:color w:val="2E2E2E"/>
          <w:sz w:val="18"/>
        </w:rPr>
        <w:t>para</w:t>
      </w:r>
      <w:r>
        <w:rPr>
          <w:color w:val="2E2E2E"/>
          <w:spacing w:val="-3"/>
          <w:sz w:val="18"/>
        </w:rPr>
        <w:t> </w:t>
      </w:r>
      <w:r>
        <w:rPr>
          <w:color w:val="2E2E2E"/>
          <w:sz w:val="18"/>
        </w:rPr>
        <w:t>el</w:t>
      </w:r>
      <w:r>
        <w:rPr>
          <w:color w:val="2E2E2E"/>
          <w:spacing w:val="-12"/>
          <w:sz w:val="18"/>
        </w:rPr>
        <w:t> </w:t>
      </w:r>
      <w:r>
        <w:rPr>
          <w:color w:val="2E2E2E"/>
          <w:sz w:val="18"/>
        </w:rPr>
        <w:t>Avance</w:t>
      </w:r>
      <w:r>
        <w:rPr>
          <w:color w:val="2E2E2E"/>
          <w:spacing w:val="-3"/>
          <w:sz w:val="18"/>
        </w:rPr>
        <w:t> </w:t>
      </w:r>
      <w:r>
        <w:rPr>
          <w:color w:val="2E2E2E"/>
          <w:sz w:val="18"/>
        </w:rPr>
        <w:t>en</w:t>
      </w:r>
      <w:r>
        <w:rPr>
          <w:color w:val="2E2E2E"/>
          <w:spacing w:val="-3"/>
          <w:sz w:val="18"/>
        </w:rPr>
        <w:t> </w:t>
      </w:r>
      <w:r>
        <w:rPr>
          <w:color w:val="2E2E2E"/>
          <w:sz w:val="18"/>
        </w:rPr>
        <w:t>la</w:t>
      </w:r>
      <w:r>
        <w:rPr>
          <w:color w:val="2E2E2E"/>
          <w:spacing w:val="-12"/>
          <w:sz w:val="18"/>
        </w:rPr>
        <w:t> </w:t>
      </w:r>
      <w:r>
        <w:rPr>
          <w:color w:val="2E2E2E"/>
          <w:sz w:val="18"/>
        </w:rPr>
        <w:t>Atención</w:t>
      </w:r>
      <w:r>
        <w:rPr>
          <w:color w:val="2E2E2E"/>
          <w:spacing w:val="-3"/>
          <w:sz w:val="18"/>
        </w:rPr>
        <w:t> </w:t>
      </w:r>
      <w:r>
        <w:rPr>
          <w:color w:val="2E2E2E"/>
          <w:sz w:val="18"/>
        </w:rPr>
        <w:t>de</w:t>
      </w:r>
      <w:r>
        <w:rPr>
          <w:color w:val="2E2E2E"/>
          <w:spacing w:val="-3"/>
          <w:sz w:val="18"/>
        </w:rPr>
        <w:t> </w:t>
      </w:r>
      <w:r>
        <w:rPr>
          <w:color w:val="2E2E2E"/>
          <w:sz w:val="18"/>
        </w:rPr>
        <w:t>la</w:t>
      </w:r>
      <w:r>
        <w:rPr>
          <w:color w:val="2E2E2E"/>
          <w:spacing w:val="-3"/>
          <w:sz w:val="18"/>
        </w:rPr>
        <w:t> </w:t>
      </w:r>
      <w:r>
        <w:rPr>
          <w:color w:val="2E2E2E"/>
          <w:sz w:val="18"/>
        </w:rPr>
        <w:t>Educación</w:t>
      </w:r>
      <w:r>
        <w:rPr>
          <w:color w:val="2E2E2E"/>
          <w:spacing w:val="-3"/>
          <w:sz w:val="18"/>
        </w:rPr>
        <w:t> </w:t>
      </w:r>
      <w:r>
        <w:rPr>
          <w:color w:val="2E2E2E"/>
          <w:sz w:val="18"/>
        </w:rPr>
        <w:t>Media</w:t>
      </w:r>
      <w:r>
        <w:rPr>
          <w:color w:val="2E2E2E"/>
          <w:spacing w:val="-3"/>
          <w:sz w:val="18"/>
        </w:rPr>
        <w:t> </w:t>
      </w:r>
      <w:r>
        <w:rPr>
          <w:color w:val="2E2E2E"/>
          <w:sz w:val="18"/>
        </w:rPr>
        <w:t>Superior</w:t>
      </w:r>
      <w:r>
        <w:rPr>
          <w:color w:val="2E2E2E"/>
          <w:spacing w:val="-3"/>
          <w:sz w:val="18"/>
        </w:rPr>
        <w:t> </w:t>
      </w:r>
      <w:r>
        <w:rPr>
          <w:color w:val="2E2E2E"/>
          <w:sz w:val="18"/>
        </w:rPr>
        <w:t>para</w:t>
      </w:r>
      <w:r>
        <w:rPr>
          <w:color w:val="2E2E2E"/>
          <w:spacing w:val="-3"/>
          <w:sz w:val="18"/>
        </w:rPr>
        <w:t> </w:t>
      </w:r>
      <w:r>
        <w:rPr>
          <w:color w:val="2E2E2E"/>
          <w:sz w:val="18"/>
        </w:rPr>
        <w:t>Estudiantes</w:t>
      </w:r>
      <w:r>
        <w:rPr>
          <w:color w:val="2E2E2E"/>
          <w:spacing w:val="-3"/>
          <w:sz w:val="18"/>
        </w:rPr>
        <w:t> </w:t>
      </w:r>
      <w:r>
        <w:rPr>
          <w:color w:val="2E2E2E"/>
          <w:sz w:val="18"/>
        </w:rPr>
        <w:t>con</w:t>
      </w:r>
      <w:r>
        <w:rPr>
          <w:color w:val="2E2E2E"/>
          <w:spacing w:val="-3"/>
          <w:sz w:val="18"/>
        </w:rPr>
        <w:t> </w:t>
      </w:r>
      <w:r>
        <w:rPr>
          <w:color w:val="2E2E2E"/>
          <w:sz w:val="18"/>
        </w:rPr>
        <w:t>Discapacidad</w:t>
      </w:r>
      <w:r>
        <w:rPr>
          <w:color w:val="2E2E2E"/>
          <w:spacing w:val="-3"/>
          <w:sz w:val="18"/>
        </w:rPr>
        <w:t> </w:t>
      </w:r>
      <w:r>
        <w:rPr>
          <w:color w:val="2E2E2E"/>
          <w:sz w:val="18"/>
        </w:rPr>
        <w:t>deberán contener como mínimo los siguientes elementos:</w:t>
      </w:r>
    </w:p>
    <w:p>
      <w:pPr>
        <w:pStyle w:val="ListParagraph"/>
        <w:numPr>
          <w:ilvl w:val="2"/>
          <w:numId w:val="20"/>
        </w:numPr>
        <w:tabs>
          <w:tab w:pos="815" w:val="left" w:leader="none"/>
          <w:tab w:pos="834" w:val="left" w:leader="none"/>
        </w:tabs>
        <w:spacing w:line="242" w:lineRule="auto" w:before="107" w:after="0"/>
        <w:ind w:left="834" w:right="118" w:hanging="432"/>
        <w:jc w:val="both"/>
        <w:rPr>
          <w:sz w:val="18"/>
        </w:rPr>
      </w:pPr>
      <w:r>
        <w:rPr>
          <w:color w:val="2E2E2E"/>
          <w:sz w:val="18"/>
        </w:rPr>
        <w:t>Un diagnóstico con el fin de precisar la población estudiantil con discapacidad y evidencias que muestre el tamaño de </w:t>
      </w:r>
      <w:r>
        <w:rPr>
          <w:color w:val="2E2E2E"/>
          <w:sz w:val="18"/>
        </w:rPr>
        <w:t>la población, su adscripción y condición, desagregándose por: nombre, sexo, CURP, año de ingreso, programa educativo, módulos</w:t>
      </w:r>
      <w:r>
        <w:rPr>
          <w:color w:val="2E2E2E"/>
          <w:spacing w:val="-1"/>
          <w:sz w:val="18"/>
        </w:rPr>
        <w:t> </w:t>
      </w:r>
      <w:r>
        <w:rPr>
          <w:color w:val="2E2E2E"/>
          <w:sz w:val="18"/>
        </w:rPr>
        <w:t>o</w:t>
      </w:r>
      <w:r>
        <w:rPr>
          <w:color w:val="2E2E2E"/>
          <w:spacing w:val="-1"/>
          <w:sz w:val="18"/>
        </w:rPr>
        <w:t> </w:t>
      </w:r>
      <w:r>
        <w:rPr>
          <w:color w:val="2E2E2E"/>
          <w:sz w:val="18"/>
        </w:rPr>
        <w:t>semestres</w:t>
      </w:r>
      <w:r>
        <w:rPr>
          <w:color w:val="2E2E2E"/>
          <w:spacing w:val="-1"/>
          <w:sz w:val="18"/>
        </w:rPr>
        <w:t> </w:t>
      </w:r>
      <w:r>
        <w:rPr>
          <w:color w:val="2E2E2E"/>
          <w:sz w:val="18"/>
        </w:rPr>
        <w:t>cursados</w:t>
      </w:r>
      <w:r>
        <w:rPr>
          <w:color w:val="2E2E2E"/>
          <w:spacing w:val="-1"/>
          <w:sz w:val="18"/>
        </w:rPr>
        <w:t> </w:t>
      </w:r>
      <w:r>
        <w:rPr>
          <w:color w:val="2E2E2E"/>
          <w:sz w:val="18"/>
        </w:rPr>
        <w:t>y</w:t>
      </w:r>
      <w:r>
        <w:rPr>
          <w:color w:val="2E2E2E"/>
          <w:spacing w:val="-1"/>
          <w:sz w:val="18"/>
        </w:rPr>
        <w:t> </w:t>
      </w:r>
      <w:r>
        <w:rPr>
          <w:color w:val="2E2E2E"/>
          <w:sz w:val="18"/>
        </w:rPr>
        <w:t>su</w:t>
      </w:r>
      <w:r>
        <w:rPr>
          <w:color w:val="2E2E2E"/>
          <w:spacing w:val="-1"/>
          <w:sz w:val="18"/>
        </w:rPr>
        <w:t> </w:t>
      </w:r>
      <w:r>
        <w:rPr>
          <w:color w:val="2E2E2E"/>
          <w:sz w:val="18"/>
        </w:rPr>
        <w:t>condición</w:t>
      </w:r>
      <w:r>
        <w:rPr>
          <w:color w:val="2E2E2E"/>
          <w:spacing w:val="-1"/>
          <w:sz w:val="18"/>
        </w:rPr>
        <w:t> </w:t>
      </w:r>
      <w:r>
        <w:rPr>
          <w:color w:val="2E2E2E"/>
          <w:sz w:val="18"/>
        </w:rPr>
        <w:t>de</w:t>
      </w:r>
      <w:r>
        <w:rPr>
          <w:color w:val="2E2E2E"/>
          <w:spacing w:val="-1"/>
          <w:sz w:val="18"/>
        </w:rPr>
        <w:t> </w:t>
      </w:r>
      <w:r>
        <w:rPr>
          <w:color w:val="2E2E2E"/>
          <w:sz w:val="18"/>
        </w:rPr>
        <w:t>discapacidad.</w:t>
      </w:r>
      <w:r>
        <w:rPr>
          <w:color w:val="2E2E2E"/>
          <w:spacing w:val="-1"/>
          <w:sz w:val="18"/>
        </w:rPr>
        <w:t> </w:t>
      </w:r>
      <w:r>
        <w:rPr>
          <w:color w:val="2E2E2E"/>
          <w:sz w:val="18"/>
        </w:rPr>
        <w:t>Detallar</w:t>
      </w:r>
      <w:r>
        <w:rPr>
          <w:color w:val="2E2E2E"/>
          <w:spacing w:val="-1"/>
          <w:sz w:val="18"/>
        </w:rPr>
        <w:t> </w:t>
      </w:r>
      <w:r>
        <w:rPr>
          <w:color w:val="2E2E2E"/>
          <w:sz w:val="18"/>
        </w:rPr>
        <w:t>los</w:t>
      </w:r>
      <w:r>
        <w:rPr>
          <w:color w:val="2E2E2E"/>
          <w:spacing w:val="-1"/>
          <w:sz w:val="18"/>
        </w:rPr>
        <w:t> </w:t>
      </w:r>
      <w:r>
        <w:rPr>
          <w:color w:val="2E2E2E"/>
          <w:sz w:val="18"/>
        </w:rPr>
        <w:t>objetivos</w:t>
      </w:r>
      <w:r>
        <w:rPr>
          <w:color w:val="2E2E2E"/>
          <w:spacing w:val="-1"/>
          <w:sz w:val="18"/>
        </w:rPr>
        <w:t> </w:t>
      </w:r>
      <w:r>
        <w:rPr>
          <w:color w:val="2E2E2E"/>
          <w:sz w:val="18"/>
        </w:rPr>
        <w:t>de</w:t>
      </w:r>
      <w:r>
        <w:rPr>
          <w:color w:val="2E2E2E"/>
          <w:spacing w:val="-1"/>
          <w:sz w:val="18"/>
        </w:rPr>
        <w:t> </w:t>
      </w:r>
      <w:r>
        <w:rPr>
          <w:color w:val="2E2E2E"/>
          <w:sz w:val="18"/>
        </w:rPr>
        <w:t>la</w:t>
      </w:r>
      <w:r>
        <w:rPr>
          <w:color w:val="2E2E2E"/>
          <w:spacing w:val="-1"/>
          <w:sz w:val="18"/>
        </w:rPr>
        <w:t> </w:t>
      </w:r>
      <w:r>
        <w:rPr>
          <w:color w:val="2E2E2E"/>
          <w:sz w:val="18"/>
        </w:rPr>
        <w:t>propuesta,</w:t>
      </w:r>
      <w:r>
        <w:rPr>
          <w:color w:val="2E2E2E"/>
          <w:spacing w:val="-1"/>
          <w:sz w:val="18"/>
        </w:rPr>
        <w:t> </w:t>
      </w:r>
      <w:r>
        <w:rPr>
          <w:color w:val="2E2E2E"/>
          <w:sz w:val="18"/>
        </w:rPr>
        <w:t>así</w:t>
      </w:r>
      <w:r>
        <w:rPr>
          <w:color w:val="2E2E2E"/>
          <w:spacing w:val="-1"/>
          <w:sz w:val="18"/>
        </w:rPr>
        <w:t> </w:t>
      </w:r>
      <w:r>
        <w:rPr>
          <w:color w:val="2E2E2E"/>
          <w:sz w:val="18"/>
        </w:rPr>
        <w:t>como</w:t>
      </w:r>
      <w:r>
        <w:rPr>
          <w:color w:val="2E2E2E"/>
          <w:spacing w:val="-1"/>
          <w:sz w:val="18"/>
        </w:rPr>
        <w:t> </w:t>
      </w:r>
      <w:r>
        <w:rPr>
          <w:color w:val="2E2E2E"/>
          <w:sz w:val="18"/>
        </w:rPr>
        <w:t>indicar</w:t>
      </w:r>
      <w:r>
        <w:rPr>
          <w:color w:val="2E2E2E"/>
          <w:spacing w:val="-1"/>
          <w:sz w:val="18"/>
        </w:rPr>
        <w:t> </w:t>
      </w:r>
      <w:r>
        <w:rPr>
          <w:color w:val="2E2E2E"/>
          <w:sz w:val="18"/>
        </w:rPr>
        <w:t>el destino de los recursos solicitados y la cantidad de estudiantes con discapacidad beneficiados.</w:t>
      </w:r>
    </w:p>
    <w:p>
      <w:pPr>
        <w:pStyle w:val="ListParagraph"/>
        <w:numPr>
          <w:ilvl w:val="2"/>
          <w:numId w:val="20"/>
        </w:numPr>
        <w:tabs>
          <w:tab w:pos="834" w:val="left" w:leader="none"/>
          <w:tab w:pos="873" w:val="left" w:leader="none"/>
        </w:tabs>
        <w:spacing w:line="242" w:lineRule="auto" w:before="124" w:after="0"/>
        <w:ind w:left="834" w:right="118" w:hanging="432"/>
        <w:jc w:val="both"/>
        <w:rPr>
          <w:sz w:val="18"/>
        </w:rPr>
      </w:pPr>
      <w:r>
        <w:rPr>
          <w:color w:val="2E2E2E"/>
          <w:sz w:val="18"/>
        </w:rPr>
        <w:tab/>
        <w:t>Además, se deberá señalar si los recursos solicitados serán complementados con recursos de otros fondos federales o estatales, y que éstos no se contrapongan, afecten o generen duplicidad con otros programas y acciones del Gobierno </w:t>
      </w:r>
      <w:r>
        <w:rPr>
          <w:color w:val="2E2E2E"/>
          <w:spacing w:val="-2"/>
          <w:sz w:val="18"/>
        </w:rPr>
        <w:t>Federal.</w:t>
      </w:r>
    </w:p>
    <w:p>
      <w:pPr>
        <w:pStyle w:val="ListParagraph"/>
        <w:numPr>
          <w:ilvl w:val="2"/>
          <w:numId w:val="20"/>
        </w:numPr>
        <w:tabs>
          <w:tab w:pos="834" w:val="left" w:leader="none"/>
          <w:tab w:pos="1001" w:val="left" w:leader="none"/>
        </w:tabs>
        <w:spacing w:line="242" w:lineRule="auto" w:before="123" w:after="0"/>
        <w:ind w:left="834" w:right="117" w:hanging="432"/>
        <w:jc w:val="both"/>
        <w:rPr>
          <w:sz w:val="18"/>
        </w:rPr>
      </w:pPr>
      <w:r>
        <w:rPr>
          <w:color w:val="2E2E2E"/>
          <w:sz w:val="18"/>
        </w:rPr>
        <w:tab/>
        <w:t>En el proyecto se deberá establecer la información de cantidad y monto del recurso solicitado para los </w:t>
      </w:r>
      <w:r>
        <w:rPr>
          <w:color w:val="2E2E2E"/>
          <w:sz w:val="18"/>
        </w:rPr>
        <w:t>bienes, materiales, suministros y servicios que desean adquirir, bajo los principios de eficiencia, eficacia, economía,</w:t>
      </w:r>
      <w:r>
        <w:rPr>
          <w:color w:val="2E2E2E"/>
          <w:spacing w:val="40"/>
          <w:sz w:val="18"/>
        </w:rPr>
        <w:t> </w:t>
      </w:r>
      <w:r>
        <w:rPr>
          <w:color w:val="2E2E2E"/>
          <w:sz w:val="18"/>
        </w:rPr>
        <w:t>transparencia y honradez.</w:t>
      </w:r>
    </w:p>
    <w:p>
      <w:pPr>
        <w:pStyle w:val="ListParagraph"/>
        <w:numPr>
          <w:ilvl w:val="2"/>
          <w:numId w:val="20"/>
        </w:numPr>
        <w:tabs>
          <w:tab w:pos="784" w:val="left" w:leader="none"/>
          <w:tab w:pos="834" w:val="left" w:leader="none"/>
        </w:tabs>
        <w:spacing w:line="242" w:lineRule="auto" w:before="122" w:after="0"/>
        <w:ind w:left="834" w:right="118" w:hanging="432"/>
        <w:jc w:val="both"/>
        <w:rPr>
          <w:sz w:val="18"/>
        </w:rPr>
      </w:pPr>
      <w:r>
        <w:rPr>
          <w:color w:val="2E2E2E"/>
          <w:sz w:val="18"/>
        </w:rPr>
        <w:t>El monto máximo para ejercer por partida específica de gasto no podrá ser mayor a 300 UMAS, más el Impuesto al Valor Agregado (IVA). Este monto equivale a $ (PESOS). El valor de la Unidad de Medida y Actualización </w:t>
      </w:r>
      <w:r>
        <w:rPr>
          <w:color w:val="2E2E2E"/>
          <w:sz w:val="18"/>
        </w:rPr>
        <w:t>(UMA) correspondiente al ejercicio fiscal 2024 se encuentra publicado en </w:t>
      </w:r>
      <w:hyperlink r:id="rId15">
        <w:r>
          <w:rPr>
            <w:color w:val="2E2E2E"/>
            <w:sz w:val="18"/>
          </w:rPr>
          <w:t>https://www.inegi.org.mx/temas/uma/.</w:t>
        </w:r>
      </w:hyperlink>
      <w:r>
        <w:rPr>
          <w:color w:val="2E2E2E"/>
          <w:sz w:val="18"/>
        </w:rPr>
        <w:t> Adicional al proyecto generado en el sistema, puede complementar su justificación con gráficos, croquis, evidencia fotográfica, etc.</w:t>
      </w:r>
    </w:p>
    <w:p>
      <w:pPr>
        <w:pStyle w:val="BodyText"/>
        <w:spacing w:line="242" w:lineRule="auto" w:before="94"/>
      </w:pPr>
      <w:r>
        <w:rPr/>
        <w:t>En el Proyecto para el</w:t>
      </w:r>
      <w:r>
        <w:rPr>
          <w:spacing w:val="-10"/>
        </w:rPr>
        <w:t> </w:t>
      </w:r>
      <w:r>
        <w:rPr/>
        <w:t>Avance en la</w:t>
      </w:r>
      <w:r>
        <w:rPr>
          <w:spacing w:val="-10"/>
        </w:rPr>
        <w:t> </w:t>
      </w:r>
      <w:r>
        <w:rPr/>
        <w:t>Atención de la Educación Media Superior para Estudiantes con Discapacidad se precisará la situación y requerimientos al interior del plantel público para la atención de las/los estudiantes con discapacidad, identificando las necesidades y con ello lograr que el plantel se fortalezca al contar con las condiciones de infraestructura </w:t>
      </w:r>
      <w:r>
        <w:rPr/>
        <w:t>adaptada, equipamiento y acciones de fortalecimiento necesarios, en beneficio también de la comunidad educativa.</w:t>
      </w:r>
    </w:p>
    <w:p>
      <w:pPr>
        <w:pStyle w:val="BodyText"/>
        <w:spacing w:line="242" w:lineRule="auto" w:before="109"/>
      </w:pPr>
      <w:r>
        <w:rPr/>
        <w:t>Solo se considerarán los Proyectos para el Avance en la Atención de la Educación Media Superior para Estudiantes con Discapacidad generados y presentados a través del Sistema del PAPPEMS.</w:t>
      </w:r>
    </w:p>
    <w:p>
      <w:pPr>
        <w:pStyle w:val="Heading1"/>
        <w:spacing w:before="107"/>
        <w:ind w:left="402"/>
        <w:rPr>
          <w:rFonts w:ascii="Arial"/>
        </w:rPr>
      </w:pPr>
      <w:r>
        <w:rPr>
          <w:rFonts w:ascii="Arial"/>
          <w:spacing w:val="-2"/>
        </w:rPr>
        <w:t>VIGENCIA</w:t>
      </w:r>
    </w:p>
    <w:p>
      <w:pPr>
        <w:pStyle w:val="BodyText"/>
        <w:spacing w:line="242" w:lineRule="auto" w:before="93"/>
        <w:ind w:right="117"/>
      </w:pPr>
      <w:r>
        <w:rPr/>
        <w:t>Los Proyectos para el</w:t>
      </w:r>
      <w:r>
        <w:rPr>
          <w:spacing w:val="-7"/>
        </w:rPr>
        <w:t> </w:t>
      </w:r>
      <w:r>
        <w:rPr/>
        <w:t>Avance en la</w:t>
      </w:r>
      <w:r>
        <w:rPr>
          <w:spacing w:val="-7"/>
        </w:rPr>
        <w:t> </w:t>
      </w:r>
      <w:r>
        <w:rPr/>
        <w:t>Atención de la Educación Media Superior para Estudiantes con Discapacidad deberán </w:t>
      </w:r>
      <w:r>
        <w:rPr/>
        <w:t>ser desarrollados durante el ejercicio fiscal 2024.</w:t>
      </w:r>
    </w:p>
    <w:p>
      <w:pPr>
        <w:pStyle w:val="Heading1"/>
        <w:spacing w:before="107"/>
        <w:ind w:left="402"/>
        <w:rPr>
          <w:rFonts w:ascii="Arial"/>
        </w:rPr>
      </w:pPr>
      <w:r>
        <w:rPr>
          <w:rFonts w:ascii="Arial"/>
          <w:spacing w:val="-2"/>
        </w:rPr>
        <w:t>FINANCIAMIENTO</w:t>
      </w:r>
    </w:p>
    <w:p>
      <w:pPr>
        <w:pStyle w:val="ListParagraph"/>
        <w:numPr>
          <w:ilvl w:val="0"/>
          <w:numId w:val="21"/>
        </w:numPr>
        <w:tabs>
          <w:tab w:pos="762" w:val="left" w:leader="none"/>
          <w:tab w:pos="774" w:val="left" w:leader="none"/>
        </w:tabs>
        <w:spacing w:line="235" w:lineRule="auto" w:before="126" w:after="0"/>
        <w:ind w:left="762" w:right="118" w:hanging="360"/>
        <w:jc w:val="both"/>
        <w:rPr>
          <w:sz w:val="18"/>
        </w:rPr>
      </w:pPr>
      <w:r>
        <w:rPr/>
        <mc:AlternateContent>
          <mc:Choice Requires="wps">
            <w:drawing>
              <wp:anchor distT="0" distB="0" distL="0" distR="0" allowOverlap="1" layoutInCell="1" locked="0" behindDoc="1" simplePos="0" relativeHeight="486718976">
                <wp:simplePos x="0" y="0"/>
                <wp:positionH relativeFrom="page">
                  <wp:posOffset>3616820</wp:posOffset>
                </wp:positionH>
                <wp:positionV relativeFrom="paragraph">
                  <wp:posOffset>194882</wp:posOffset>
                </wp:positionV>
                <wp:extent cx="36830" cy="95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6830" cy="9525"/>
                        </a:xfrm>
                        <a:custGeom>
                          <a:avLst/>
                          <a:gdLst/>
                          <a:ahLst/>
                          <a:cxnLst/>
                          <a:rect l="l" t="t" r="r" b="b"/>
                          <a:pathLst>
                            <a:path w="36830" h="9525">
                              <a:moveTo>
                                <a:pt x="36611" y="9524"/>
                              </a:moveTo>
                              <a:lnTo>
                                <a:pt x="0" y="9524"/>
                              </a:lnTo>
                              <a:lnTo>
                                <a:pt x="0" y="0"/>
                              </a:lnTo>
                              <a:lnTo>
                                <a:pt x="36611" y="0"/>
                              </a:lnTo>
                              <a:lnTo>
                                <a:pt x="36611"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4.789032pt;margin-top:15.345077pt;width:2.882812pt;height:.75pt;mso-position-horizontal-relative:page;mso-position-vertical-relative:paragraph;z-index:-16597504" id="docshape9" filled="true" fillcolor="#000000" stroked="false">
                <v:fill type="solid"/>
                <w10:wrap type="none"/>
              </v:rect>
            </w:pict>
          </mc:Fallback>
        </mc:AlternateContent>
      </w:r>
      <w:r>
        <w:rPr>
          <w:color w:val="2E2E2E"/>
          <w:sz w:val="18"/>
        </w:rPr>
        <w:tab/>
      </w:r>
      <w:r>
        <w:rPr>
          <w:sz w:val="18"/>
        </w:rPr>
        <w:t>El monto máximo que se otorgará será de hasta $</w:t>
      </w:r>
      <w:r>
        <w:rPr>
          <w:spacing w:val="40"/>
          <w:sz w:val="18"/>
        </w:rPr>
        <w:t>  </w:t>
      </w:r>
      <w:r>
        <w:rPr>
          <w:sz w:val="18"/>
        </w:rPr>
        <w:t>por Proyecto para el</w:t>
      </w:r>
      <w:r>
        <w:rPr>
          <w:spacing w:val="-4"/>
          <w:sz w:val="18"/>
        </w:rPr>
        <w:t> </w:t>
      </w:r>
      <w:r>
        <w:rPr>
          <w:sz w:val="18"/>
        </w:rPr>
        <w:t>Avance en la</w:t>
      </w:r>
      <w:r>
        <w:rPr>
          <w:spacing w:val="-4"/>
          <w:sz w:val="18"/>
        </w:rPr>
        <w:t> </w:t>
      </w:r>
      <w:r>
        <w:rPr>
          <w:sz w:val="18"/>
        </w:rPr>
        <w:t>Atención de la Educación Media Superior para Estudiantes con Discapacidad</w:t>
      </w:r>
    </w:p>
    <w:p>
      <w:pPr>
        <w:pStyle w:val="ListParagraph"/>
        <w:numPr>
          <w:ilvl w:val="0"/>
          <w:numId w:val="21"/>
        </w:numPr>
        <w:tabs>
          <w:tab w:pos="762" w:val="left" w:leader="none"/>
          <w:tab w:pos="956" w:val="left" w:leader="none"/>
        </w:tabs>
        <w:spacing w:line="240" w:lineRule="auto" w:before="125" w:after="0"/>
        <w:ind w:left="762" w:right="118" w:hanging="360"/>
        <w:jc w:val="both"/>
        <w:rPr>
          <w:sz w:val="18"/>
        </w:rPr>
      </w:pPr>
      <w:r>
        <w:rPr>
          <w:color w:val="2E2E2E"/>
          <w:sz w:val="18"/>
        </w:rPr>
        <w:tab/>
      </w:r>
      <w:r>
        <w:rPr>
          <w:sz w:val="18"/>
        </w:rPr>
        <w:t>El número de Proyectos para el Avance en la Atención de la Educación Media Superior para Estudiantes con Discapacidad que se apoyarán estará en función de la disponibilidad presupuestal con la que cuente la Subsecretaría de Educación Media Superior.</w:t>
      </w:r>
    </w:p>
    <w:p>
      <w:pPr>
        <w:pStyle w:val="ListParagraph"/>
        <w:numPr>
          <w:ilvl w:val="0"/>
          <w:numId w:val="21"/>
        </w:numPr>
        <w:tabs>
          <w:tab w:pos="762" w:val="left" w:leader="none"/>
          <w:tab w:pos="796" w:val="left" w:leader="none"/>
        </w:tabs>
        <w:spacing w:line="240" w:lineRule="auto" w:before="107" w:after="0"/>
        <w:ind w:left="762" w:right="118" w:hanging="360"/>
        <w:jc w:val="both"/>
        <w:rPr>
          <w:sz w:val="18"/>
        </w:rPr>
      </w:pPr>
      <w:r>
        <w:rPr>
          <w:color w:val="2E2E2E"/>
          <w:sz w:val="18"/>
        </w:rPr>
        <w:tab/>
      </w:r>
      <w:r>
        <w:rPr>
          <w:sz w:val="18"/>
        </w:rPr>
        <w:t>La aplicación de los recursos asignados a los Proyectos para el Avance en la Atención de la Educación Media </w:t>
      </w:r>
      <w:r>
        <w:rPr>
          <w:sz w:val="18"/>
        </w:rPr>
        <w:t>Superior para Estudiantes con Discapacidad que resulten apoyados, tendrá seguimiento mediante los informes físicos y</w:t>
      </w:r>
      <w:r>
        <w:rPr>
          <w:spacing w:val="40"/>
          <w:sz w:val="18"/>
        </w:rPr>
        <w:t> </w:t>
      </w:r>
      <w:r>
        <w:rPr>
          <w:sz w:val="18"/>
        </w:rPr>
        <w:t>financieros, así como de los mecanismos de Contraloría Social.</w:t>
      </w:r>
    </w:p>
    <w:p>
      <w:pPr>
        <w:pStyle w:val="Heading1"/>
        <w:spacing w:before="107"/>
        <w:ind w:left="402"/>
        <w:rPr>
          <w:rFonts w:ascii="Arial" w:hAnsi="Arial"/>
        </w:rPr>
      </w:pPr>
      <w:r>
        <w:rPr>
          <w:rFonts w:ascii="Arial" w:hAnsi="Arial"/>
        </w:rPr>
        <w:t>CARACTERÍSTICAS DE LOS</w:t>
      </w:r>
      <w:r>
        <w:rPr>
          <w:rFonts w:ascii="Arial" w:hAnsi="Arial"/>
          <w:spacing w:val="-7"/>
        </w:rPr>
        <w:t> </w:t>
      </w:r>
      <w:r>
        <w:rPr>
          <w:rFonts w:ascii="Arial" w:hAnsi="Arial"/>
          <w:spacing w:val="-2"/>
        </w:rPr>
        <w:t>APOYOS</w:t>
      </w:r>
    </w:p>
    <w:p>
      <w:pPr>
        <w:pStyle w:val="BodyText"/>
        <w:ind w:left="402" w:right="0" w:firstLine="0"/>
      </w:pPr>
      <w:r>
        <w:rPr/>
        <w:t>El</w:t>
      </w:r>
      <w:r>
        <w:rPr>
          <w:spacing w:val="-3"/>
        </w:rPr>
        <w:t> </w:t>
      </w:r>
      <w:r>
        <w:rPr/>
        <w:t>PAPPEMS</w:t>
      </w:r>
      <w:r>
        <w:rPr>
          <w:spacing w:val="-3"/>
        </w:rPr>
        <w:t> </w:t>
      </w:r>
      <w:r>
        <w:rPr/>
        <w:t>contempla</w:t>
      </w:r>
      <w:r>
        <w:rPr>
          <w:spacing w:val="-3"/>
        </w:rPr>
        <w:t> </w:t>
      </w:r>
      <w:r>
        <w:rPr/>
        <w:t>apoyos</w:t>
      </w:r>
      <w:r>
        <w:rPr>
          <w:spacing w:val="-3"/>
        </w:rPr>
        <w:t> </w:t>
      </w:r>
      <w:r>
        <w:rPr/>
        <w:t>económicos</w:t>
      </w:r>
      <w:r>
        <w:rPr>
          <w:spacing w:val="-2"/>
        </w:rPr>
        <w:t> para:</w:t>
      </w:r>
    </w:p>
    <w:p>
      <w:pPr>
        <w:pStyle w:val="ListParagraph"/>
        <w:numPr>
          <w:ilvl w:val="3"/>
          <w:numId w:val="20"/>
        </w:numPr>
        <w:tabs>
          <w:tab w:pos="608" w:val="left" w:leader="none"/>
        </w:tabs>
        <w:spacing w:line="240" w:lineRule="auto" w:before="108" w:after="0"/>
        <w:ind w:left="608" w:right="0" w:hanging="206"/>
        <w:jc w:val="left"/>
        <w:rPr>
          <w:sz w:val="18"/>
        </w:rPr>
      </w:pPr>
      <w:r>
        <w:rPr>
          <w:sz w:val="18"/>
        </w:rPr>
        <w:t>Tipo</w:t>
      </w:r>
      <w:r>
        <w:rPr>
          <w:spacing w:val="-3"/>
          <w:sz w:val="18"/>
        </w:rPr>
        <w:t> </w:t>
      </w:r>
      <w:r>
        <w:rPr>
          <w:sz w:val="18"/>
        </w:rPr>
        <w:t>de</w:t>
      </w:r>
      <w:r>
        <w:rPr>
          <w:spacing w:val="-12"/>
          <w:sz w:val="18"/>
        </w:rPr>
        <w:t> </w:t>
      </w:r>
      <w:r>
        <w:rPr>
          <w:sz w:val="18"/>
        </w:rPr>
        <w:t>Apoyo</w:t>
      </w:r>
      <w:r>
        <w:rPr>
          <w:spacing w:val="-12"/>
          <w:sz w:val="18"/>
        </w:rPr>
        <w:t> </w:t>
      </w:r>
      <w:r>
        <w:rPr>
          <w:spacing w:val="-10"/>
          <w:sz w:val="18"/>
        </w:rPr>
        <w:t>A</w:t>
      </w:r>
    </w:p>
    <w:p>
      <w:pPr>
        <w:pStyle w:val="BodyText"/>
        <w:spacing w:line="242" w:lineRule="auto" w:before="93"/>
      </w:pPr>
      <w:r>
        <w:rPr/>
        <w:t>Apoyos financieros para adecuar y acondicionar la infraestructura educativa, Servicios generales y Mobiliario ordinario </w:t>
      </w:r>
      <w:r>
        <w:rPr/>
        <w:t>y específico para estudiantes con discapacidad.</w:t>
      </w:r>
    </w:p>
    <w:p>
      <w:pPr>
        <w:pStyle w:val="ListParagraph"/>
        <w:numPr>
          <w:ilvl w:val="3"/>
          <w:numId w:val="20"/>
        </w:numPr>
        <w:tabs>
          <w:tab w:pos="608" w:val="left" w:leader="none"/>
        </w:tabs>
        <w:spacing w:line="240" w:lineRule="auto" w:before="107" w:after="0"/>
        <w:ind w:left="608" w:right="0" w:hanging="206"/>
        <w:jc w:val="left"/>
        <w:rPr>
          <w:sz w:val="18"/>
        </w:rPr>
      </w:pPr>
      <w:r>
        <w:rPr>
          <w:sz w:val="18"/>
        </w:rPr>
        <w:t>Tipo</w:t>
      </w:r>
      <w:r>
        <w:rPr>
          <w:spacing w:val="-3"/>
          <w:sz w:val="18"/>
        </w:rPr>
        <w:t> </w:t>
      </w:r>
      <w:r>
        <w:rPr>
          <w:sz w:val="18"/>
        </w:rPr>
        <w:t>de</w:t>
      </w:r>
      <w:r>
        <w:rPr>
          <w:spacing w:val="-12"/>
          <w:sz w:val="18"/>
        </w:rPr>
        <w:t> </w:t>
      </w:r>
      <w:r>
        <w:rPr>
          <w:sz w:val="18"/>
        </w:rPr>
        <w:t>Apoyo</w:t>
      </w:r>
      <w:r>
        <w:rPr>
          <w:spacing w:val="-2"/>
          <w:sz w:val="18"/>
        </w:rPr>
        <w:t> </w:t>
      </w:r>
      <w:r>
        <w:rPr>
          <w:spacing w:val="-10"/>
          <w:sz w:val="18"/>
        </w:rPr>
        <w:t>B</w:t>
      </w:r>
    </w:p>
    <w:p>
      <w:pPr>
        <w:pStyle w:val="BodyText"/>
        <w:spacing w:line="242" w:lineRule="auto"/>
      </w:pPr>
      <w:r>
        <w:rPr/>
        <w:t>Apoyos</w:t>
      </w:r>
      <w:r>
        <w:rPr>
          <w:spacing w:val="-2"/>
        </w:rPr>
        <w:t> </w:t>
      </w:r>
      <w:r>
        <w:rPr/>
        <w:t>financieros</w:t>
      </w:r>
      <w:r>
        <w:rPr>
          <w:spacing w:val="-2"/>
        </w:rPr>
        <w:t> </w:t>
      </w:r>
      <w:r>
        <w:rPr/>
        <w:t>para</w:t>
      </w:r>
      <w:r>
        <w:rPr>
          <w:spacing w:val="-2"/>
        </w:rPr>
        <w:t> </w:t>
      </w:r>
      <w:r>
        <w:rPr/>
        <w:t>adquisición</w:t>
      </w:r>
      <w:r>
        <w:rPr>
          <w:spacing w:val="-2"/>
        </w:rPr>
        <w:t> </w:t>
      </w:r>
      <w:r>
        <w:rPr/>
        <w:t>de</w:t>
      </w:r>
      <w:r>
        <w:rPr>
          <w:spacing w:val="-2"/>
        </w:rPr>
        <w:t> </w:t>
      </w:r>
      <w:r>
        <w:rPr/>
        <w:t>Material</w:t>
      </w:r>
      <w:r>
        <w:rPr>
          <w:spacing w:val="-2"/>
        </w:rPr>
        <w:t> </w:t>
      </w:r>
      <w:r>
        <w:rPr/>
        <w:t>didáctico,</w:t>
      </w:r>
      <w:r>
        <w:rPr>
          <w:spacing w:val="-2"/>
        </w:rPr>
        <w:t> </w:t>
      </w:r>
      <w:r>
        <w:rPr/>
        <w:t>materiales</w:t>
      </w:r>
      <w:r>
        <w:rPr>
          <w:spacing w:val="-2"/>
        </w:rPr>
        <w:t> </w:t>
      </w:r>
      <w:r>
        <w:rPr/>
        <w:t>y</w:t>
      </w:r>
      <w:r>
        <w:rPr>
          <w:spacing w:val="-2"/>
        </w:rPr>
        <w:t> </w:t>
      </w:r>
      <w:r>
        <w:rPr/>
        <w:t>suministros,</w:t>
      </w:r>
      <w:r>
        <w:rPr>
          <w:spacing w:val="-2"/>
        </w:rPr>
        <w:t> </w:t>
      </w:r>
      <w:r>
        <w:rPr/>
        <w:t>Equipamiento</w:t>
      </w:r>
      <w:r>
        <w:rPr>
          <w:spacing w:val="-2"/>
        </w:rPr>
        <w:t> </w:t>
      </w:r>
      <w:r>
        <w:rPr/>
        <w:t>especializado</w:t>
      </w:r>
      <w:r>
        <w:rPr>
          <w:spacing w:val="-2"/>
        </w:rPr>
        <w:t> </w:t>
      </w:r>
      <w:r>
        <w:rPr/>
        <w:t>y</w:t>
      </w:r>
      <w:r>
        <w:rPr>
          <w:spacing w:val="-5"/>
        </w:rPr>
        <w:t> </w:t>
      </w:r>
      <w:r>
        <w:rPr/>
        <w:t>Tecnologías de la información para fomentar la comunicación, conocimiento y aprendizaje digitales diseñados para estudiantes con </w:t>
      </w:r>
      <w:r>
        <w:rPr>
          <w:spacing w:val="-2"/>
        </w:rPr>
        <w:t>discapacidad.</w:t>
      </w:r>
    </w:p>
    <w:p>
      <w:pPr>
        <w:pStyle w:val="BodyText"/>
        <w:spacing w:line="242" w:lineRule="auto" w:before="93"/>
        <w:ind w:right="117"/>
      </w:pPr>
      <w:r>
        <w:rPr/>
        <w:t>Los apoyos consisten en la entrega de subsidios que están destinados a facilitar la permanencia, movilidad y egreso de estudiantes con discapacidad, mediante actividades académicas, adecuaciones en las instalaciones, equipamiento y gastos </w:t>
      </w:r>
      <w:r>
        <w:rPr/>
        <w:t>de operación (materiales, suministros y servicios) en los planteles públicos de educación media superior, para contribuir al bienestar social, ampliando las oportunidades educativas que atienden a estudiantes con discapacidad.</w:t>
      </w:r>
    </w:p>
    <w:p>
      <w:pPr>
        <w:pStyle w:val="BodyText"/>
        <w:spacing w:line="242" w:lineRule="auto"/>
      </w:pPr>
      <w:r>
        <w:rPr/>
        <w:t>En ningún caso se podrán utilizar los recursos financieros asignados a los planteles públicos de educación media superior, para el pago de prestaciones de carácter económico, compensaciones, sueldos o sobresueldos de los/las directivos/as, docentes o empleados/as, así como becas, tratamientos médicos o apoyos económicos directos a las/los estudiantes.</w:t>
      </w:r>
    </w:p>
    <w:p>
      <w:pPr>
        <w:pStyle w:val="BodyText"/>
        <w:ind w:left="402" w:right="0" w:firstLine="0"/>
      </w:pPr>
      <w:r>
        <w:rPr/>
        <w:t>La</w:t>
      </w:r>
      <w:r>
        <w:rPr>
          <w:spacing w:val="74"/>
          <w:w w:val="150"/>
        </w:rPr>
        <w:t>   </w:t>
      </w:r>
      <w:r>
        <w:rPr/>
        <w:t>información</w:t>
      </w:r>
      <w:r>
        <w:rPr>
          <w:spacing w:val="74"/>
          <w:w w:val="150"/>
        </w:rPr>
        <w:t>   </w:t>
      </w:r>
      <w:r>
        <w:rPr/>
        <w:t>sobre</w:t>
      </w:r>
      <w:r>
        <w:rPr>
          <w:spacing w:val="74"/>
          <w:w w:val="150"/>
        </w:rPr>
        <w:t>   </w:t>
      </w:r>
      <w:r>
        <w:rPr/>
        <w:t>las</w:t>
      </w:r>
      <w:r>
        <w:rPr>
          <w:spacing w:val="75"/>
          <w:w w:val="150"/>
        </w:rPr>
        <w:t>   </w:t>
      </w:r>
      <w:r>
        <w:rPr/>
        <w:t>características</w:t>
      </w:r>
      <w:r>
        <w:rPr>
          <w:spacing w:val="74"/>
          <w:w w:val="150"/>
        </w:rPr>
        <w:t>   </w:t>
      </w:r>
      <w:r>
        <w:rPr/>
        <w:t>de</w:t>
      </w:r>
      <w:r>
        <w:rPr>
          <w:spacing w:val="74"/>
          <w:w w:val="150"/>
        </w:rPr>
        <w:t>   </w:t>
      </w:r>
      <w:r>
        <w:rPr/>
        <w:t>los</w:t>
      </w:r>
      <w:r>
        <w:rPr>
          <w:spacing w:val="75"/>
          <w:w w:val="150"/>
        </w:rPr>
        <w:t>   </w:t>
      </w:r>
      <w:r>
        <w:rPr/>
        <w:t>apoyos</w:t>
      </w:r>
      <w:r>
        <w:rPr>
          <w:spacing w:val="74"/>
          <w:w w:val="150"/>
        </w:rPr>
        <w:t>   </w:t>
      </w:r>
      <w:r>
        <w:rPr/>
        <w:t>puede</w:t>
      </w:r>
      <w:r>
        <w:rPr>
          <w:spacing w:val="74"/>
          <w:w w:val="150"/>
        </w:rPr>
        <w:t>   </w:t>
      </w:r>
      <w:r>
        <w:rPr/>
        <w:t>consultarse</w:t>
      </w:r>
      <w:r>
        <w:rPr>
          <w:spacing w:val="75"/>
          <w:w w:val="150"/>
        </w:rPr>
        <w:t>   </w:t>
      </w:r>
      <w:r>
        <w:rPr>
          <w:spacing w:val="-5"/>
        </w:rPr>
        <w:t>en:</w:t>
      </w:r>
    </w:p>
    <w:p>
      <w:pPr>
        <w:pStyle w:val="BodyText"/>
        <w:tabs>
          <w:tab w:pos="2217" w:val="left" w:leader="none"/>
          <w:tab w:pos="4350" w:val="left" w:leader="none"/>
        </w:tabs>
        <w:spacing w:line="242" w:lineRule="auto" w:before="3"/>
        <w:ind w:firstLine="0"/>
      </w:pPr>
      <w:r>
        <w:rPr>
          <w:rFonts w:ascii="Times New Roman" w:hAnsi="Times New Roman"/>
          <w:u w:val="thick"/>
        </w:rPr>
        <w:tab/>
      </w:r>
      <w:r>
        <w:rPr>
          <w:spacing w:val="-10"/>
        </w:rPr>
        <w:t>y</w:t>
      </w:r>
      <w:r>
        <w:rPr>
          <w:rFonts w:ascii="Times New Roman" w:hAnsi="Times New Roman"/>
          <w:u w:val="single"/>
        </w:rPr>
        <w:tab/>
      </w:r>
      <w:r>
        <w:rPr>
          <w:rFonts w:ascii="Times New Roman" w:hAnsi="Times New Roman"/>
          <w:spacing w:val="-12"/>
        </w:rPr>
        <w:t> </w:t>
      </w:r>
      <w:r>
        <w:rPr/>
        <w:t>así</w:t>
      </w:r>
      <w:r>
        <w:rPr>
          <w:spacing w:val="-4"/>
        </w:rPr>
        <w:t> </w:t>
      </w:r>
      <w:r>
        <w:rPr/>
        <w:t>como en el correo electrónico </w:t>
      </w:r>
      <w:hyperlink r:id="rId14">
        <w:r>
          <w:rPr>
            <w:u w:val="single"/>
          </w:rPr>
          <w:t>comentarios.pappems@sems.gob.mx</w:t>
        </w:r>
      </w:hyperlink>
      <w:r>
        <w:rPr/>
        <w:t> y </w:t>
      </w:r>
      <w:r>
        <w:rPr/>
        <w:t>el número telefónico 55 36 01 1000, exts. 50736 y 50788.</w:t>
      </w:r>
    </w:p>
    <w:p>
      <w:pPr>
        <w:pStyle w:val="BodyText"/>
        <w:spacing w:line="242" w:lineRule="auto" w:before="2"/>
        <w:ind w:right="117"/>
      </w:pPr>
      <w:r>
        <w:rPr/>
        <w:t>La publicación de los resultados en la página de la SEMS se realizará en un plazo de 20 (veinte) días naturales, después </w:t>
      </w:r>
      <w:r>
        <w:rPr/>
        <w:t>de finalizada</w:t>
      </w:r>
      <w:r>
        <w:rPr>
          <w:spacing w:val="-2"/>
        </w:rPr>
        <w:t> </w:t>
      </w:r>
      <w:r>
        <w:rPr/>
        <w:t>la</w:t>
      </w:r>
      <w:r>
        <w:rPr>
          <w:spacing w:val="-2"/>
        </w:rPr>
        <w:t> </w:t>
      </w:r>
      <w:r>
        <w:rPr/>
        <w:t>selección</w:t>
      </w:r>
      <w:r>
        <w:rPr>
          <w:spacing w:val="-2"/>
        </w:rPr>
        <w:t> </w:t>
      </w:r>
      <w:r>
        <w:rPr/>
        <w:t>de</w:t>
      </w:r>
      <w:r>
        <w:rPr>
          <w:spacing w:val="-2"/>
        </w:rPr>
        <w:t> </w:t>
      </w:r>
      <w:r>
        <w:rPr/>
        <w:t>beneficiarios.</w:t>
      </w:r>
      <w:r>
        <w:rPr>
          <w:spacing w:val="-2"/>
        </w:rPr>
        <w:t> </w:t>
      </w:r>
      <w:r>
        <w:rPr/>
        <w:t>Los</w:t>
      </w:r>
      <w:r>
        <w:rPr>
          <w:spacing w:val="-2"/>
        </w:rPr>
        <w:t> </w:t>
      </w:r>
      <w:r>
        <w:rPr/>
        <w:t>planteles</w:t>
      </w:r>
      <w:r>
        <w:rPr>
          <w:spacing w:val="-2"/>
        </w:rPr>
        <w:t> </w:t>
      </w:r>
      <w:r>
        <w:rPr/>
        <w:t>aspirantes</w:t>
      </w:r>
      <w:r>
        <w:rPr>
          <w:spacing w:val="-2"/>
        </w:rPr>
        <w:t> </w:t>
      </w:r>
      <w:r>
        <w:rPr/>
        <w:t>que</w:t>
      </w:r>
      <w:r>
        <w:rPr>
          <w:spacing w:val="-2"/>
        </w:rPr>
        <w:t> </w:t>
      </w:r>
      <w:r>
        <w:rPr/>
        <w:t>sean</w:t>
      </w:r>
      <w:r>
        <w:rPr>
          <w:spacing w:val="-2"/>
        </w:rPr>
        <w:t> </w:t>
      </w:r>
      <w:r>
        <w:rPr/>
        <w:t>seleccionados</w:t>
      </w:r>
      <w:r>
        <w:rPr>
          <w:spacing w:val="-2"/>
        </w:rPr>
        <w:t> </w:t>
      </w:r>
      <w:r>
        <w:rPr/>
        <w:t>como</w:t>
      </w:r>
      <w:r>
        <w:rPr>
          <w:spacing w:val="-2"/>
        </w:rPr>
        <w:t> </w:t>
      </w:r>
      <w:r>
        <w:rPr/>
        <w:t>beneficiarios,</w:t>
      </w:r>
      <w:r>
        <w:rPr>
          <w:spacing w:val="-2"/>
        </w:rPr>
        <w:t> </w:t>
      </w:r>
      <w:r>
        <w:rPr/>
        <w:t>serán</w:t>
      </w:r>
      <w:r>
        <w:rPr>
          <w:spacing w:val="-2"/>
        </w:rPr>
        <w:t> </w:t>
      </w:r>
      <w:r>
        <w:rPr/>
        <w:t>notificados</w:t>
      </w:r>
      <w:r>
        <w:rPr>
          <w:spacing w:val="-2"/>
        </w:rPr>
        <w:t> </w:t>
      </w:r>
      <w:r>
        <w:rPr/>
        <w:t>por la Coordinación Sectorial de Planeación y Administración de la SEMS vía correo electrónico, a través de la Autoridad Educativa Local</w:t>
      </w:r>
      <w:r>
        <w:rPr>
          <w:spacing w:val="58"/>
          <w:w w:val="150"/>
        </w:rPr>
        <w:t> </w:t>
      </w:r>
      <w:r>
        <w:rPr/>
        <w:t>a</w:t>
      </w:r>
      <w:r>
        <w:rPr>
          <w:spacing w:val="58"/>
          <w:w w:val="150"/>
        </w:rPr>
        <w:t> </w:t>
      </w:r>
      <w:r>
        <w:rPr/>
        <w:t>la</w:t>
      </w:r>
      <w:r>
        <w:rPr>
          <w:spacing w:val="57"/>
          <w:w w:val="150"/>
        </w:rPr>
        <w:t> </w:t>
      </w:r>
      <w:r>
        <w:rPr/>
        <w:t>que</w:t>
      </w:r>
      <w:r>
        <w:rPr>
          <w:spacing w:val="58"/>
          <w:w w:val="150"/>
        </w:rPr>
        <w:t> </w:t>
      </w:r>
      <w:r>
        <w:rPr/>
        <w:t>se</w:t>
      </w:r>
      <w:r>
        <w:rPr>
          <w:spacing w:val="59"/>
          <w:w w:val="150"/>
        </w:rPr>
        <w:t> </w:t>
      </w:r>
      <w:r>
        <w:rPr/>
        <w:t>encuentre</w:t>
      </w:r>
      <w:r>
        <w:rPr>
          <w:spacing w:val="58"/>
          <w:w w:val="150"/>
        </w:rPr>
        <w:t> </w:t>
      </w:r>
      <w:r>
        <w:rPr/>
        <w:t>adscrito</w:t>
      </w:r>
      <w:r>
        <w:rPr>
          <w:spacing w:val="58"/>
          <w:w w:val="150"/>
        </w:rPr>
        <w:t> </w:t>
      </w:r>
      <w:r>
        <w:rPr/>
        <w:t>y</w:t>
      </w:r>
      <w:r>
        <w:rPr>
          <w:spacing w:val="58"/>
          <w:w w:val="150"/>
        </w:rPr>
        <w:t> </w:t>
      </w:r>
      <w:r>
        <w:rPr/>
        <w:t>mediante</w:t>
      </w:r>
      <w:r>
        <w:rPr>
          <w:spacing w:val="58"/>
          <w:w w:val="150"/>
        </w:rPr>
        <w:t> </w:t>
      </w:r>
      <w:r>
        <w:rPr/>
        <w:t>la</w:t>
      </w:r>
      <w:r>
        <w:rPr>
          <w:spacing w:val="58"/>
          <w:w w:val="150"/>
        </w:rPr>
        <w:t> </w:t>
      </w:r>
      <w:r>
        <w:rPr/>
        <w:t>publicación</w:t>
      </w:r>
      <w:r>
        <w:rPr>
          <w:spacing w:val="58"/>
          <w:w w:val="150"/>
        </w:rPr>
        <w:t> </w:t>
      </w:r>
      <w:r>
        <w:rPr/>
        <w:t>de</w:t>
      </w:r>
      <w:r>
        <w:rPr>
          <w:spacing w:val="58"/>
          <w:w w:val="150"/>
        </w:rPr>
        <w:t> </w:t>
      </w:r>
      <w:r>
        <w:rPr/>
        <w:t>beneficiarios</w:t>
      </w:r>
      <w:r>
        <w:rPr>
          <w:spacing w:val="58"/>
          <w:w w:val="150"/>
        </w:rPr>
        <w:t> </w:t>
      </w:r>
      <w:r>
        <w:rPr/>
        <w:t>a</w:t>
      </w:r>
      <w:r>
        <w:rPr>
          <w:spacing w:val="58"/>
          <w:w w:val="150"/>
        </w:rPr>
        <w:t> </w:t>
      </w:r>
      <w:r>
        <w:rPr/>
        <w:t>través</w:t>
      </w:r>
      <w:r>
        <w:rPr>
          <w:spacing w:val="58"/>
          <w:w w:val="150"/>
        </w:rPr>
        <w:t> </w:t>
      </w:r>
      <w:r>
        <w:rPr/>
        <w:t>de</w:t>
      </w:r>
      <w:r>
        <w:rPr>
          <w:spacing w:val="58"/>
          <w:w w:val="150"/>
        </w:rPr>
        <w:t> </w:t>
      </w:r>
      <w:r>
        <w:rPr/>
        <w:t>la</w:t>
      </w:r>
      <w:r>
        <w:rPr>
          <w:spacing w:val="58"/>
          <w:w w:val="150"/>
        </w:rPr>
        <w:t> </w:t>
      </w:r>
      <w:r>
        <w:rPr/>
        <w:t>página</w:t>
      </w:r>
      <w:r>
        <w:rPr>
          <w:spacing w:val="58"/>
          <w:w w:val="150"/>
        </w:rPr>
        <w:t> </w:t>
      </w:r>
      <w:r>
        <w:rPr>
          <w:spacing w:val="-2"/>
        </w:rPr>
        <w:t>electrónica</w:t>
      </w:r>
    </w:p>
    <w:p>
      <w:pPr>
        <w:spacing w:after="0" w:line="242" w:lineRule="auto"/>
        <w:sectPr>
          <w:pgSz w:w="12240" w:h="15840"/>
          <w:pgMar w:header="269" w:footer="260" w:top="460" w:bottom="440" w:left="860" w:right="720"/>
        </w:sectPr>
      </w:pPr>
    </w:p>
    <w:p>
      <w:pPr>
        <w:pStyle w:val="BodyText"/>
        <w:spacing w:line="242" w:lineRule="auto" w:before="82"/>
        <w:ind w:right="117" w:firstLine="0"/>
      </w:pPr>
      <w:hyperlink r:id="rId7">
        <w:r>
          <w:rPr/>
          <w:t>http://www.pappems.sems.gob.mx,</w:t>
        </w:r>
      </w:hyperlink>
      <w:r>
        <w:rPr/>
        <w:t> precisando el tipo de apoyo en el que participarán. Los casos no previstos en la presente</w:t>
      </w:r>
      <w:r>
        <w:rPr>
          <w:spacing w:val="40"/>
        </w:rPr>
        <w:t> </w:t>
      </w:r>
      <w:r>
        <w:rPr/>
        <w:t>serán resueltos por la Subsecretaría de Educación Media Superior, a través de la Coordinación Sectorial de Planeación </w:t>
      </w:r>
      <w:r>
        <w:rPr/>
        <w:t>y </w:t>
      </w:r>
      <w:r>
        <w:rPr>
          <w:spacing w:val="-2"/>
        </w:rPr>
        <w:t>Administración.</w:t>
      </w:r>
    </w:p>
    <w:p>
      <w:pPr>
        <w:pStyle w:val="BodyText"/>
        <w:ind w:left="402" w:right="0" w:firstLine="0"/>
        <w:jc w:val="left"/>
      </w:pPr>
      <w:r>
        <w:rPr>
          <w:spacing w:val="-2"/>
        </w:rPr>
        <w:t>ATENTAMENTE</w:t>
      </w:r>
    </w:p>
    <w:p>
      <w:pPr>
        <w:pStyle w:val="BodyText"/>
        <w:spacing w:before="93"/>
        <w:ind w:left="402" w:right="0" w:firstLine="0"/>
        <w:jc w:val="left"/>
      </w:pPr>
      <w:r>
        <w:rPr/>
        <w:t>Subsecretaría de Educación Media </w:t>
      </w:r>
      <w:r>
        <w:rPr>
          <w:spacing w:val="-2"/>
        </w:rPr>
        <w:t>Superior</w:t>
      </w:r>
    </w:p>
    <w:p>
      <w:pPr>
        <w:pStyle w:val="BodyText"/>
        <w:spacing w:line="242" w:lineRule="auto"/>
        <w:ind w:right="98"/>
        <w:jc w:val="left"/>
      </w:pPr>
      <w:r>
        <w:rPr/>
        <w:t>"Este programa es público, ajeno a cualquier partido político. Queda prohibido el uso para fines distintos a los establecidos </w:t>
      </w:r>
      <w:r>
        <w:rPr/>
        <w:t>en el programa"</w:t>
      </w:r>
    </w:p>
    <w:p>
      <w:pPr>
        <w:pStyle w:val="BodyText"/>
        <w:tabs>
          <w:tab w:pos="8901" w:val="left" w:leader="none"/>
        </w:tabs>
        <w:spacing w:before="107"/>
        <w:ind w:left="402" w:right="0" w:firstLine="0"/>
        <w:jc w:val="left"/>
      </w:pPr>
      <w:r>
        <w:rPr/>
        <w:t>Ciudad de México, </w:t>
      </w:r>
      <w:r>
        <w:rPr>
          <w:spacing w:val="-10"/>
        </w:rPr>
        <w:t>a</w:t>
      </w:r>
      <w:r>
        <w:rPr>
          <w:rFonts w:ascii="Times New Roman" w:hAnsi="Times New Roman"/>
          <w:u w:val="thick"/>
        </w:rPr>
        <w:tab/>
      </w:r>
      <w:r>
        <w:rPr>
          <w:spacing w:val="-10"/>
        </w:rPr>
        <w:t>.</w:t>
      </w:r>
    </w:p>
    <w:p>
      <w:pPr>
        <w:pStyle w:val="BodyText"/>
        <w:spacing w:line="348" w:lineRule="auto"/>
        <w:ind w:left="402" w:right="620" w:firstLine="0"/>
        <w:jc w:val="left"/>
      </w:pPr>
      <w:r>
        <w:rPr/>
        <w:t>*</w:t>
      </w:r>
      <w:r>
        <w:rPr>
          <w:spacing w:val="-3"/>
        </w:rPr>
        <w:t> </w:t>
      </w:r>
      <w:r>
        <w:rPr/>
        <w:t>Los</w:t>
      </w:r>
      <w:r>
        <w:rPr>
          <w:spacing w:val="-3"/>
        </w:rPr>
        <w:t> </w:t>
      </w:r>
      <w:r>
        <w:rPr/>
        <w:t>planteles</w:t>
      </w:r>
      <w:r>
        <w:rPr>
          <w:spacing w:val="-3"/>
        </w:rPr>
        <w:t> </w:t>
      </w:r>
      <w:r>
        <w:rPr/>
        <w:t>públicos</w:t>
      </w:r>
      <w:r>
        <w:rPr>
          <w:spacing w:val="-3"/>
        </w:rPr>
        <w:t> </w:t>
      </w:r>
      <w:r>
        <w:rPr/>
        <w:t>a</w:t>
      </w:r>
      <w:r>
        <w:rPr>
          <w:spacing w:val="-3"/>
        </w:rPr>
        <w:t> </w:t>
      </w:r>
      <w:r>
        <w:rPr/>
        <w:t>que</w:t>
      </w:r>
      <w:r>
        <w:rPr>
          <w:spacing w:val="-3"/>
        </w:rPr>
        <w:t> </w:t>
      </w:r>
      <w:r>
        <w:rPr/>
        <w:t>hace</w:t>
      </w:r>
      <w:r>
        <w:rPr>
          <w:spacing w:val="-3"/>
        </w:rPr>
        <w:t> </w:t>
      </w:r>
      <w:r>
        <w:rPr/>
        <w:t>referencia</w:t>
      </w:r>
      <w:r>
        <w:rPr>
          <w:spacing w:val="-3"/>
        </w:rPr>
        <w:t> </w:t>
      </w:r>
      <w:r>
        <w:rPr/>
        <w:t>esta</w:t>
      </w:r>
      <w:r>
        <w:rPr>
          <w:spacing w:val="-3"/>
        </w:rPr>
        <w:t> </w:t>
      </w:r>
      <w:r>
        <w:rPr/>
        <w:t>Convocatoria</w:t>
      </w:r>
      <w:r>
        <w:rPr>
          <w:spacing w:val="-3"/>
        </w:rPr>
        <w:t> </w:t>
      </w:r>
      <w:r>
        <w:rPr/>
        <w:t>son</w:t>
      </w:r>
      <w:r>
        <w:rPr>
          <w:spacing w:val="-3"/>
        </w:rPr>
        <w:t> </w:t>
      </w:r>
      <w:r>
        <w:rPr/>
        <w:t>los</w:t>
      </w:r>
      <w:r>
        <w:rPr>
          <w:spacing w:val="-3"/>
        </w:rPr>
        <w:t> </w:t>
      </w:r>
      <w:r>
        <w:rPr/>
        <w:t>adscritos</w:t>
      </w:r>
      <w:r>
        <w:rPr>
          <w:spacing w:val="-3"/>
        </w:rPr>
        <w:t> </w:t>
      </w:r>
      <w:r>
        <w:rPr/>
        <w:t>a</w:t>
      </w:r>
      <w:r>
        <w:rPr>
          <w:spacing w:val="-3"/>
        </w:rPr>
        <w:t> </w:t>
      </w:r>
      <w:r>
        <w:rPr/>
        <w:t>los</w:t>
      </w:r>
      <w:r>
        <w:rPr>
          <w:spacing w:val="-3"/>
        </w:rPr>
        <w:t> </w:t>
      </w:r>
      <w:r>
        <w:rPr/>
        <w:t>siguientes</w:t>
      </w:r>
      <w:r>
        <w:rPr>
          <w:spacing w:val="-3"/>
        </w:rPr>
        <w:t> </w:t>
      </w:r>
      <w:r>
        <w:rPr/>
        <w:t>subsistemas: Planteles Públicos adscritos a:</w:t>
      </w:r>
    </w:p>
    <w:p>
      <w:pPr>
        <w:pStyle w:val="ListParagraph"/>
        <w:numPr>
          <w:ilvl w:val="0"/>
          <w:numId w:val="21"/>
        </w:numPr>
        <w:tabs>
          <w:tab w:pos="744" w:val="left" w:leader="none"/>
        </w:tabs>
        <w:spacing w:line="240" w:lineRule="auto" w:before="30" w:after="0"/>
        <w:ind w:left="744" w:right="0" w:hanging="342"/>
        <w:jc w:val="left"/>
        <w:rPr>
          <w:sz w:val="18"/>
        </w:rPr>
      </w:pPr>
      <w:r>
        <w:rPr>
          <w:rFonts w:ascii="Arial" w:hAnsi="Arial"/>
          <w:b/>
          <w:color w:val="2E2E2E"/>
          <w:sz w:val="18"/>
        </w:rPr>
        <w:t>Subsistemas</w:t>
      </w:r>
      <w:r>
        <w:rPr>
          <w:rFonts w:ascii="Arial" w:hAnsi="Arial"/>
          <w:b/>
          <w:color w:val="2E2E2E"/>
          <w:spacing w:val="-7"/>
          <w:sz w:val="18"/>
        </w:rPr>
        <w:t> </w:t>
      </w:r>
      <w:r>
        <w:rPr>
          <w:rFonts w:ascii="Arial" w:hAnsi="Arial"/>
          <w:b/>
          <w:color w:val="2E2E2E"/>
          <w:sz w:val="18"/>
        </w:rPr>
        <w:t>Autónomos.- </w:t>
      </w:r>
      <w:r>
        <w:rPr>
          <w:color w:val="2E2E2E"/>
          <w:sz w:val="18"/>
        </w:rPr>
        <w:t>Son los planteles de bachillerato que pertenecen a las universidades autónomas </w:t>
      </w:r>
      <w:r>
        <w:rPr>
          <w:color w:val="2E2E2E"/>
          <w:spacing w:val="-2"/>
          <w:sz w:val="18"/>
        </w:rPr>
        <w:t>estatales.</w:t>
      </w:r>
    </w:p>
    <w:p>
      <w:pPr>
        <w:pStyle w:val="ListParagraph"/>
        <w:numPr>
          <w:ilvl w:val="0"/>
          <w:numId w:val="21"/>
        </w:numPr>
        <w:tabs>
          <w:tab w:pos="762" w:val="left" w:leader="none"/>
          <w:tab w:pos="908" w:val="left" w:leader="none"/>
        </w:tabs>
        <w:spacing w:line="242" w:lineRule="auto" w:before="116" w:after="0"/>
        <w:ind w:left="762" w:right="118" w:hanging="360"/>
        <w:jc w:val="both"/>
        <w:rPr>
          <w:sz w:val="18"/>
        </w:rPr>
      </w:pPr>
      <w:r>
        <w:rPr>
          <w:rFonts w:ascii="Arial" w:hAnsi="Arial"/>
          <w:color w:val="2E2E2E"/>
          <w:sz w:val="18"/>
        </w:rPr>
        <w:tab/>
      </w:r>
      <w:r>
        <w:rPr>
          <w:rFonts w:ascii="Arial" w:hAnsi="Arial"/>
          <w:b/>
          <w:color w:val="2E2E2E"/>
          <w:sz w:val="18"/>
        </w:rPr>
        <w:t>Subsistemas Centralizados </w:t>
      </w:r>
      <w:r>
        <w:rPr>
          <w:rFonts w:ascii="Arial" w:hAnsi="Arial"/>
          <w:b/>
          <w:sz w:val="18"/>
        </w:rPr>
        <w:t>Federales</w:t>
      </w:r>
      <w:r>
        <w:rPr>
          <w:rFonts w:ascii="Arial" w:hAnsi="Arial"/>
          <w:b/>
          <w:color w:val="2E2E2E"/>
          <w:sz w:val="18"/>
        </w:rPr>
        <w:t>.- </w:t>
      </w:r>
      <w:r>
        <w:rPr>
          <w:sz w:val="18"/>
        </w:rPr>
        <w:t>Categoría a la que pertenecen los planteles de la Dirección General </w:t>
      </w:r>
      <w:r>
        <w:rPr>
          <w:sz w:val="18"/>
        </w:rPr>
        <w:t>de Educación Tecnológica Industrial y de Servicios (DGETI); la Dirección General de Educación Tecnológica</w:t>
      </w:r>
      <w:r>
        <w:rPr>
          <w:spacing w:val="-5"/>
          <w:sz w:val="18"/>
        </w:rPr>
        <w:t> </w:t>
      </w:r>
      <w:r>
        <w:rPr>
          <w:sz w:val="18"/>
        </w:rPr>
        <w:t>Agropecuaria y Ciencias del Mar (DGETAyCM); la Dirección General del Bachillerato (DGB); Dirección General del Bachillerato Tecnológico de Educación y Promoción Deportiva (DGBTED) </w:t>
      </w:r>
      <w:r>
        <w:rPr>
          <w:color w:val="2E2E2E"/>
          <w:sz w:val="18"/>
        </w:rPr>
        <w:t>y la Dirección General de Centros de Formación para el Trabajo (DGCFT).</w:t>
      </w:r>
    </w:p>
    <w:p>
      <w:pPr>
        <w:pStyle w:val="ListParagraph"/>
        <w:numPr>
          <w:ilvl w:val="0"/>
          <w:numId w:val="21"/>
        </w:numPr>
        <w:tabs>
          <w:tab w:pos="752" w:val="left" w:leader="none"/>
          <w:tab w:pos="762" w:val="left" w:leader="none"/>
        </w:tabs>
        <w:spacing w:line="240" w:lineRule="auto" w:before="102" w:after="0"/>
        <w:ind w:left="762" w:right="118" w:hanging="360"/>
        <w:jc w:val="both"/>
        <w:rPr>
          <w:sz w:val="18"/>
        </w:rPr>
      </w:pPr>
      <w:r>
        <w:rPr>
          <w:rFonts w:ascii="Arial" w:hAnsi="Arial"/>
          <w:b/>
          <w:sz w:val="18"/>
        </w:rPr>
        <w:t>Subsistemas</w:t>
      </w:r>
      <w:r>
        <w:rPr>
          <w:rFonts w:ascii="Arial" w:hAnsi="Arial"/>
          <w:b/>
          <w:spacing w:val="-2"/>
          <w:sz w:val="18"/>
        </w:rPr>
        <w:t> </w:t>
      </w:r>
      <w:r>
        <w:rPr>
          <w:rFonts w:ascii="Arial" w:hAnsi="Arial"/>
          <w:b/>
          <w:sz w:val="18"/>
        </w:rPr>
        <w:t>Descentralizados</w:t>
      </w:r>
      <w:r>
        <w:rPr>
          <w:rFonts w:ascii="Arial" w:hAnsi="Arial"/>
          <w:b/>
          <w:spacing w:val="-2"/>
          <w:sz w:val="18"/>
        </w:rPr>
        <w:t> </w:t>
      </w:r>
      <w:r>
        <w:rPr>
          <w:rFonts w:ascii="Arial" w:hAnsi="Arial"/>
          <w:b/>
          <w:sz w:val="18"/>
        </w:rPr>
        <w:t>Estatales.-</w:t>
      </w:r>
      <w:r>
        <w:rPr>
          <w:rFonts w:ascii="Arial" w:hAnsi="Arial"/>
          <w:b/>
          <w:spacing w:val="-2"/>
          <w:sz w:val="18"/>
        </w:rPr>
        <w:t> </w:t>
      </w:r>
      <w:r>
        <w:rPr>
          <w:sz w:val="18"/>
        </w:rPr>
        <w:t>Organismos</w:t>
      </w:r>
      <w:r>
        <w:rPr>
          <w:spacing w:val="-2"/>
          <w:sz w:val="18"/>
        </w:rPr>
        <w:t> </w:t>
      </w:r>
      <w:r>
        <w:rPr>
          <w:sz w:val="18"/>
        </w:rPr>
        <w:t>Descentralizados</w:t>
      </w:r>
      <w:r>
        <w:rPr>
          <w:spacing w:val="-2"/>
          <w:sz w:val="18"/>
        </w:rPr>
        <w:t> </w:t>
      </w:r>
      <w:r>
        <w:rPr>
          <w:sz w:val="18"/>
        </w:rPr>
        <w:t>Estatales</w:t>
      </w:r>
      <w:r>
        <w:rPr>
          <w:spacing w:val="-2"/>
          <w:sz w:val="18"/>
        </w:rPr>
        <w:t> </w:t>
      </w:r>
      <w:r>
        <w:rPr>
          <w:sz w:val="18"/>
        </w:rPr>
        <w:t>(ODES)</w:t>
      </w:r>
      <w:r>
        <w:rPr>
          <w:spacing w:val="-2"/>
          <w:sz w:val="18"/>
        </w:rPr>
        <w:t> </w:t>
      </w:r>
      <w:r>
        <w:rPr>
          <w:sz w:val="18"/>
        </w:rPr>
        <w:t>como</w:t>
      </w:r>
      <w:r>
        <w:rPr>
          <w:spacing w:val="-2"/>
          <w:sz w:val="18"/>
        </w:rPr>
        <w:t> </w:t>
      </w:r>
      <w:r>
        <w:rPr>
          <w:sz w:val="18"/>
        </w:rPr>
        <w:t>los</w:t>
      </w:r>
      <w:r>
        <w:rPr>
          <w:spacing w:val="-2"/>
          <w:sz w:val="18"/>
        </w:rPr>
        <w:t> </w:t>
      </w:r>
      <w:r>
        <w:rPr>
          <w:sz w:val="18"/>
        </w:rPr>
        <w:t>colegios</w:t>
      </w:r>
      <w:r>
        <w:rPr>
          <w:spacing w:val="-2"/>
          <w:sz w:val="18"/>
        </w:rPr>
        <w:t> </w:t>
      </w:r>
      <w:r>
        <w:rPr>
          <w:sz w:val="18"/>
        </w:rPr>
        <w:t>estatales del CONALEP, CECyTE y los Colegios de Bachilleres Estatales (COBAES), Educación Media Superior a Distancia (EMSaD), Telebachillerato Comunitario (TBC), Bachillerato Intercultural Bilingüe.</w:t>
      </w:r>
    </w:p>
    <w:p>
      <w:pPr>
        <w:pStyle w:val="ListParagraph"/>
        <w:numPr>
          <w:ilvl w:val="0"/>
          <w:numId w:val="21"/>
        </w:numPr>
        <w:tabs>
          <w:tab w:pos="762" w:val="left" w:leader="none"/>
          <w:tab w:pos="914" w:val="left" w:leader="none"/>
        </w:tabs>
        <w:spacing w:line="240" w:lineRule="auto" w:before="122" w:after="0"/>
        <w:ind w:left="762" w:right="117" w:hanging="360"/>
        <w:jc w:val="both"/>
        <w:rPr>
          <w:sz w:val="18"/>
        </w:rPr>
      </w:pPr>
      <w:r>
        <w:rPr>
          <w:rFonts w:ascii="Arial" w:hAnsi="Arial"/>
          <w:color w:val="2E2E2E"/>
          <w:sz w:val="18"/>
        </w:rPr>
        <w:tab/>
      </w:r>
      <w:r>
        <w:rPr>
          <w:rFonts w:ascii="Arial" w:hAnsi="Arial"/>
          <w:b/>
          <w:sz w:val="18"/>
        </w:rPr>
        <w:t>Subsistemas Descentralizados Federales.- </w:t>
      </w:r>
      <w:r>
        <w:rPr>
          <w:sz w:val="18"/>
        </w:rPr>
        <w:t>A esta categoría pertenecen los planteles del Colegio de </w:t>
      </w:r>
      <w:r>
        <w:rPr>
          <w:sz w:val="18"/>
        </w:rPr>
        <w:t>Bachilleres (COLBACH), el Colegio Nacional de Educación Profesional Técnica (CONALEP) en la Ciudad de México y Oaxaca, y el Centro de Enseñanza Técnica Industrial (CETI).</w:t>
      </w:r>
    </w:p>
    <w:p>
      <w:pPr>
        <w:pStyle w:val="Heading2"/>
      </w:pPr>
      <w:r>
        <w:rPr/>
        <w:t>Anexo 1b Modelo de Carta </w:t>
      </w:r>
      <w:r>
        <w:rPr>
          <w:spacing w:val="-2"/>
        </w:rPr>
        <w:t>compromiso</w:t>
      </w:r>
    </w:p>
    <w:p>
      <w:pPr>
        <w:pStyle w:val="BodyText"/>
        <w:ind w:left="8288" w:right="0" w:firstLine="0"/>
        <w:jc w:val="left"/>
      </w:pPr>
      <w:r>
        <w:rPr/>
        <w:t>Entidad Federativa y </w:t>
      </w:r>
      <w:r>
        <w:rPr>
          <w:spacing w:val="-2"/>
        </w:rPr>
        <w:t>Fecha:</w:t>
      </w:r>
    </w:p>
    <w:p>
      <w:pPr>
        <w:pStyle w:val="BodyText"/>
        <w:spacing w:before="93"/>
        <w:ind w:left="402" w:right="0" w:firstLine="0"/>
        <w:jc w:val="left"/>
      </w:pPr>
      <w:r>
        <w:rPr>
          <w:spacing w:val="-2"/>
        </w:rPr>
        <w:t>(Nombre)</w:t>
      </w:r>
    </w:p>
    <w:p>
      <w:pPr>
        <w:pStyle w:val="BodyText"/>
        <w:spacing w:line="364" w:lineRule="auto"/>
        <w:ind w:left="402" w:right="2008" w:firstLine="0"/>
        <w:jc w:val="left"/>
      </w:pPr>
      <w:r>
        <w:rPr/>
        <w:t>Subsecretaria/o</w:t>
      </w:r>
      <w:r>
        <w:rPr>
          <w:spacing w:val="-3"/>
        </w:rPr>
        <w:t> </w:t>
      </w:r>
      <w:r>
        <w:rPr/>
        <w:t>de</w:t>
      </w:r>
      <w:r>
        <w:rPr>
          <w:spacing w:val="-3"/>
        </w:rPr>
        <w:t> </w:t>
      </w:r>
      <w:r>
        <w:rPr/>
        <w:t>Educación</w:t>
      </w:r>
      <w:r>
        <w:rPr>
          <w:spacing w:val="-3"/>
        </w:rPr>
        <w:t> </w:t>
      </w:r>
      <w:r>
        <w:rPr/>
        <w:t>Media</w:t>
      </w:r>
      <w:r>
        <w:rPr>
          <w:spacing w:val="-3"/>
        </w:rPr>
        <w:t> </w:t>
      </w:r>
      <w:r>
        <w:rPr/>
        <w:t>Superior</w:t>
      </w:r>
      <w:r>
        <w:rPr>
          <w:spacing w:val="-3"/>
        </w:rPr>
        <w:t> </w:t>
      </w:r>
      <w:r>
        <w:rPr/>
        <w:t>de</w:t>
      </w:r>
      <w:r>
        <w:rPr>
          <w:spacing w:val="-3"/>
        </w:rPr>
        <w:t> </w:t>
      </w:r>
      <w:r>
        <w:rPr/>
        <w:t>la</w:t>
      </w:r>
      <w:r>
        <w:rPr>
          <w:spacing w:val="-3"/>
        </w:rPr>
        <w:t> </w:t>
      </w:r>
      <w:r>
        <w:rPr/>
        <w:t>Secretaría</w:t>
      </w:r>
      <w:r>
        <w:rPr>
          <w:spacing w:val="-3"/>
        </w:rPr>
        <w:t> </w:t>
      </w:r>
      <w:r>
        <w:rPr/>
        <w:t>de</w:t>
      </w:r>
      <w:r>
        <w:rPr>
          <w:spacing w:val="-3"/>
        </w:rPr>
        <w:t> </w:t>
      </w:r>
      <w:r>
        <w:rPr/>
        <w:t>Educación</w:t>
      </w:r>
      <w:r>
        <w:rPr>
          <w:spacing w:val="-3"/>
        </w:rPr>
        <w:t> </w:t>
      </w:r>
      <w:r>
        <w:rPr/>
        <w:t>Pública</w:t>
      </w:r>
      <w:r>
        <w:rPr>
          <w:spacing w:val="-3"/>
        </w:rPr>
        <w:t> </w:t>
      </w:r>
      <w:r>
        <w:rPr/>
        <w:t>de</w:t>
      </w:r>
      <w:r>
        <w:rPr>
          <w:spacing w:val="-3"/>
        </w:rPr>
        <w:t> </w:t>
      </w:r>
      <w:r>
        <w:rPr/>
        <w:t>la</w:t>
      </w:r>
      <w:r>
        <w:rPr>
          <w:spacing w:val="-13"/>
        </w:rPr>
        <w:t> </w:t>
      </w:r>
      <w:r>
        <w:rPr/>
        <w:t>APF </w:t>
      </w:r>
      <w:r>
        <w:rPr>
          <w:spacing w:val="-2"/>
        </w:rPr>
        <w:t>Presente</w:t>
      </w:r>
    </w:p>
    <w:p>
      <w:pPr>
        <w:pStyle w:val="BodyText"/>
        <w:spacing w:line="242" w:lineRule="auto" w:before="0"/>
      </w:pPr>
      <w:r>
        <w:rPr/>
        <w:t>De conformidad con las Reglas de Operación del Programa para la Atención de Planteles Públicos de Educación </w:t>
      </w:r>
      <w:r>
        <w:rPr/>
        <w:t>Media Superior con estudiantes con discapacidad (PAPPEMS) publicadas en el Diario Oficial de la Federación para el ejercicio fiscal vigente, me permito informar a usted que (nombre de la Entidad Federativa) expresa su voluntad, interés y compromiso de participar en su gestión y desarrollo.</w:t>
      </w:r>
    </w:p>
    <w:p>
      <w:pPr>
        <w:pStyle w:val="BodyText"/>
        <w:spacing w:before="6"/>
        <w:ind w:left="0" w:right="0" w:firstLine="0"/>
        <w:jc w:val="left"/>
        <w:rPr>
          <w:sz w:val="8"/>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10"/>
        <w:gridCol w:w="7890"/>
      </w:tblGrid>
      <w:tr>
        <w:trPr>
          <w:trHeight w:val="344" w:hRule="atLeast"/>
        </w:trPr>
        <w:tc>
          <w:tcPr>
            <w:tcW w:w="1410" w:type="dxa"/>
          </w:tcPr>
          <w:p>
            <w:pPr>
              <w:pStyle w:val="TableParagraph"/>
              <w:spacing w:before="11"/>
              <w:ind w:left="79"/>
              <w:rPr>
                <w:sz w:val="18"/>
              </w:rPr>
            </w:pPr>
            <w:r>
              <w:rPr>
                <w:spacing w:val="-2"/>
                <w:sz w:val="18"/>
              </w:rPr>
              <w:t>Clave</w:t>
            </w:r>
          </w:p>
        </w:tc>
        <w:tc>
          <w:tcPr>
            <w:tcW w:w="7890" w:type="dxa"/>
          </w:tcPr>
          <w:p>
            <w:pPr>
              <w:pStyle w:val="TableParagraph"/>
              <w:spacing w:before="11"/>
              <w:ind w:left="18"/>
              <w:jc w:val="center"/>
              <w:rPr>
                <w:sz w:val="18"/>
              </w:rPr>
            </w:pPr>
            <w:r>
              <w:rPr>
                <w:spacing w:val="-2"/>
                <w:sz w:val="18"/>
              </w:rPr>
              <w:t>Programa</w:t>
            </w:r>
          </w:p>
        </w:tc>
      </w:tr>
      <w:tr>
        <w:trPr>
          <w:trHeight w:val="554" w:hRule="atLeast"/>
        </w:trPr>
        <w:tc>
          <w:tcPr>
            <w:tcW w:w="1410" w:type="dxa"/>
          </w:tcPr>
          <w:p>
            <w:pPr>
              <w:pStyle w:val="TableParagraph"/>
              <w:spacing w:before="11"/>
              <w:ind w:left="79"/>
              <w:rPr>
                <w:sz w:val="18"/>
              </w:rPr>
            </w:pPr>
            <w:r>
              <w:rPr>
                <w:spacing w:val="-4"/>
                <w:sz w:val="18"/>
              </w:rPr>
              <w:t>S298</w:t>
            </w:r>
          </w:p>
        </w:tc>
        <w:tc>
          <w:tcPr>
            <w:tcW w:w="7890" w:type="dxa"/>
          </w:tcPr>
          <w:p>
            <w:pPr>
              <w:pStyle w:val="TableParagraph"/>
              <w:spacing w:line="242" w:lineRule="auto" w:before="11"/>
              <w:ind w:left="82"/>
              <w:rPr>
                <w:sz w:val="18"/>
              </w:rPr>
            </w:pPr>
            <w:r>
              <w:rPr>
                <w:sz w:val="18"/>
              </w:rPr>
              <w:t>Programa para la</w:t>
            </w:r>
            <w:r>
              <w:rPr>
                <w:spacing w:val="-5"/>
                <w:sz w:val="18"/>
              </w:rPr>
              <w:t> </w:t>
            </w:r>
            <w:r>
              <w:rPr>
                <w:sz w:val="18"/>
              </w:rPr>
              <w:t>Atención de Planteles Públicos de Educación Media Superior con estudiantes con discapacidad</w:t>
            </w:r>
          </w:p>
        </w:tc>
      </w:tr>
    </w:tbl>
    <w:p>
      <w:pPr>
        <w:pStyle w:val="BodyText"/>
        <w:spacing w:line="242" w:lineRule="auto" w:before="0"/>
      </w:pPr>
      <w:r>
        <w:rPr/>
        <w:t>Asimismo, el Gobierno de la Entidad federativa por conducto de la Autoridad Educativa Local legalmente facultada, </w:t>
      </w:r>
      <w:r>
        <w:rPr/>
        <w:t>se compromete a firmar el Convenio para la Operación del PAPPEMS, así como a cumplir con las obligaciones, compromisos y acciones para la operación del programa.</w:t>
      </w:r>
    </w:p>
    <w:p>
      <w:pPr>
        <w:pStyle w:val="BodyText"/>
        <w:spacing w:line="364" w:lineRule="auto" w:before="91"/>
        <w:ind w:left="402" w:right="8951" w:firstLine="0"/>
        <w:jc w:val="left"/>
      </w:pPr>
      <w:r>
        <w:rPr>
          <w:spacing w:val="-2"/>
        </w:rPr>
        <w:t>Atentamente </w:t>
      </w:r>
      <w:r>
        <w:rPr>
          <w:spacing w:val="-4"/>
        </w:rPr>
        <w:t>AEL</w:t>
      </w:r>
    </w:p>
    <w:p>
      <w:pPr>
        <w:pStyle w:val="BodyText"/>
        <w:spacing w:before="0"/>
        <w:ind w:left="402" w:right="0" w:firstLine="0"/>
        <w:jc w:val="left"/>
      </w:pPr>
      <w:r>
        <w:rPr/>
        <w:t>[El</w:t>
      </w:r>
      <w:r>
        <w:rPr>
          <w:spacing w:val="-6"/>
        </w:rPr>
        <w:t> </w:t>
      </w:r>
      <w:r>
        <w:rPr/>
        <w:t>Titular</w:t>
      </w:r>
      <w:r>
        <w:rPr>
          <w:spacing w:val="-1"/>
        </w:rPr>
        <w:t> </w:t>
      </w:r>
      <w:r>
        <w:rPr/>
        <w:t>de</w:t>
      </w:r>
      <w:r>
        <w:rPr>
          <w:spacing w:val="-1"/>
        </w:rPr>
        <w:t> </w:t>
      </w:r>
      <w:r>
        <w:rPr/>
        <w:t>la</w:t>
      </w:r>
      <w:r>
        <w:rPr>
          <w:spacing w:val="-11"/>
        </w:rPr>
        <w:t> </w:t>
      </w:r>
      <w:r>
        <w:rPr/>
        <w:t>Autoridad</w:t>
      </w:r>
      <w:r>
        <w:rPr>
          <w:spacing w:val="-1"/>
        </w:rPr>
        <w:t> </w:t>
      </w:r>
      <w:r>
        <w:rPr/>
        <w:t>Educativa</w:t>
      </w:r>
      <w:r>
        <w:rPr>
          <w:spacing w:val="-1"/>
        </w:rPr>
        <w:t> </w:t>
      </w:r>
      <w:r>
        <w:rPr>
          <w:spacing w:val="-2"/>
        </w:rPr>
        <w:t>Local]</w:t>
      </w:r>
    </w:p>
    <w:p>
      <w:pPr>
        <w:pStyle w:val="Heading2"/>
        <w:spacing w:before="109"/>
      </w:pPr>
      <w:r>
        <w:rPr/>
        <w:t>Anexo</w:t>
      </w:r>
      <w:r>
        <w:rPr>
          <w:spacing w:val="-2"/>
        </w:rPr>
        <w:t> </w:t>
      </w:r>
      <w:r>
        <w:rPr/>
        <w:t>1c Modelo de Convenio de Colaboración para la operación del </w:t>
      </w:r>
      <w:r>
        <w:rPr>
          <w:spacing w:val="-2"/>
        </w:rPr>
        <w:t>PAPPEMS</w:t>
      </w:r>
    </w:p>
    <w:p>
      <w:pPr>
        <w:spacing w:line="235" w:lineRule="auto" w:before="99"/>
        <w:ind w:left="114" w:right="116" w:firstLine="287"/>
        <w:jc w:val="both"/>
        <w:rPr>
          <w:sz w:val="16"/>
        </w:rPr>
      </w:pPr>
      <w:r>
        <w:rPr>
          <w:sz w:val="16"/>
        </w:rPr>
        <w:t>CONVENIO DE COLABORACIÓN PARA LA OPERACIÓN DEL PROGRAMA ATENCIÓN DE PLANTELES PÚBLICOS DE </w:t>
      </w:r>
      <w:r>
        <w:rPr>
          <w:sz w:val="16"/>
        </w:rPr>
        <w:t>EDUCACIÓN MEDIA SUPERIOR CON ESTUDIANTES CON DISCAPACIDAD, EN LO SUCESIVO </w:t>
      </w:r>
      <w:r>
        <w:rPr>
          <w:rFonts w:ascii="Arial" w:hAnsi="Arial"/>
          <w:b/>
          <w:sz w:val="16"/>
        </w:rPr>
        <w:t>"EL PAPPEMS"</w:t>
      </w:r>
      <w:r>
        <w:rPr>
          <w:sz w:val="16"/>
        </w:rPr>
        <w:t>, QUE CELEBRAN POR UNA PARTE EL GOBIERNO FEDERAL, POR CONDUCTO DE LA SECRETARÍA DE EDUCACIÓN PÚBLICA, EN LO SUCESIVO </w:t>
      </w:r>
      <w:r>
        <w:rPr>
          <w:rFonts w:ascii="Arial" w:hAnsi="Arial"/>
          <w:b/>
          <w:sz w:val="16"/>
        </w:rPr>
        <w:t>"LA SEP"</w:t>
      </w:r>
      <w:r>
        <w:rPr>
          <w:sz w:val="16"/>
        </w:rPr>
        <w:t>, REPRESENTADA POR EL/LA</w:t>
      </w:r>
      <w:r>
        <w:rPr>
          <w:spacing w:val="-6"/>
          <w:sz w:val="16"/>
        </w:rPr>
        <w:t> </w:t>
      </w:r>
      <w:r>
        <w:rPr>
          <w:sz w:val="16"/>
        </w:rPr>
        <w:t>(NOMBRE Y</w:t>
      </w:r>
      <w:r>
        <w:rPr>
          <w:spacing w:val="-8"/>
          <w:sz w:val="16"/>
        </w:rPr>
        <w:t> </w:t>
      </w:r>
      <w:r>
        <w:rPr>
          <w:sz w:val="16"/>
        </w:rPr>
        <w:t>APELLIDOS), SUBSECRETARIO/A</w:t>
      </w:r>
      <w:r>
        <w:rPr>
          <w:spacing w:val="-5"/>
          <w:sz w:val="16"/>
        </w:rPr>
        <w:t> </w:t>
      </w:r>
      <w:r>
        <w:rPr>
          <w:sz w:val="16"/>
        </w:rPr>
        <w:t>DE EDUCACIÓN MEDIA</w:t>
      </w:r>
      <w:r>
        <w:rPr>
          <w:spacing w:val="-6"/>
          <w:sz w:val="16"/>
        </w:rPr>
        <w:t> </w:t>
      </w:r>
      <w:r>
        <w:rPr>
          <w:sz w:val="16"/>
        </w:rPr>
        <w:t>SUPERIOR,</w:t>
      </w:r>
      <w:r>
        <w:rPr>
          <w:spacing w:val="-6"/>
          <w:sz w:val="16"/>
        </w:rPr>
        <w:t> </w:t>
      </w:r>
      <w:r>
        <w:rPr>
          <w:sz w:val="16"/>
        </w:rPr>
        <w:t>ASISTIDO/A</w:t>
      </w:r>
      <w:r>
        <w:rPr>
          <w:spacing w:val="-6"/>
          <w:sz w:val="16"/>
        </w:rPr>
        <w:t> </w:t>
      </w:r>
      <w:r>
        <w:rPr>
          <w:sz w:val="16"/>
        </w:rPr>
        <w:t>POR EL/LA</w:t>
      </w:r>
      <w:r>
        <w:rPr>
          <w:spacing w:val="-6"/>
          <w:sz w:val="16"/>
        </w:rPr>
        <w:t> </w:t>
      </w:r>
      <w:r>
        <w:rPr>
          <w:sz w:val="16"/>
        </w:rPr>
        <w:t>COORDINADOR(A) SECTORIAL</w:t>
      </w:r>
      <w:r>
        <w:rPr>
          <w:spacing w:val="-12"/>
          <w:sz w:val="16"/>
        </w:rPr>
        <w:t> </w:t>
      </w:r>
      <w:r>
        <w:rPr>
          <w:sz w:val="16"/>
        </w:rPr>
        <w:t>DE</w:t>
      </w:r>
      <w:r>
        <w:rPr>
          <w:spacing w:val="-10"/>
          <w:sz w:val="16"/>
        </w:rPr>
        <w:t> </w:t>
      </w:r>
      <w:r>
        <w:rPr>
          <w:sz w:val="16"/>
        </w:rPr>
        <w:t>PLANEACIÓN</w:t>
      </w:r>
      <w:r>
        <w:rPr>
          <w:spacing w:val="-7"/>
          <w:sz w:val="16"/>
        </w:rPr>
        <w:t> </w:t>
      </w:r>
      <w:r>
        <w:rPr>
          <w:sz w:val="16"/>
        </w:rPr>
        <w:t>Y</w:t>
      </w:r>
      <w:r>
        <w:rPr>
          <w:spacing w:val="-12"/>
          <w:sz w:val="16"/>
        </w:rPr>
        <w:t> </w:t>
      </w:r>
      <w:r>
        <w:rPr>
          <w:sz w:val="16"/>
        </w:rPr>
        <w:t>ADMINISTRACIÓN</w:t>
      </w:r>
      <w:r>
        <w:rPr>
          <w:spacing w:val="-3"/>
          <w:sz w:val="16"/>
        </w:rPr>
        <w:t> </w:t>
      </w:r>
      <w:r>
        <w:rPr>
          <w:sz w:val="16"/>
        </w:rPr>
        <w:t>(NOMBRE</w:t>
      </w:r>
      <w:r>
        <w:rPr>
          <w:spacing w:val="-7"/>
          <w:sz w:val="16"/>
        </w:rPr>
        <w:t> </w:t>
      </w:r>
      <w:r>
        <w:rPr>
          <w:sz w:val="16"/>
        </w:rPr>
        <w:t>Y</w:t>
      </w:r>
      <w:r>
        <w:rPr>
          <w:spacing w:val="-12"/>
          <w:sz w:val="16"/>
        </w:rPr>
        <w:t> </w:t>
      </w:r>
      <w:r>
        <w:rPr>
          <w:sz w:val="16"/>
        </w:rPr>
        <w:t>APELLIDOS);</w:t>
      </w:r>
      <w:r>
        <w:rPr>
          <w:spacing w:val="-6"/>
          <w:sz w:val="16"/>
        </w:rPr>
        <w:t> </w:t>
      </w:r>
      <w:r>
        <w:rPr>
          <w:sz w:val="16"/>
        </w:rPr>
        <w:t>Y</w:t>
      </w:r>
      <w:r>
        <w:rPr>
          <w:spacing w:val="-7"/>
          <w:sz w:val="16"/>
        </w:rPr>
        <w:t> </w:t>
      </w:r>
      <w:r>
        <w:rPr>
          <w:sz w:val="16"/>
        </w:rPr>
        <w:t>POR</w:t>
      </w:r>
      <w:r>
        <w:rPr>
          <w:spacing w:val="-4"/>
          <w:sz w:val="16"/>
        </w:rPr>
        <w:t> </w:t>
      </w:r>
      <w:r>
        <w:rPr>
          <w:sz w:val="16"/>
        </w:rPr>
        <w:t>LA</w:t>
      </w:r>
      <w:r>
        <w:rPr>
          <w:spacing w:val="-12"/>
          <w:sz w:val="16"/>
        </w:rPr>
        <w:t> </w:t>
      </w:r>
      <w:r>
        <w:rPr>
          <w:sz w:val="16"/>
        </w:rPr>
        <w:t>OTRA</w:t>
      </w:r>
      <w:r>
        <w:rPr>
          <w:spacing w:val="-11"/>
          <w:sz w:val="16"/>
        </w:rPr>
        <w:t> </w:t>
      </w:r>
      <w:r>
        <w:rPr>
          <w:sz w:val="16"/>
        </w:rPr>
        <w:t>PARTE</w:t>
      </w:r>
      <w:r>
        <w:rPr>
          <w:spacing w:val="-4"/>
          <w:sz w:val="16"/>
        </w:rPr>
        <w:t> </w:t>
      </w:r>
      <w:r>
        <w:rPr>
          <w:sz w:val="16"/>
        </w:rPr>
        <w:t>EL</w:t>
      </w:r>
      <w:r>
        <w:rPr>
          <w:spacing w:val="-10"/>
          <w:sz w:val="16"/>
        </w:rPr>
        <w:t> </w:t>
      </w:r>
      <w:r>
        <w:rPr>
          <w:sz w:val="16"/>
        </w:rPr>
        <w:t>GOBIERNO</w:t>
      </w:r>
      <w:r>
        <w:rPr>
          <w:spacing w:val="-4"/>
          <w:sz w:val="16"/>
        </w:rPr>
        <w:t> </w:t>
      </w:r>
      <w:r>
        <w:rPr>
          <w:sz w:val="16"/>
        </w:rPr>
        <w:t>DEL</w:t>
      </w:r>
      <w:r>
        <w:rPr>
          <w:spacing w:val="-10"/>
          <w:sz w:val="16"/>
        </w:rPr>
        <w:t> </w:t>
      </w:r>
      <w:r>
        <w:rPr>
          <w:sz w:val="16"/>
        </w:rPr>
        <w:t>ESTADO</w:t>
      </w:r>
      <w:r>
        <w:rPr>
          <w:spacing w:val="-4"/>
          <w:sz w:val="16"/>
        </w:rPr>
        <w:t> </w:t>
      </w:r>
      <w:r>
        <w:rPr>
          <w:sz w:val="16"/>
        </w:rPr>
        <w:t>LIBRE</w:t>
      </w:r>
      <w:r>
        <w:rPr>
          <w:spacing w:val="-7"/>
          <w:sz w:val="16"/>
        </w:rPr>
        <w:t> </w:t>
      </w:r>
      <w:r>
        <w:rPr>
          <w:sz w:val="16"/>
        </w:rPr>
        <w:t>Y SOBERANO DE (NOMBRE DEL ESTADO) EN LO SUCESIVO "</w:t>
      </w:r>
      <w:r>
        <w:rPr>
          <w:rFonts w:ascii="Arial" w:hAnsi="Arial"/>
          <w:b/>
          <w:sz w:val="16"/>
        </w:rPr>
        <w:t>EL GOBIERNO DE LA ENTIDAD FEDERATIVA</w:t>
      </w:r>
      <w:r>
        <w:rPr>
          <w:sz w:val="16"/>
        </w:rPr>
        <w:t>", REPRESENTADO POR SU GOBERNADOR/A CONSTITUCIONAL (NOMBRE Y APELLIDOS); ASISTIDO/A POR EL/LA (EL/LA) SECRETARIO(A) DE (FINANZAS o equivalente), (NOMBRE Y APELLIDOS); POR (EL/LA) SECRETARIO(A) DE (EDUCACIÓN o equivalente), (NOMBRE Y APELLIDOS); A QUIENES</w:t>
      </w:r>
      <w:r>
        <w:rPr>
          <w:spacing w:val="-7"/>
          <w:sz w:val="16"/>
        </w:rPr>
        <w:t> </w:t>
      </w:r>
      <w:r>
        <w:rPr>
          <w:sz w:val="16"/>
        </w:rPr>
        <w:t>EN</w:t>
      </w:r>
      <w:r>
        <w:rPr>
          <w:spacing w:val="-4"/>
          <w:sz w:val="16"/>
        </w:rPr>
        <w:t> </w:t>
      </w:r>
      <w:r>
        <w:rPr>
          <w:sz w:val="16"/>
        </w:rPr>
        <w:t>FORMA</w:t>
      </w:r>
      <w:r>
        <w:rPr>
          <w:spacing w:val="-12"/>
          <w:sz w:val="16"/>
        </w:rPr>
        <w:t> </w:t>
      </w:r>
      <w:r>
        <w:rPr>
          <w:sz w:val="16"/>
        </w:rPr>
        <w:t>CONJUNTA</w:t>
      </w:r>
      <w:r>
        <w:rPr>
          <w:spacing w:val="-11"/>
          <w:sz w:val="16"/>
        </w:rPr>
        <w:t> </w:t>
      </w:r>
      <w:r>
        <w:rPr>
          <w:sz w:val="16"/>
        </w:rPr>
        <w:t>SE</w:t>
      </w:r>
      <w:r>
        <w:rPr>
          <w:spacing w:val="-3"/>
          <w:sz w:val="16"/>
        </w:rPr>
        <w:t> </w:t>
      </w:r>
      <w:r>
        <w:rPr>
          <w:sz w:val="16"/>
        </w:rPr>
        <w:t>LES</w:t>
      </w:r>
      <w:r>
        <w:rPr>
          <w:spacing w:val="-4"/>
          <w:sz w:val="16"/>
        </w:rPr>
        <w:t> </w:t>
      </w:r>
      <w:r>
        <w:rPr>
          <w:sz w:val="16"/>
        </w:rPr>
        <w:t>DENOMINARÁ</w:t>
      </w:r>
      <w:r>
        <w:rPr>
          <w:spacing w:val="-4"/>
          <w:sz w:val="16"/>
        </w:rPr>
        <w:t> </w:t>
      </w:r>
      <w:r>
        <w:rPr>
          <w:sz w:val="16"/>
        </w:rPr>
        <w:t>COMO</w:t>
      </w:r>
      <w:r>
        <w:rPr>
          <w:spacing w:val="-4"/>
          <w:sz w:val="16"/>
        </w:rPr>
        <w:t> </w:t>
      </w:r>
      <w:r>
        <w:rPr>
          <w:rFonts w:ascii="Arial" w:hAnsi="Arial"/>
          <w:b/>
          <w:sz w:val="16"/>
        </w:rPr>
        <w:t>"LAS</w:t>
      </w:r>
      <w:r>
        <w:rPr>
          <w:rFonts w:ascii="Arial" w:hAnsi="Arial"/>
          <w:b/>
          <w:spacing w:val="-4"/>
          <w:sz w:val="16"/>
        </w:rPr>
        <w:t> </w:t>
      </w:r>
      <w:r>
        <w:rPr>
          <w:rFonts w:ascii="Arial" w:hAnsi="Arial"/>
          <w:b/>
          <w:sz w:val="16"/>
        </w:rPr>
        <w:t>PARTES",</w:t>
      </w:r>
      <w:r>
        <w:rPr>
          <w:rFonts w:ascii="Arial" w:hAnsi="Arial"/>
          <w:b/>
          <w:spacing w:val="-4"/>
          <w:sz w:val="16"/>
        </w:rPr>
        <w:t> </w:t>
      </w:r>
      <w:r>
        <w:rPr>
          <w:sz w:val="16"/>
        </w:rPr>
        <w:t>AL</w:t>
      </w:r>
      <w:r>
        <w:rPr>
          <w:spacing w:val="-12"/>
          <w:sz w:val="16"/>
        </w:rPr>
        <w:t> </w:t>
      </w:r>
      <w:r>
        <w:rPr>
          <w:sz w:val="16"/>
        </w:rPr>
        <w:t>TENOR</w:t>
      </w:r>
      <w:r>
        <w:rPr>
          <w:spacing w:val="-3"/>
          <w:sz w:val="16"/>
        </w:rPr>
        <w:t> </w:t>
      </w:r>
      <w:r>
        <w:rPr>
          <w:sz w:val="16"/>
        </w:rPr>
        <w:t>DE</w:t>
      </w:r>
      <w:r>
        <w:rPr>
          <w:spacing w:val="-4"/>
          <w:sz w:val="16"/>
        </w:rPr>
        <w:t> </w:t>
      </w:r>
      <w:r>
        <w:rPr>
          <w:sz w:val="16"/>
        </w:rPr>
        <w:t>LOS</w:t>
      </w:r>
      <w:r>
        <w:rPr>
          <w:spacing w:val="-12"/>
          <w:sz w:val="16"/>
        </w:rPr>
        <w:t> </w:t>
      </w:r>
      <w:r>
        <w:rPr>
          <w:sz w:val="16"/>
        </w:rPr>
        <w:t>ANTECEDENTES,</w:t>
      </w:r>
      <w:r>
        <w:rPr>
          <w:spacing w:val="-3"/>
          <w:sz w:val="16"/>
        </w:rPr>
        <w:t> </w:t>
      </w:r>
      <w:r>
        <w:rPr>
          <w:sz w:val="16"/>
        </w:rPr>
        <w:t>DECLARACIONES</w:t>
      </w:r>
      <w:r>
        <w:rPr>
          <w:spacing w:val="-7"/>
          <w:sz w:val="16"/>
        </w:rPr>
        <w:t> </w:t>
      </w:r>
      <w:r>
        <w:rPr>
          <w:sz w:val="16"/>
        </w:rPr>
        <w:t>Y CLÁUSULAS SIGUIENTES:</w:t>
      </w:r>
    </w:p>
    <w:p>
      <w:pPr>
        <w:pStyle w:val="Heading1"/>
        <w:spacing w:before="96"/>
        <w:ind w:right="935"/>
        <w:jc w:val="center"/>
      </w:pPr>
      <w:r>
        <w:rPr>
          <w:color w:val="2E2E2E"/>
          <w:spacing w:val="-2"/>
        </w:rPr>
        <w:t>ANTECEDENTES</w:t>
      </w:r>
    </w:p>
    <w:p>
      <w:pPr>
        <w:pStyle w:val="ListParagraph"/>
        <w:numPr>
          <w:ilvl w:val="4"/>
          <w:numId w:val="20"/>
        </w:numPr>
        <w:tabs>
          <w:tab w:pos="834" w:val="left" w:leader="none"/>
          <w:tab w:pos="1018" w:val="left" w:leader="none"/>
        </w:tabs>
        <w:spacing w:line="242" w:lineRule="auto" w:before="122" w:after="0"/>
        <w:ind w:left="834" w:right="117" w:hanging="432"/>
        <w:jc w:val="both"/>
        <w:rPr>
          <w:sz w:val="18"/>
        </w:rPr>
      </w:pPr>
      <w:r>
        <w:rPr>
          <w:b/>
          <w:color w:val="2E2E2E"/>
          <w:sz w:val="18"/>
        </w:rPr>
        <w:tab/>
      </w:r>
      <w:r>
        <w:rPr>
          <w:color w:val="2E2E2E"/>
          <w:sz w:val="18"/>
        </w:rPr>
        <w:t>Conforme al artículo 3o. de la Constitución Política de los Estados Unidos Mexicanos, los planteles educativos constituyen un espacio fundamental para el proceso de enseñanza aprendizaje. El Estado garantizará que los </w:t>
      </w:r>
      <w:r>
        <w:rPr>
          <w:color w:val="2E2E2E"/>
          <w:sz w:val="18"/>
        </w:rPr>
        <w:t>materiales didácticos,</w:t>
      </w:r>
      <w:r>
        <w:rPr>
          <w:color w:val="2E2E2E"/>
          <w:spacing w:val="-1"/>
          <w:sz w:val="18"/>
        </w:rPr>
        <w:t> </w:t>
      </w:r>
      <w:r>
        <w:rPr>
          <w:color w:val="2E2E2E"/>
          <w:sz w:val="18"/>
        </w:rPr>
        <w:t>la</w:t>
      </w:r>
      <w:r>
        <w:rPr>
          <w:color w:val="2E2E2E"/>
          <w:spacing w:val="-1"/>
          <w:sz w:val="18"/>
        </w:rPr>
        <w:t> </w:t>
      </w:r>
      <w:r>
        <w:rPr>
          <w:color w:val="2E2E2E"/>
          <w:sz w:val="18"/>
        </w:rPr>
        <w:t>infraestructura</w:t>
      </w:r>
      <w:r>
        <w:rPr>
          <w:color w:val="2E2E2E"/>
          <w:spacing w:val="-1"/>
          <w:sz w:val="18"/>
        </w:rPr>
        <w:t> </w:t>
      </w:r>
      <w:r>
        <w:rPr>
          <w:color w:val="2E2E2E"/>
          <w:sz w:val="18"/>
        </w:rPr>
        <w:t>educativa,</w:t>
      </w:r>
      <w:r>
        <w:rPr>
          <w:color w:val="2E2E2E"/>
          <w:spacing w:val="-1"/>
          <w:sz w:val="18"/>
        </w:rPr>
        <w:t> </w:t>
      </w:r>
      <w:r>
        <w:rPr>
          <w:color w:val="2E2E2E"/>
          <w:sz w:val="18"/>
        </w:rPr>
        <w:t>su</w:t>
      </w:r>
      <w:r>
        <w:rPr>
          <w:color w:val="2E2E2E"/>
          <w:spacing w:val="-1"/>
          <w:sz w:val="18"/>
        </w:rPr>
        <w:t> </w:t>
      </w:r>
      <w:r>
        <w:rPr>
          <w:color w:val="2E2E2E"/>
          <w:sz w:val="18"/>
        </w:rPr>
        <w:t>mantenimiento</w:t>
      </w:r>
      <w:r>
        <w:rPr>
          <w:color w:val="2E2E2E"/>
          <w:spacing w:val="-1"/>
          <w:sz w:val="18"/>
        </w:rPr>
        <w:t> </w:t>
      </w:r>
      <w:r>
        <w:rPr>
          <w:color w:val="2E2E2E"/>
          <w:sz w:val="18"/>
        </w:rPr>
        <w:t>y</w:t>
      </w:r>
      <w:r>
        <w:rPr>
          <w:color w:val="2E2E2E"/>
          <w:spacing w:val="-1"/>
          <w:sz w:val="18"/>
        </w:rPr>
        <w:t> </w:t>
      </w:r>
      <w:r>
        <w:rPr>
          <w:color w:val="2E2E2E"/>
          <w:sz w:val="18"/>
        </w:rPr>
        <w:t>las condiciones</w:t>
      </w:r>
      <w:r>
        <w:rPr>
          <w:color w:val="2E2E2E"/>
          <w:spacing w:val="-1"/>
          <w:sz w:val="18"/>
        </w:rPr>
        <w:t> </w:t>
      </w:r>
      <w:r>
        <w:rPr>
          <w:color w:val="2E2E2E"/>
          <w:sz w:val="18"/>
        </w:rPr>
        <w:t>del</w:t>
      </w:r>
      <w:r>
        <w:rPr>
          <w:color w:val="2E2E2E"/>
          <w:spacing w:val="-1"/>
          <w:sz w:val="18"/>
        </w:rPr>
        <w:t> </w:t>
      </w:r>
      <w:r>
        <w:rPr>
          <w:color w:val="2E2E2E"/>
          <w:sz w:val="18"/>
        </w:rPr>
        <w:t>entorno,</w:t>
      </w:r>
      <w:r>
        <w:rPr>
          <w:color w:val="2E2E2E"/>
          <w:spacing w:val="-1"/>
          <w:sz w:val="18"/>
        </w:rPr>
        <w:t> </w:t>
      </w:r>
      <w:r>
        <w:rPr>
          <w:color w:val="2E2E2E"/>
          <w:sz w:val="18"/>
        </w:rPr>
        <w:t>sean</w:t>
      </w:r>
      <w:r>
        <w:rPr>
          <w:color w:val="2E2E2E"/>
          <w:spacing w:val="-1"/>
          <w:sz w:val="18"/>
        </w:rPr>
        <w:t> </w:t>
      </w:r>
      <w:r>
        <w:rPr>
          <w:color w:val="2E2E2E"/>
          <w:sz w:val="18"/>
        </w:rPr>
        <w:t>idóneos</w:t>
      </w:r>
      <w:r>
        <w:rPr>
          <w:color w:val="2E2E2E"/>
          <w:spacing w:val="-1"/>
          <w:sz w:val="18"/>
        </w:rPr>
        <w:t> </w:t>
      </w:r>
      <w:r>
        <w:rPr>
          <w:color w:val="2E2E2E"/>
          <w:sz w:val="18"/>
        </w:rPr>
        <w:t>y</w:t>
      </w:r>
      <w:r>
        <w:rPr>
          <w:color w:val="2E2E2E"/>
          <w:spacing w:val="-1"/>
          <w:sz w:val="18"/>
        </w:rPr>
        <w:t> </w:t>
      </w:r>
      <w:r>
        <w:rPr>
          <w:color w:val="2E2E2E"/>
          <w:sz w:val="18"/>
        </w:rPr>
        <w:t>contribuyan</w:t>
      </w:r>
      <w:r>
        <w:rPr>
          <w:color w:val="2E2E2E"/>
          <w:spacing w:val="-1"/>
          <w:sz w:val="18"/>
        </w:rPr>
        <w:t> </w:t>
      </w:r>
      <w:r>
        <w:rPr>
          <w:color w:val="2E2E2E"/>
          <w:sz w:val="18"/>
        </w:rPr>
        <w:t>a</w:t>
      </w:r>
      <w:r>
        <w:rPr>
          <w:color w:val="2E2E2E"/>
          <w:spacing w:val="-1"/>
          <w:sz w:val="18"/>
        </w:rPr>
        <w:t> </w:t>
      </w:r>
      <w:r>
        <w:rPr>
          <w:color w:val="2E2E2E"/>
          <w:sz w:val="18"/>
        </w:rPr>
        <w:t>los fines de la educación.</w:t>
      </w:r>
    </w:p>
    <w:p>
      <w:pPr>
        <w:spacing w:after="0" w:line="242" w:lineRule="auto"/>
        <w:jc w:val="both"/>
        <w:rPr>
          <w:sz w:val="18"/>
        </w:rPr>
        <w:sectPr>
          <w:pgSz w:w="12240" w:h="15840"/>
          <w:pgMar w:header="269" w:footer="260" w:top="460" w:bottom="440" w:left="860" w:right="720"/>
        </w:sectPr>
      </w:pPr>
    </w:p>
    <w:p>
      <w:pPr>
        <w:pStyle w:val="ListParagraph"/>
        <w:numPr>
          <w:ilvl w:val="4"/>
          <w:numId w:val="20"/>
        </w:numPr>
        <w:tabs>
          <w:tab w:pos="834" w:val="left" w:leader="none"/>
          <w:tab w:pos="893" w:val="left" w:leader="none"/>
        </w:tabs>
        <w:spacing w:line="242" w:lineRule="auto" w:before="97" w:after="0"/>
        <w:ind w:left="834" w:right="118" w:hanging="432"/>
        <w:jc w:val="both"/>
        <w:rPr>
          <w:sz w:val="18"/>
        </w:rPr>
      </w:pPr>
      <w:r>
        <w:rPr>
          <w:b/>
          <w:color w:val="2E2E2E"/>
          <w:sz w:val="18"/>
        </w:rPr>
        <w:tab/>
      </w:r>
      <w:r>
        <w:rPr>
          <w:color w:val="2E2E2E"/>
          <w:sz w:val="18"/>
        </w:rPr>
        <w:t>En el Presupuesto de Egresos de la Federación para el Ejercicio Fiscal 2024, se autorizaron recursos públicos para el "Programa Atención de Planteles Públicos de Educación Media Superior con estudiantes con discapacidad", en </w:t>
      </w:r>
      <w:r>
        <w:rPr>
          <w:color w:val="2E2E2E"/>
          <w:sz w:val="18"/>
        </w:rPr>
        <w:t>lo sucesivo </w:t>
      </w:r>
      <w:r>
        <w:rPr>
          <w:rFonts w:ascii="Arial" w:hAnsi="Arial"/>
          <w:b/>
          <w:color w:val="2E2E2E"/>
          <w:sz w:val="18"/>
        </w:rPr>
        <w:t>"EL PAPPEMS"</w:t>
      </w:r>
      <w:r>
        <w:rPr>
          <w:color w:val="2E2E2E"/>
          <w:sz w:val="18"/>
        </w:rPr>
        <w:t>.</w:t>
      </w:r>
    </w:p>
    <w:p>
      <w:pPr>
        <w:pStyle w:val="ListParagraph"/>
        <w:numPr>
          <w:ilvl w:val="4"/>
          <w:numId w:val="20"/>
        </w:numPr>
        <w:tabs>
          <w:tab w:pos="834" w:val="left" w:leader="none"/>
          <w:tab w:pos="933" w:val="left" w:leader="none"/>
        </w:tabs>
        <w:spacing w:line="242" w:lineRule="auto" w:before="108" w:after="0"/>
        <w:ind w:left="834" w:right="118" w:hanging="432"/>
        <w:jc w:val="both"/>
        <w:rPr>
          <w:sz w:val="18"/>
        </w:rPr>
      </w:pPr>
      <w:r>
        <w:rPr>
          <w:rFonts w:ascii="Arial" w:hAnsi="Arial"/>
          <w:b/>
          <w:color w:val="2E2E2E"/>
          <w:sz w:val="18"/>
        </w:rPr>
        <w:tab/>
        <w:t>EL PAPPEMS </w:t>
      </w:r>
      <w:r>
        <w:rPr>
          <w:color w:val="2E2E2E"/>
          <w:sz w:val="18"/>
        </w:rPr>
        <w:t>tiene cobertura en las 32 entidades federativas, cuyo objetivo es favorecer el acceso a los planteles públicos de educación media superior de las personas con discapacidad; contribuyendo a reducir las brechas que </w:t>
      </w:r>
      <w:r>
        <w:rPr>
          <w:color w:val="2E2E2E"/>
          <w:sz w:val="18"/>
        </w:rPr>
        <w:t>limitan su incorporación a los servicios educativos.</w:t>
      </w:r>
    </w:p>
    <w:p>
      <w:pPr>
        <w:pStyle w:val="ListParagraph"/>
        <w:numPr>
          <w:ilvl w:val="4"/>
          <w:numId w:val="20"/>
        </w:numPr>
        <w:tabs>
          <w:tab w:pos="794" w:val="left" w:leader="none"/>
          <w:tab w:pos="834" w:val="left" w:leader="none"/>
          <w:tab w:pos="2056" w:val="left" w:leader="none"/>
          <w:tab w:pos="10081" w:val="left" w:leader="none"/>
        </w:tabs>
        <w:spacing w:line="242" w:lineRule="auto" w:before="123" w:after="0"/>
        <w:ind w:left="834" w:right="117" w:hanging="432"/>
        <w:jc w:val="both"/>
        <w:rPr>
          <w:sz w:val="18"/>
        </w:rPr>
      </w:pPr>
      <w:r>
        <w:rPr>
          <w:color w:val="2E2E2E"/>
          <w:sz w:val="18"/>
        </w:rPr>
        <w:t>El </w:t>
      </w:r>
      <w:r>
        <w:rPr>
          <w:rFonts w:ascii="Times New Roman" w:hAnsi="Times New Roman"/>
          <w:color w:val="2E2E2E"/>
          <w:sz w:val="18"/>
          <w:u w:val="single" w:color="2D2D2D"/>
        </w:rPr>
        <w:tab/>
      </w:r>
      <w:r>
        <w:rPr>
          <w:rFonts w:ascii="Times New Roman" w:hAnsi="Times New Roman"/>
          <w:color w:val="2E2E2E"/>
          <w:spacing w:val="-20"/>
          <w:sz w:val="18"/>
        </w:rPr>
        <w:t> </w:t>
      </w:r>
      <w:r>
        <w:rPr>
          <w:color w:val="2E2E2E"/>
          <w:sz w:val="18"/>
        </w:rPr>
        <w:t>de diciembre de 2023, se publicó en el Diario Oficial de la Federación el ACUERDO número</w:t>
      </w:r>
      <w:r>
        <w:rPr>
          <w:rFonts w:ascii="Times New Roman" w:hAnsi="Times New Roman"/>
          <w:color w:val="2E2E2E"/>
          <w:sz w:val="18"/>
          <w:u w:val="single" w:color="2D2D2D"/>
        </w:rPr>
        <w:tab/>
      </w:r>
      <w:r>
        <w:rPr>
          <w:color w:val="2E2E2E"/>
          <w:sz w:val="18"/>
        </w:rPr>
        <w:t>por</w:t>
      </w:r>
      <w:r>
        <w:rPr>
          <w:color w:val="2E2E2E"/>
          <w:spacing w:val="-13"/>
          <w:sz w:val="18"/>
        </w:rPr>
        <w:t> </w:t>
      </w:r>
      <w:r>
        <w:rPr>
          <w:color w:val="2E2E2E"/>
          <w:sz w:val="18"/>
        </w:rPr>
        <w:t>el que se emiten las Reglas de Operación del Programa</w:t>
      </w:r>
      <w:r>
        <w:rPr>
          <w:color w:val="2E2E2E"/>
          <w:spacing w:val="-3"/>
          <w:sz w:val="18"/>
        </w:rPr>
        <w:t> </w:t>
      </w:r>
      <w:r>
        <w:rPr>
          <w:color w:val="2E2E2E"/>
          <w:sz w:val="18"/>
        </w:rPr>
        <w:t>Atención de Planteles Públicos de Educación Media Superior con Estudiantes con Discapacidad (PAPPEMS) para el ejercicio fiscal 2024, en lo sucesivo las </w:t>
      </w:r>
      <w:r>
        <w:rPr>
          <w:rFonts w:ascii="Arial" w:hAnsi="Arial"/>
          <w:b/>
          <w:color w:val="2E2E2E"/>
          <w:sz w:val="18"/>
        </w:rPr>
        <w:t>"REGLAS"</w:t>
      </w:r>
      <w:r>
        <w:rPr>
          <w:color w:val="2E2E2E"/>
          <w:sz w:val="18"/>
        </w:rPr>
        <w:t>, mismas que, con el objeto de otorgar transparencia y asegurar la aplicación eficiente, eficaz, oportuna, y equitativa de los recursos</w:t>
      </w:r>
      <w:r>
        <w:rPr>
          <w:color w:val="2E2E2E"/>
          <w:spacing w:val="40"/>
          <w:sz w:val="18"/>
        </w:rPr>
        <w:t> </w:t>
      </w:r>
      <w:r>
        <w:rPr>
          <w:color w:val="2E2E2E"/>
          <w:sz w:val="18"/>
        </w:rPr>
        <w:t>públicos asignados, establecen las disposiciones a las que debe sujetarse dicho Programa.</w:t>
      </w:r>
    </w:p>
    <w:p>
      <w:pPr>
        <w:pStyle w:val="Heading1"/>
        <w:spacing w:before="110"/>
        <w:ind w:right="935"/>
        <w:jc w:val="center"/>
      </w:pPr>
      <w:r>
        <w:rPr>
          <w:color w:val="2E2E2E"/>
          <w:spacing w:val="-2"/>
        </w:rPr>
        <w:t>DECLARACIONES</w:t>
      </w:r>
    </w:p>
    <w:p>
      <w:pPr>
        <w:tabs>
          <w:tab w:pos="890" w:val="left" w:leader="none"/>
        </w:tabs>
        <w:spacing w:before="122"/>
        <w:ind w:left="403" w:right="0" w:firstLine="0"/>
        <w:jc w:val="left"/>
        <w:rPr>
          <w:sz w:val="18"/>
        </w:rPr>
      </w:pPr>
      <w:r>
        <w:rPr>
          <w:rFonts w:ascii="Arial"/>
          <w:b/>
          <w:spacing w:val="-5"/>
          <w:sz w:val="18"/>
        </w:rPr>
        <w:t>I.-</w:t>
      </w:r>
      <w:r>
        <w:rPr>
          <w:rFonts w:ascii="Arial"/>
          <w:b/>
          <w:sz w:val="18"/>
        </w:rPr>
        <w:tab/>
      </w:r>
      <w:r>
        <w:rPr>
          <w:sz w:val="18"/>
        </w:rPr>
        <w:t>De </w:t>
      </w:r>
      <w:r>
        <w:rPr>
          <w:rFonts w:ascii="Arial"/>
          <w:b/>
          <w:sz w:val="18"/>
        </w:rPr>
        <w:t>"LA</w:t>
      </w:r>
      <w:r>
        <w:rPr>
          <w:rFonts w:ascii="Arial"/>
          <w:b/>
          <w:spacing w:val="-7"/>
          <w:sz w:val="18"/>
        </w:rPr>
        <w:t> </w:t>
      </w:r>
      <w:r>
        <w:rPr>
          <w:rFonts w:ascii="Arial"/>
          <w:b/>
          <w:spacing w:val="-2"/>
          <w:sz w:val="18"/>
        </w:rPr>
        <w:t>SEP"</w:t>
      </w:r>
      <w:r>
        <w:rPr>
          <w:spacing w:val="-2"/>
          <w:sz w:val="18"/>
        </w:rPr>
        <w:t>:</w:t>
      </w:r>
    </w:p>
    <w:p>
      <w:pPr>
        <w:pStyle w:val="BodyText"/>
        <w:spacing w:line="242" w:lineRule="auto"/>
        <w:ind w:left="906" w:hanging="504"/>
      </w:pPr>
      <w:r>
        <w:rPr>
          <w:rFonts w:ascii="Arial" w:hAnsi="Arial"/>
          <w:b/>
        </w:rPr>
        <w:t>I.1.-</w:t>
      </w:r>
      <w:r>
        <w:rPr>
          <w:rFonts w:ascii="Arial" w:hAnsi="Arial"/>
          <w:b/>
          <w:spacing w:val="80"/>
        </w:rPr>
        <w:t> </w:t>
      </w:r>
      <w:r>
        <w:rPr/>
        <w:t>Que de conformidad con los artículos 2o., fracción I, 26 y 38 de la Ley Orgánica de la</w:t>
      </w:r>
      <w:r>
        <w:rPr>
          <w:spacing w:val="-10"/>
        </w:rPr>
        <w:t> </w:t>
      </w:r>
      <w:r>
        <w:rPr/>
        <w:t>Administración Pública Federal, </w:t>
      </w:r>
      <w:r>
        <w:rPr/>
        <w:t>es una dependencia de la Administración Pública Centralizada a la cual le corresponde el ejercicio de la función social educativa, sin perjuicio de la concurrencia de las entidades federativas y de los municipios.</w:t>
      </w:r>
    </w:p>
    <w:p>
      <w:pPr>
        <w:pStyle w:val="BodyText"/>
        <w:spacing w:line="242" w:lineRule="auto" w:before="123"/>
        <w:ind w:left="906" w:hanging="504"/>
      </w:pPr>
      <w:r>
        <w:rPr>
          <w:rFonts w:ascii="Arial" w:hAnsi="Arial"/>
          <w:b/>
        </w:rPr>
        <w:t>I.2.-</w:t>
      </w:r>
      <w:r>
        <w:rPr>
          <w:rFonts w:ascii="Arial" w:hAnsi="Arial"/>
          <w:b/>
          <w:spacing w:val="80"/>
          <w:w w:val="150"/>
        </w:rPr>
        <w:t> </w:t>
      </w:r>
      <w:r>
        <w:rPr/>
        <w:t>Que (nombre y apellidos), Subsecretario de Educación Media Superior, suscribe el presente instrumento, </w:t>
      </w:r>
      <w:r>
        <w:rPr/>
        <w:t>de</w:t>
      </w:r>
      <w:r>
        <w:rPr>
          <w:spacing w:val="40"/>
        </w:rPr>
        <w:t> </w:t>
      </w:r>
      <w:r>
        <w:rPr/>
        <w:t>conformidad con lo dispuesto en el artículo 8, fracción IX del Reglamento Interior de la Secretaría de Educación Pública, publicado en el Diario Oficial de la Federación el 15 de septiembre de 2020.</w:t>
      </w:r>
    </w:p>
    <w:p>
      <w:pPr>
        <w:pStyle w:val="BodyText"/>
        <w:spacing w:line="242" w:lineRule="auto"/>
        <w:ind w:left="906" w:right="119" w:hanging="504"/>
      </w:pPr>
      <w:r>
        <w:rPr>
          <w:rFonts w:ascii="Arial" w:hAnsi="Arial"/>
          <w:b/>
        </w:rPr>
        <w:t>I.3.-</w:t>
      </w:r>
      <w:r>
        <w:rPr>
          <w:rFonts w:ascii="Arial" w:hAnsi="Arial"/>
          <w:b/>
          <w:spacing w:val="80"/>
        </w:rPr>
        <w:t> </w:t>
      </w:r>
      <w:r>
        <w:rPr/>
        <w:t>Que cuenta con los recursos financieros suficientes para llevar a cabo la celebración del presente convenio, con cargo a los subsidios asignados a </w:t>
      </w:r>
      <w:r>
        <w:rPr>
          <w:rFonts w:ascii="Arial" w:hAnsi="Arial"/>
          <w:b/>
        </w:rPr>
        <w:t>"EL PAPPEMS" </w:t>
      </w:r>
      <w:r>
        <w:rPr/>
        <w:t>en el Presupuesto de Egresos de la Federación para el ejercicio fiscal 2024 con cargo al programa presupuestario </w:t>
      </w:r>
      <w:r>
        <w:rPr>
          <w:rFonts w:ascii="Arial" w:hAnsi="Arial"/>
          <w:b/>
        </w:rPr>
        <w:t>S298</w:t>
      </w:r>
      <w:r>
        <w:rPr/>
        <w:t>.</w:t>
      </w:r>
    </w:p>
    <w:p>
      <w:pPr>
        <w:pStyle w:val="BodyText"/>
        <w:spacing w:line="242" w:lineRule="auto"/>
        <w:ind w:left="906" w:right="117" w:hanging="504"/>
      </w:pPr>
      <w:r>
        <w:rPr>
          <w:rFonts w:ascii="Arial" w:hAnsi="Arial"/>
          <w:b/>
        </w:rPr>
        <w:t>I.4.-</w:t>
      </w:r>
      <w:r>
        <w:rPr>
          <w:rFonts w:ascii="Arial" w:hAnsi="Arial"/>
          <w:b/>
          <w:spacing w:val="80"/>
        </w:rPr>
        <w:t> </w:t>
      </w:r>
      <w:r>
        <w:rPr/>
        <w:t>Que para efectos del presente instrumento señala como su domicilio, el ubicado en la Avenida Universidad No. 1200, Colonia Xoco, Demarcación Territorial Benito Juárez, Código Postal 03330, en la Ciudad de México.</w:t>
      </w:r>
    </w:p>
    <w:p>
      <w:pPr>
        <w:pStyle w:val="Heading2"/>
        <w:tabs>
          <w:tab w:pos="885" w:val="left" w:leader="none"/>
        </w:tabs>
        <w:spacing w:before="122"/>
        <w:ind w:left="403"/>
        <w:rPr>
          <w:rFonts w:ascii="Arial MT"/>
          <w:b w:val="0"/>
        </w:rPr>
      </w:pPr>
      <w:r>
        <w:rPr>
          <w:spacing w:val="-4"/>
        </w:rPr>
        <w:t>II</w:t>
      </w:r>
      <w:r>
        <w:rPr>
          <w:rFonts w:ascii="Arial MT"/>
          <w:b w:val="0"/>
          <w:spacing w:val="-4"/>
        </w:rPr>
        <w:t>.-</w:t>
      </w:r>
      <w:r>
        <w:rPr>
          <w:rFonts w:ascii="Arial MT"/>
          <w:b w:val="0"/>
        </w:rPr>
        <w:tab/>
        <w:t>De </w:t>
      </w:r>
      <w:r>
        <w:rPr/>
        <w:t>"EL</w:t>
      </w:r>
      <w:r>
        <w:rPr>
          <w:spacing w:val="-4"/>
        </w:rPr>
        <w:t> </w:t>
      </w:r>
      <w:r>
        <w:rPr/>
        <w:t>GOBIERNO DE LA</w:t>
      </w:r>
      <w:r>
        <w:rPr>
          <w:spacing w:val="-7"/>
        </w:rPr>
        <w:t> </w:t>
      </w:r>
      <w:r>
        <w:rPr/>
        <w:t>ENTIDAD </w:t>
      </w:r>
      <w:r>
        <w:rPr>
          <w:spacing w:val="-2"/>
        </w:rPr>
        <w:t>FEDERATIVA"</w:t>
      </w:r>
      <w:r>
        <w:rPr>
          <w:rFonts w:ascii="Arial MT"/>
          <w:b w:val="0"/>
          <w:spacing w:val="-2"/>
        </w:rPr>
        <w:t>:</w:t>
      </w:r>
    </w:p>
    <w:p>
      <w:pPr>
        <w:pStyle w:val="BodyText"/>
        <w:spacing w:line="242" w:lineRule="auto"/>
        <w:ind w:left="906" w:hanging="504"/>
      </w:pPr>
      <w:r>
        <w:rPr>
          <w:rFonts w:ascii="Arial" w:hAnsi="Arial"/>
          <w:b/>
        </w:rPr>
        <w:t>II.1</w:t>
      </w:r>
      <w:r>
        <w:rPr/>
        <w:t>.-</w:t>
      </w:r>
      <w:r>
        <w:rPr>
          <w:spacing w:val="40"/>
        </w:rPr>
        <w:t> </w:t>
      </w:r>
      <w:r>
        <w:rPr/>
        <w:t>Que el Estado de (nombre del Estado), es una entidad libre y soberana que forma parte integrante de la Federación, de conformidad con lo establecido en los artículos 40 y 43 de la Constitución Política de los Estados Unidos Mexicanos, y (número de artículos) de la Constitución Política del Estado de (nombre del Estado).</w:t>
      </w:r>
    </w:p>
    <w:p>
      <w:pPr>
        <w:pStyle w:val="BodyText"/>
        <w:spacing w:line="242" w:lineRule="auto" w:before="123"/>
        <w:ind w:left="906" w:right="117" w:hanging="504"/>
      </w:pPr>
      <w:r>
        <w:rPr>
          <w:rFonts w:ascii="Arial" w:hAnsi="Arial"/>
          <w:b/>
        </w:rPr>
        <w:t>II.2</w:t>
      </w:r>
      <w:r>
        <w:rPr/>
        <w:t>.-</w:t>
      </w:r>
      <w:r>
        <w:rPr>
          <w:spacing w:val="80"/>
        </w:rPr>
        <w:t> </w:t>
      </w:r>
      <w:r>
        <w:rPr/>
        <w:t>Que (nombre y apellidos), en su carácter de Gobernador/a Constitucional del Estado de (nombre del Estado), se encuentra</w:t>
      </w:r>
      <w:r>
        <w:rPr>
          <w:spacing w:val="-2"/>
        </w:rPr>
        <w:t> </w:t>
      </w:r>
      <w:r>
        <w:rPr/>
        <w:t>facultado/a</w:t>
      </w:r>
      <w:r>
        <w:rPr>
          <w:spacing w:val="-2"/>
        </w:rPr>
        <w:t> </w:t>
      </w:r>
      <w:r>
        <w:rPr/>
        <w:t>y</w:t>
      </w:r>
      <w:r>
        <w:rPr>
          <w:spacing w:val="-2"/>
        </w:rPr>
        <w:t> </w:t>
      </w:r>
      <w:r>
        <w:rPr/>
        <w:t>comparece</w:t>
      </w:r>
      <w:r>
        <w:rPr>
          <w:spacing w:val="-2"/>
        </w:rPr>
        <w:t> </w:t>
      </w:r>
      <w:r>
        <w:rPr/>
        <w:t>a</w:t>
      </w:r>
      <w:r>
        <w:rPr>
          <w:spacing w:val="-2"/>
        </w:rPr>
        <w:t> </w:t>
      </w:r>
      <w:r>
        <w:rPr/>
        <w:t>la</w:t>
      </w:r>
      <w:r>
        <w:rPr>
          <w:spacing w:val="-2"/>
        </w:rPr>
        <w:t> </w:t>
      </w:r>
      <w:r>
        <w:rPr/>
        <w:t>celebración</w:t>
      </w:r>
      <w:r>
        <w:rPr>
          <w:spacing w:val="-2"/>
        </w:rPr>
        <w:t> </w:t>
      </w:r>
      <w:r>
        <w:rPr/>
        <w:t>del</w:t>
      </w:r>
      <w:r>
        <w:rPr>
          <w:spacing w:val="-2"/>
        </w:rPr>
        <w:t> </w:t>
      </w:r>
      <w:r>
        <w:rPr/>
        <w:t>presente</w:t>
      </w:r>
      <w:r>
        <w:rPr>
          <w:spacing w:val="-2"/>
        </w:rPr>
        <w:t> </w:t>
      </w:r>
      <w:r>
        <w:rPr/>
        <w:t>instrumento</w:t>
      </w:r>
      <w:r>
        <w:rPr>
          <w:spacing w:val="-2"/>
        </w:rPr>
        <w:t> </w:t>
      </w:r>
      <w:r>
        <w:rPr/>
        <w:t>jurídico,</w:t>
      </w:r>
      <w:r>
        <w:rPr>
          <w:spacing w:val="-2"/>
        </w:rPr>
        <w:t> </w:t>
      </w:r>
      <w:r>
        <w:rPr/>
        <w:t>de</w:t>
      </w:r>
      <w:r>
        <w:rPr>
          <w:spacing w:val="-2"/>
        </w:rPr>
        <w:t> </w:t>
      </w:r>
      <w:r>
        <w:rPr/>
        <w:t>conformidad</w:t>
      </w:r>
      <w:r>
        <w:rPr>
          <w:spacing w:val="-2"/>
        </w:rPr>
        <w:t> </w:t>
      </w:r>
      <w:r>
        <w:rPr/>
        <w:t>con</w:t>
      </w:r>
      <w:r>
        <w:rPr>
          <w:spacing w:val="-2"/>
        </w:rPr>
        <w:t> </w:t>
      </w:r>
      <w:r>
        <w:rPr/>
        <w:t>lo</w:t>
      </w:r>
      <w:r>
        <w:rPr>
          <w:spacing w:val="-2"/>
        </w:rPr>
        <w:t> </w:t>
      </w:r>
      <w:r>
        <w:rPr/>
        <w:t>establecido por el artículo (número del artículo) de la Constitución Política del Estado de (nombre del Estado), y los artículos</w:t>
      </w:r>
      <w:r>
        <w:rPr>
          <w:spacing w:val="40"/>
        </w:rPr>
        <w:t> </w:t>
      </w:r>
      <w:r>
        <w:rPr/>
        <w:t>(número de los artículos) de la (nombre de la Ley Orgánica del Estado o equivalente) del Estado de (nombre del</w:t>
      </w:r>
      <w:r>
        <w:rPr>
          <w:spacing w:val="40"/>
        </w:rPr>
        <w:t> </w:t>
      </w:r>
      <w:r>
        <w:rPr>
          <w:spacing w:val="-2"/>
        </w:rPr>
        <w:t>Estado).</w:t>
      </w:r>
    </w:p>
    <w:p>
      <w:pPr>
        <w:pStyle w:val="BodyText"/>
        <w:spacing w:line="242" w:lineRule="auto" w:before="109"/>
        <w:ind w:left="906" w:hanging="504"/>
      </w:pPr>
      <w:r>
        <w:rPr>
          <w:rFonts w:ascii="Arial" w:hAnsi="Arial"/>
          <w:b/>
        </w:rPr>
        <w:t>II.3.-</w:t>
      </w:r>
      <w:r>
        <w:rPr>
          <w:rFonts w:ascii="Arial" w:hAnsi="Arial"/>
          <w:b/>
          <w:spacing w:val="80"/>
        </w:rPr>
        <w:t> </w:t>
      </w:r>
      <w:r>
        <w:rPr/>
        <w:t>Que las personas titulares de las (Secretaría de Finanzas o equivalente, Secretaría de Educación o </w:t>
      </w:r>
      <w:r>
        <w:rPr/>
        <w:t>equivalente), suscriben el presente instrumento jurídico de conformidad con lo dispuesto en los artículos (número de los artículos) de la Constitución Política del Estado de (nombre del Estado) y (número de los artículos) de la (nombre de la Ley Orgánica de la Administración Pública del Estado o equivalente).</w:t>
      </w:r>
    </w:p>
    <w:p>
      <w:pPr>
        <w:pStyle w:val="BodyText"/>
        <w:spacing w:line="242" w:lineRule="auto" w:before="19"/>
        <w:ind w:left="906" w:hanging="504"/>
      </w:pPr>
      <w:r>
        <w:rPr>
          <w:rFonts w:ascii="Arial" w:hAnsi="Arial"/>
          <w:b/>
        </w:rPr>
        <w:t>II.4.-</w:t>
      </w:r>
      <w:r>
        <w:rPr>
          <w:rFonts w:ascii="Arial" w:hAnsi="Arial"/>
          <w:b/>
          <w:spacing w:val="80"/>
        </w:rPr>
        <w:t> </w:t>
      </w:r>
      <w:r>
        <w:rPr/>
        <w:t>Que cuenta con los recursos humanos, materiales y financieros para dar cumplimiento en el ejercicio fiscal 2024, a </w:t>
      </w:r>
      <w:r>
        <w:rPr/>
        <w:t>los compromisos que adquiere mediante el presente instrumento jurídico.</w:t>
      </w:r>
    </w:p>
    <w:p>
      <w:pPr>
        <w:pStyle w:val="BodyText"/>
        <w:spacing w:line="242" w:lineRule="auto" w:before="122"/>
        <w:ind w:left="906" w:hanging="504"/>
      </w:pPr>
      <w:r>
        <w:rPr>
          <w:rFonts w:ascii="Arial" w:hAnsi="Arial"/>
          <w:b/>
        </w:rPr>
        <w:t>II.5.-</w:t>
      </w:r>
      <w:r>
        <w:rPr>
          <w:rFonts w:ascii="Arial" w:hAnsi="Arial"/>
          <w:b/>
          <w:spacing w:val="80"/>
          <w:w w:val="150"/>
        </w:rPr>
        <w:t> </w:t>
      </w:r>
      <w:r>
        <w:rPr/>
        <w:t>Que para los efectos del presente instrumento jurídico señala como su domicilio, el ubicado en la calle (nombre de </w:t>
      </w:r>
      <w:r>
        <w:rPr/>
        <w:t>la calle y número), Colonia (nombre de la colonia), C.P. (número del código postal), en la Ciudad o Municipio de (nombre de la ciudad o municipio), Estado de (nombre del Estado).</w:t>
      </w:r>
    </w:p>
    <w:p>
      <w:pPr>
        <w:pStyle w:val="BodyText"/>
        <w:spacing w:line="242" w:lineRule="auto"/>
        <w:ind w:left="906" w:firstLine="33"/>
      </w:pPr>
      <w:r>
        <w:rPr/>
        <w:t>En cumplimiento de sus atribuciones y con el objeto de llevar a cabo la operación y desarrollo de </w:t>
      </w:r>
      <w:r>
        <w:rPr>
          <w:rFonts w:ascii="Arial" w:hAnsi="Arial"/>
          <w:b/>
        </w:rPr>
        <w:t>"EL PAPPEMS</w:t>
      </w:r>
      <w:r>
        <w:rPr/>
        <w:t>", de conformidad con lo establecido en las </w:t>
      </w:r>
      <w:r>
        <w:rPr>
          <w:rFonts w:ascii="Arial" w:hAnsi="Arial"/>
          <w:b/>
        </w:rPr>
        <w:t>"REGLAS"</w:t>
      </w:r>
      <w:r>
        <w:rPr/>
        <w:t>, </w:t>
      </w:r>
      <w:r>
        <w:rPr>
          <w:rFonts w:ascii="Arial" w:hAnsi="Arial"/>
          <w:b/>
        </w:rPr>
        <w:t>"LAS PARTES" </w:t>
      </w:r>
      <w:r>
        <w:rPr/>
        <w:t>acuerdan celebrar el presente convenio al tenor de las siguientes:</w:t>
      </w:r>
    </w:p>
    <w:p>
      <w:pPr>
        <w:pStyle w:val="Heading1"/>
        <w:spacing w:before="109"/>
        <w:ind w:right="935"/>
        <w:jc w:val="center"/>
      </w:pPr>
      <w:r>
        <w:rPr>
          <w:color w:val="2E2E2E"/>
          <w:spacing w:val="-2"/>
        </w:rPr>
        <w:t>CLÁUSULAS</w:t>
      </w:r>
    </w:p>
    <w:p>
      <w:pPr>
        <w:spacing w:line="242" w:lineRule="auto" w:before="122"/>
        <w:ind w:left="114" w:right="117" w:firstLine="287"/>
        <w:jc w:val="both"/>
        <w:rPr>
          <w:sz w:val="18"/>
        </w:rPr>
      </w:pPr>
      <w:r>
        <w:rPr>
          <w:rFonts w:ascii="Arial" w:hAnsi="Arial"/>
          <w:b/>
          <w:sz w:val="18"/>
        </w:rPr>
        <w:t>PRIMERA. </w:t>
      </w:r>
      <w:r>
        <w:rPr>
          <w:sz w:val="18"/>
        </w:rPr>
        <w:t>Objeto: El objeto del presente convenio, es establecer las bases entre </w:t>
      </w:r>
      <w:r>
        <w:rPr>
          <w:rFonts w:ascii="Arial" w:hAnsi="Arial"/>
          <w:b/>
          <w:sz w:val="18"/>
        </w:rPr>
        <w:t>"LA SEP" </w:t>
      </w:r>
      <w:r>
        <w:rPr>
          <w:sz w:val="18"/>
        </w:rPr>
        <w:t>y </w:t>
      </w:r>
      <w:r>
        <w:rPr>
          <w:rFonts w:ascii="Arial" w:hAnsi="Arial"/>
          <w:b/>
          <w:sz w:val="18"/>
        </w:rPr>
        <w:t>"EL GOBIERNO DE LA ENTIDAD</w:t>
      </w:r>
      <w:r>
        <w:rPr>
          <w:rFonts w:ascii="Arial" w:hAnsi="Arial"/>
          <w:b/>
          <w:spacing w:val="-3"/>
          <w:sz w:val="18"/>
        </w:rPr>
        <w:t> </w:t>
      </w:r>
      <w:r>
        <w:rPr>
          <w:rFonts w:ascii="Arial" w:hAnsi="Arial"/>
          <w:b/>
          <w:sz w:val="18"/>
        </w:rPr>
        <w:t>FEDERATIVA"</w:t>
      </w:r>
      <w:r>
        <w:rPr>
          <w:sz w:val="18"/>
        </w:rPr>
        <w:t>,</w:t>
      </w:r>
      <w:r>
        <w:rPr>
          <w:spacing w:val="-3"/>
          <w:sz w:val="18"/>
        </w:rPr>
        <w:t> </w:t>
      </w:r>
      <w:r>
        <w:rPr>
          <w:sz w:val="18"/>
        </w:rPr>
        <w:t>mediante</w:t>
      </w:r>
      <w:r>
        <w:rPr>
          <w:spacing w:val="-3"/>
          <w:sz w:val="18"/>
        </w:rPr>
        <w:t> </w:t>
      </w:r>
      <w:r>
        <w:rPr>
          <w:sz w:val="18"/>
        </w:rPr>
        <w:t>las</w:t>
      </w:r>
      <w:r>
        <w:rPr>
          <w:spacing w:val="-3"/>
          <w:sz w:val="18"/>
        </w:rPr>
        <w:t> </w:t>
      </w:r>
      <w:r>
        <w:rPr>
          <w:sz w:val="18"/>
        </w:rPr>
        <w:t>cuales</w:t>
      </w:r>
      <w:r>
        <w:rPr>
          <w:spacing w:val="-3"/>
          <w:sz w:val="18"/>
        </w:rPr>
        <w:t> </w:t>
      </w:r>
      <w:r>
        <w:rPr>
          <w:sz w:val="18"/>
        </w:rPr>
        <w:t>unirán</w:t>
      </w:r>
      <w:r>
        <w:rPr>
          <w:spacing w:val="-3"/>
          <w:sz w:val="18"/>
        </w:rPr>
        <w:t> </w:t>
      </w:r>
      <w:r>
        <w:rPr>
          <w:sz w:val="18"/>
        </w:rPr>
        <w:t>su</w:t>
      </w:r>
      <w:r>
        <w:rPr>
          <w:spacing w:val="-3"/>
          <w:sz w:val="18"/>
        </w:rPr>
        <w:t> </w:t>
      </w:r>
      <w:r>
        <w:rPr>
          <w:sz w:val="18"/>
        </w:rPr>
        <w:t>experiencia,</w:t>
      </w:r>
      <w:r>
        <w:rPr>
          <w:spacing w:val="-3"/>
          <w:sz w:val="18"/>
        </w:rPr>
        <w:t> </w:t>
      </w:r>
      <w:r>
        <w:rPr>
          <w:sz w:val="18"/>
        </w:rPr>
        <w:t>esfuerzos</w:t>
      </w:r>
      <w:r>
        <w:rPr>
          <w:spacing w:val="-3"/>
          <w:sz w:val="18"/>
        </w:rPr>
        <w:t> </w:t>
      </w:r>
      <w:r>
        <w:rPr>
          <w:sz w:val="18"/>
        </w:rPr>
        <w:t>y</w:t>
      </w:r>
      <w:r>
        <w:rPr>
          <w:spacing w:val="-3"/>
          <w:sz w:val="18"/>
        </w:rPr>
        <w:t> </w:t>
      </w:r>
      <w:r>
        <w:rPr>
          <w:sz w:val="18"/>
        </w:rPr>
        <w:t>recursos</w:t>
      </w:r>
      <w:r>
        <w:rPr>
          <w:spacing w:val="-3"/>
          <w:sz w:val="18"/>
        </w:rPr>
        <w:t> </w:t>
      </w:r>
      <w:r>
        <w:rPr>
          <w:sz w:val="18"/>
        </w:rPr>
        <w:t>para</w:t>
      </w:r>
      <w:r>
        <w:rPr>
          <w:spacing w:val="-3"/>
          <w:sz w:val="18"/>
        </w:rPr>
        <w:t> </w:t>
      </w:r>
      <w:r>
        <w:rPr>
          <w:sz w:val="18"/>
        </w:rPr>
        <w:t>llevar</w:t>
      </w:r>
      <w:r>
        <w:rPr>
          <w:spacing w:val="-3"/>
          <w:sz w:val="18"/>
        </w:rPr>
        <w:t> </w:t>
      </w:r>
      <w:r>
        <w:rPr>
          <w:sz w:val="18"/>
        </w:rPr>
        <w:t>a</w:t>
      </w:r>
      <w:r>
        <w:rPr>
          <w:spacing w:val="-3"/>
          <w:sz w:val="18"/>
        </w:rPr>
        <w:t> </w:t>
      </w:r>
      <w:r>
        <w:rPr>
          <w:sz w:val="18"/>
        </w:rPr>
        <w:t>cabo</w:t>
      </w:r>
      <w:r>
        <w:rPr>
          <w:spacing w:val="-3"/>
          <w:sz w:val="18"/>
        </w:rPr>
        <w:t> </w:t>
      </w:r>
      <w:r>
        <w:rPr>
          <w:sz w:val="18"/>
        </w:rPr>
        <w:t>la</w:t>
      </w:r>
      <w:r>
        <w:rPr>
          <w:spacing w:val="-3"/>
          <w:sz w:val="18"/>
        </w:rPr>
        <w:t> </w:t>
      </w:r>
      <w:r>
        <w:rPr>
          <w:sz w:val="18"/>
        </w:rPr>
        <w:t>operación</w:t>
      </w:r>
      <w:r>
        <w:rPr>
          <w:spacing w:val="-3"/>
          <w:sz w:val="18"/>
        </w:rPr>
        <w:t> </w:t>
      </w:r>
      <w:r>
        <w:rPr>
          <w:sz w:val="18"/>
        </w:rPr>
        <w:t>de</w:t>
      </w:r>
      <w:r>
        <w:rPr>
          <w:spacing w:val="-3"/>
          <w:sz w:val="18"/>
        </w:rPr>
        <w:t> </w:t>
      </w:r>
      <w:r>
        <w:rPr>
          <w:rFonts w:ascii="Arial" w:hAnsi="Arial"/>
          <w:b/>
          <w:sz w:val="18"/>
        </w:rPr>
        <w:t>"EL PAPPEMS" </w:t>
      </w:r>
      <w:r>
        <w:rPr>
          <w:sz w:val="18"/>
        </w:rPr>
        <w:t>en la Entidad Federativa, de conformidad con las </w:t>
      </w:r>
      <w:r>
        <w:rPr>
          <w:rFonts w:ascii="Arial" w:hAnsi="Arial"/>
          <w:b/>
          <w:sz w:val="18"/>
        </w:rPr>
        <w:t>"REGLAS", </w:t>
      </w:r>
      <w:r>
        <w:rPr>
          <w:sz w:val="18"/>
        </w:rPr>
        <w:t>así como realizar las acciones correspondientes que permitan el cumplimiento de los objetivos para los cuales fue creado </w:t>
      </w:r>
      <w:r>
        <w:rPr>
          <w:rFonts w:ascii="Arial" w:hAnsi="Arial"/>
          <w:b/>
          <w:sz w:val="18"/>
        </w:rPr>
        <w:t>"EL PAPPEMS"</w:t>
      </w:r>
      <w:r>
        <w:rPr>
          <w:sz w:val="18"/>
        </w:rPr>
        <w:t>.</w:t>
      </w:r>
    </w:p>
    <w:p>
      <w:pPr>
        <w:spacing w:before="109"/>
        <w:ind w:left="402" w:right="0" w:firstLine="0"/>
        <w:jc w:val="left"/>
        <w:rPr>
          <w:sz w:val="18"/>
        </w:rPr>
      </w:pPr>
      <w:r>
        <w:rPr>
          <w:rFonts w:ascii="Arial"/>
          <w:b/>
          <w:sz w:val="18"/>
        </w:rPr>
        <w:t>SEGUNDA.- </w:t>
      </w:r>
      <w:r>
        <w:rPr>
          <w:sz w:val="18"/>
        </w:rPr>
        <w:t>Obligaciones de </w:t>
      </w:r>
      <w:r>
        <w:rPr>
          <w:rFonts w:ascii="Arial"/>
          <w:b/>
          <w:sz w:val="18"/>
        </w:rPr>
        <w:t>"LA</w:t>
      </w:r>
      <w:r>
        <w:rPr>
          <w:rFonts w:ascii="Arial"/>
          <w:b/>
          <w:spacing w:val="-7"/>
          <w:sz w:val="18"/>
        </w:rPr>
        <w:t> </w:t>
      </w:r>
      <w:r>
        <w:rPr>
          <w:rFonts w:ascii="Arial"/>
          <w:b/>
          <w:sz w:val="18"/>
        </w:rPr>
        <w:t>SEP"</w:t>
      </w:r>
      <w:r>
        <w:rPr>
          <w:sz w:val="18"/>
        </w:rPr>
        <w:t>: En cumplimiento del objeto del presente convenio, </w:t>
      </w:r>
      <w:r>
        <w:rPr>
          <w:rFonts w:ascii="Arial"/>
          <w:b/>
          <w:sz w:val="18"/>
        </w:rPr>
        <w:t>"LA</w:t>
      </w:r>
      <w:r>
        <w:rPr>
          <w:rFonts w:ascii="Arial"/>
          <w:b/>
          <w:spacing w:val="-7"/>
          <w:sz w:val="18"/>
        </w:rPr>
        <w:t> </w:t>
      </w:r>
      <w:r>
        <w:rPr>
          <w:rFonts w:ascii="Arial"/>
          <w:b/>
          <w:sz w:val="18"/>
        </w:rPr>
        <w:t>SEP" </w:t>
      </w:r>
      <w:r>
        <w:rPr>
          <w:sz w:val="18"/>
        </w:rPr>
        <w:t>se obliga </w:t>
      </w:r>
      <w:r>
        <w:rPr>
          <w:spacing w:val="-5"/>
          <w:sz w:val="18"/>
        </w:rPr>
        <w:t>a:</w:t>
      </w:r>
    </w:p>
    <w:p>
      <w:pPr>
        <w:pStyle w:val="ListParagraph"/>
        <w:numPr>
          <w:ilvl w:val="5"/>
          <w:numId w:val="20"/>
        </w:numPr>
        <w:tabs>
          <w:tab w:pos="611" w:val="left" w:leader="none"/>
        </w:tabs>
        <w:spacing w:line="242" w:lineRule="auto" w:before="93" w:after="0"/>
        <w:ind w:left="114" w:right="118" w:firstLine="287"/>
        <w:jc w:val="both"/>
        <w:rPr>
          <w:sz w:val="18"/>
        </w:rPr>
      </w:pPr>
      <w:r>
        <w:rPr>
          <w:sz w:val="18"/>
        </w:rPr>
        <w:t>Dar</w:t>
      </w:r>
      <w:r>
        <w:rPr>
          <w:spacing w:val="-5"/>
          <w:sz w:val="18"/>
        </w:rPr>
        <w:t> </w:t>
      </w:r>
      <w:r>
        <w:rPr>
          <w:sz w:val="18"/>
        </w:rPr>
        <w:t>a</w:t>
      </w:r>
      <w:r>
        <w:rPr>
          <w:spacing w:val="-5"/>
          <w:sz w:val="18"/>
        </w:rPr>
        <w:t> </w:t>
      </w:r>
      <w:r>
        <w:rPr>
          <w:sz w:val="18"/>
        </w:rPr>
        <w:t>conocer</w:t>
      </w:r>
      <w:r>
        <w:rPr>
          <w:spacing w:val="-5"/>
          <w:sz w:val="18"/>
        </w:rPr>
        <w:t> </w:t>
      </w:r>
      <w:r>
        <w:rPr>
          <w:rFonts w:ascii="Arial" w:hAnsi="Arial"/>
          <w:b/>
          <w:sz w:val="18"/>
        </w:rPr>
        <w:t>"EL</w:t>
      </w:r>
      <w:r>
        <w:rPr>
          <w:rFonts w:ascii="Arial" w:hAnsi="Arial"/>
          <w:b/>
          <w:spacing w:val="-8"/>
          <w:sz w:val="18"/>
        </w:rPr>
        <w:t> </w:t>
      </w:r>
      <w:r>
        <w:rPr>
          <w:rFonts w:ascii="Arial" w:hAnsi="Arial"/>
          <w:b/>
          <w:sz w:val="18"/>
        </w:rPr>
        <w:t>PAPPEMS"</w:t>
      </w:r>
      <w:r>
        <w:rPr>
          <w:rFonts w:ascii="Arial" w:hAnsi="Arial"/>
          <w:b/>
          <w:spacing w:val="-5"/>
          <w:sz w:val="18"/>
        </w:rPr>
        <w:t> </w:t>
      </w:r>
      <w:r>
        <w:rPr>
          <w:sz w:val="18"/>
        </w:rPr>
        <w:t>a</w:t>
      </w:r>
      <w:r>
        <w:rPr>
          <w:spacing w:val="-5"/>
          <w:sz w:val="18"/>
        </w:rPr>
        <w:t> </w:t>
      </w:r>
      <w:r>
        <w:rPr>
          <w:rFonts w:ascii="Arial" w:hAnsi="Arial"/>
          <w:b/>
          <w:sz w:val="18"/>
        </w:rPr>
        <w:t>"EL</w:t>
      </w:r>
      <w:r>
        <w:rPr>
          <w:rFonts w:ascii="Arial" w:hAnsi="Arial"/>
          <w:b/>
          <w:spacing w:val="-8"/>
          <w:sz w:val="18"/>
        </w:rPr>
        <w:t> </w:t>
      </w:r>
      <w:r>
        <w:rPr>
          <w:rFonts w:ascii="Arial" w:hAnsi="Arial"/>
          <w:b/>
          <w:sz w:val="18"/>
        </w:rPr>
        <w:t>GOBIERNO</w:t>
      </w:r>
      <w:r>
        <w:rPr>
          <w:rFonts w:ascii="Arial" w:hAnsi="Arial"/>
          <w:b/>
          <w:spacing w:val="-5"/>
          <w:sz w:val="18"/>
        </w:rPr>
        <w:t> </w:t>
      </w:r>
      <w:r>
        <w:rPr>
          <w:rFonts w:ascii="Arial" w:hAnsi="Arial"/>
          <w:b/>
          <w:sz w:val="18"/>
        </w:rPr>
        <w:t>DE</w:t>
      </w:r>
      <w:r>
        <w:rPr>
          <w:rFonts w:ascii="Arial" w:hAnsi="Arial"/>
          <w:b/>
          <w:spacing w:val="-5"/>
          <w:sz w:val="18"/>
        </w:rPr>
        <w:t> </w:t>
      </w:r>
      <w:r>
        <w:rPr>
          <w:rFonts w:ascii="Arial" w:hAnsi="Arial"/>
          <w:b/>
          <w:sz w:val="18"/>
        </w:rPr>
        <w:t>LA</w:t>
      </w:r>
      <w:r>
        <w:rPr>
          <w:rFonts w:ascii="Arial" w:hAnsi="Arial"/>
          <w:b/>
          <w:spacing w:val="-11"/>
          <w:sz w:val="18"/>
        </w:rPr>
        <w:t> </w:t>
      </w:r>
      <w:r>
        <w:rPr>
          <w:rFonts w:ascii="Arial" w:hAnsi="Arial"/>
          <w:b/>
          <w:sz w:val="18"/>
        </w:rPr>
        <w:t>ENTIDAD</w:t>
      </w:r>
      <w:r>
        <w:rPr>
          <w:rFonts w:ascii="Arial" w:hAnsi="Arial"/>
          <w:b/>
          <w:spacing w:val="-5"/>
          <w:sz w:val="18"/>
        </w:rPr>
        <w:t> </w:t>
      </w:r>
      <w:r>
        <w:rPr>
          <w:rFonts w:ascii="Arial" w:hAnsi="Arial"/>
          <w:b/>
          <w:sz w:val="18"/>
        </w:rPr>
        <w:t>FEDERATIVA"</w:t>
      </w:r>
      <w:r>
        <w:rPr>
          <w:sz w:val="18"/>
        </w:rPr>
        <w:t>,</w:t>
      </w:r>
      <w:r>
        <w:rPr>
          <w:spacing w:val="-5"/>
          <w:sz w:val="18"/>
        </w:rPr>
        <w:t> </w:t>
      </w:r>
      <w:r>
        <w:rPr>
          <w:sz w:val="18"/>
        </w:rPr>
        <w:t>proporcionándole</w:t>
      </w:r>
      <w:r>
        <w:rPr>
          <w:spacing w:val="-5"/>
          <w:sz w:val="18"/>
        </w:rPr>
        <w:t> </w:t>
      </w:r>
      <w:r>
        <w:rPr>
          <w:sz w:val="18"/>
        </w:rPr>
        <w:t>el</w:t>
      </w:r>
      <w:r>
        <w:rPr>
          <w:spacing w:val="-5"/>
          <w:sz w:val="18"/>
        </w:rPr>
        <w:t> </w:t>
      </w:r>
      <w:r>
        <w:rPr>
          <w:sz w:val="18"/>
        </w:rPr>
        <w:t>apoyo</w:t>
      </w:r>
      <w:r>
        <w:rPr>
          <w:spacing w:val="-5"/>
          <w:sz w:val="18"/>
        </w:rPr>
        <w:t> </w:t>
      </w:r>
      <w:r>
        <w:rPr>
          <w:sz w:val="18"/>
        </w:rPr>
        <w:t>técnico</w:t>
      </w:r>
      <w:r>
        <w:rPr>
          <w:spacing w:val="-5"/>
          <w:sz w:val="18"/>
        </w:rPr>
        <w:t> </w:t>
      </w:r>
      <w:r>
        <w:rPr>
          <w:sz w:val="18"/>
        </w:rPr>
        <w:t>que requiera respecto del contenido del mismo, así como de sus alcances, metas y requerimientos para su implementación,</w:t>
      </w:r>
      <w:r>
        <w:rPr>
          <w:spacing w:val="40"/>
          <w:sz w:val="18"/>
        </w:rPr>
        <w:t> </w:t>
      </w:r>
      <w:r>
        <w:rPr>
          <w:sz w:val="18"/>
        </w:rPr>
        <w:t>desarrollo, operación, seguimiento y evaluación;</w:t>
      </w:r>
    </w:p>
    <w:p>
      <w:pPr>
        <w:pStyle w:val="ListParagraph"/>
        <w:numPr>
          <w:ilvl w:val="5"/>
          <w:numId w:val="20"/>
        </w:numPr>
        <w:tabs>
          <w:tab w:pos="627" w:val="left" w:leader="none"/>
        </w:tabs>
        <w:spacing w:line="242" w:lineRule="auto" w:before="108" w:after="0"/>
        <w:ind w:left="114" w:right="117" w:firstLine="287"/>
        <w:jc w:val="both"/>
        <w:rPr>
          <w:sz w:val="18"/>
        </w:rPr>
      </w:pPr>
      <w:r>
        <w:rPr/>
        <mc:AlternateContent>
          <mc:Choice Requires="wps">
            <w:drawing>
              <wp:anchor distT="0" distB="0" distL="0" distR="0" allowOverlap="1" layoutInCell="1" locked="0" behindDoc="1" simplePos="0" relativeHeight="486719488">
                <wp:simplePos x="0" y="0"/>
                <wp:positionH relativeFrom="page">
                  <wp:posOffset>5969198</wp:posOffset>
                </wp:positionH>
                <wp:positionV relativeFrom="paragraph">
                  <wp:posOffset>318534</wp:posOffset>
                </wp:positionV>
                <wp:extent cx="45720" cy="952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5720" cy="9525"/>
                        </a:xfrm>
                        <a:custGeom>
                          <a:avLst/>
                          <a:gdLst/>
                          <a:ahLst/>
                          <a:cxnLst/>
                          <a:rect l="l" t="t" r="r" b="b"/>
                          <a:pathLst>
                            <a:path w="45720" h="9525">
                              <a:moveTo>
                                <a:pt x="45690" y="9524"/>
                              </a:moveTo>
                              <a:lnTo>
                                <a:pt x="0" y="9524"/>
                              </a:lnTo>
                              <a:lnTo>
                                <a:pt x="0" y="0"/>
                              </a:lnTo>
                              <a:lnTo>
                                <a:pt x="45690" y="0"/>
                              </a:lnTo>
                              <a:lnTo>
                                <a:pt x="45690"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15594pt;margin-top:25.081444pt;width:3.597656pt;height:.75pt;mso-position-horizontal-relative:page;mso-position-vertical-relative:paragraph;z-index:-16596992" id="docshape10" filled="true" fillcolor="#000000" stroked="false">
                <v:fill type="solid"/>
                <w10:wrap type="none"/>
              </v:rect>
            </w:pict>
          </mc:Fallback>
        </mc:AlternateContent>
      </w:r>
      <w:r>
        <w:rPr>
          <w:sz w:val="18"/>
        </w:rPr>
        <w:t>Con base en su disponibilidad presupuestaria en el ejercicio fiscal 2024, </w:t>
      </w:r>
      <w:r>
        <w:rPr>
          <w:rFonts w:ascii="Arial" w:hAnsi="Arial"/>
          <w:b/>
          <w:sz w:val="18"/>
        </w:rPr>
        <w:t>"LA SEP" </w:t>
      </w:r>
      <w:r>
        <w:rPr>
          <w:sz w:val="18"/>
        </w:rPr>
        <w:t>transferirá a </w:t>
      </w:r>
      <w:r>
        <w:rPr>
          <w:rFonts w:ascii="Arial" w:hAnsi="Arial"/>
          <w:b/>
          <w:sz w:val="18"/>
        </w:rPr>
        <w:t>"EL GOBIERNO DE LA ENTIDAD FEDERATIVA" </w:t>
      </w:r>
      <w:r>
        <w:rPr>
          <w:sz w:val="18"/>
        </w:rPr>
        <w:t>hasta la cantidad total de $(cantidad con número) (cantidad con letra Pesos /100 M.N.), para que la destine y aplique exclusivamente para la operación de </w:t>
      </w:r>
      <w:r>
        <w:rPr>
          <w:rFonts w:ascii="Arial" w:hAnsi="Arial"/>
          <w:b/>
          <w:sz w:val="18"/>
        </w:rPr>
        <w:t>"EL PAPPEMS"</w:t>
      </w:r>
      <w:r>
        <w:rPr>
          <w:sz w:val="18"/>
        </w:rPr>
        <w:t>, misma que se distribuirá de acuerdo con lo </w:t>
      </w:r>
      <w:r>
        <w:rPr>
          <w:sz w:val="18"/>
        </w:rPr>
        <w:t>establecido</w:t>
      </w:r>
      <w:r>
        <w:rPr>
          <w:spacing w:val="40"/>
          <w:sz w:val="18"/>
        </w:rPr>
        <w:t> </w:t>
      </w:r>
      <w:r>
        <w:rPr>
          <w:sz w:val="18"/>
        </w:rPr>
        <w:t>en los Proyectos para el Avance en la Atención de la Educación Media Superior para Estudiantes con Discapacidad autorizados para los planteles, conforme a lo siguiente:</w:t>
      </w:r>
    </w:p>
    <w:p>
      <w:pPr>
        <w:spacing w:after="0" w:line="242" w:lineRule="auto"/>
        <w:jc w:val="both"/>
        <w:rPr>
          <w:sz w:val="18"/>
        </w:rPr>
        <w:sectPr>
          <w:pgSz w:w="12240" w:h="15840"/>
          <w:pgMar w:header="269" w:footer="260" w:top="460" w:bottom="440" w:left="860" w:right="720"/>
        </w:sectPr>
      </w:pPr>
    </w:p>
    <w:p>
      <w:pPr>
        <w:pStyle w:val="BodyText"/>
        <w:spacing w:before="82"/>
        <w:ind w:left="402" w:right="0" w:firstLine="0"/>
        <w:jc w:val="left"/>
      </w:pPr>
      <w:r>
        <w:rPr/>
        <w:t>(Detalle de los proyectos </w:t>
      </w:r>
      <w:r>
        <w:rPr>
          <w:spacing w:val="-2"/>
        </w:rPr>
        <w:t>autorizados)</w:t>
      </w:r>
    </w:p>
    <w:p>
      <w:pPr>
        <w:pStyle w:val="BodyText"/>
        <w:spacing w:before="8"/>
        <w:ind w:left="0" w:right="0" w:firstLine="0"/>
        <w:jc w:val="left"/>
        <w:rPr>
          <w:sz w:val="9"/>
        </w:rPr>
      </w:pPr>
    </w:p>
    <w:tbl>
      <w:tblPr>
        <w:tblW w:w="0" w:type="auto"/>
        <w:jc w:val="left"/>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0"/>
        <w:gridCol w:w="1695"/>
        <w:gridCol w:w="2520"/>
        <w:gridCol w:w="1620"/>
        <w:gridCol w:w="2250"/>
        <w:gridCol w:w="975"/>
      </w:tblGrid>
      <w:tr>
        <w:trPr>
          <w:trHeight w:val="539" w:hRule="atLeast"/>
        </w:trPr>
        <w:tc>
          <w:tcPr>
            <w:tcW w:w="840" w:type="dxa"/>
          </w:tcPr>
          <w:p>
            <w:pPr>
              <w:pStyle w:val="TableParagraph"/>
              <w:spacing w:before="116"/>
              <w:ind w:left="276"/>
              <w:rPr>
                <w:rFonts w:ascii="Arial"/>
                <w:b/>
                <w:sz w:val="18"/>
              </w:rPr>
            </w:pPr>
            <w:r>
              <w:rPr>
                <w:rFonts w:ascii="Arial"/>
                <w:b/>
                <w:spacing w:val="-5"/>
                <w:sz w:val="18"/>
              </w:rPr>
              <w:t>No.</w:t>
            </w:r>
          </w:p>
        </w:tc>
        <w:tc>
          <w:tcPr>
            <w:tcW w:w="1695" w:type="dxa"/>
          </w:tcPr>
          <w:p>
            <w:pPr>
              <w:pStyle w:val="TableParagraph"/>
              <w:spacing w:before="116"/>
              <w:ind w:left="20"/>
              <w:jc w:val="center"/>
              <w:rPr>
                <w:rFonts w:ascii="Arial"/>
                <w:b/>
                <w:sz w:val="18"/>
              </w:rPr>
            </w:pPr>
            <w:r>
              <w:rPr>
                <w:rFonts w:ascii="Arial"/>
                <w:b/>
                <w:spacing w:val="-5"/>
                <w:sz w:val="18"/>
              </w:rPr>
              <w:t>CCT</w:t>
            </w:r>
          </w:p>
        </w:tc>
        <w:tc>
          <w:tcPr>
            <w:tcW w:w="2520" w:type="dxa"/>
          </w:tcPr>
          <w:p>
            <w:pPr>
              <w:pStyle w:val="TableParagraph"/>
              <w:spacing w:line="242" w:lineRule="auto" w:before="11"/>
              <w:ind w:left="743" w:right="583" w:hanging="145"/>
              <w:rPr>
                <w:rFonts w:ascii="Arial"/>
                <w:b/>
                <w:sz w:val="18"/>
              </w:rPr>
            </w:pPr>
            <w:r>
              <w:rPr>
                <w:rFonts w:ascii="Arial"/>
                <w:b/>
                <w:sz w:val="18"/>
              </w:rPr>
              <w:t>Nombre</w:t>
            </w:r>
            <w:r>
              <w:rPr>
                <w:rFonts w:ascii="Arial"/>
                <w:b/>
                <w:spacing w:val="-13"/>
                <w:sz w:val="18"/>
              </w:rPr>
              <w:t> </w:t>
            </w:r>
            <w:r>
              <w:rPr>
                <w:rFonts w:ascii="Arial"/>
                <w:b/>
                <w:sz w:val="18"/>
              </w:rPr>
              <w:t>Plantel </w:t>
            </w:r>
            <w:r>
              <w:rPr>
                <w:rFonts w:ascii="Arial"/>
                <w:b/>
                <w:spacing w:val="-2"/>
                <w:sz w:val="18"/>
              </w:rPr>
              <w:t>Beneficiario</w:t>
            </w:r>
          </w:p>
        </w:tc>
        <w:tc>
          <w:tcPr>
            <w:tcW w:w="1620" w:type="dxa"/>
          </w:tcPr>
          <w:p>
            <w:pPr>
              <w:pStyle w:val="TableParagraph"/>
              <w:spacing w:before="116"/>
              <w:ind w:left="167"/>
              <w:rPr>
                <w:rFonts w:ascii="Arial"/>
                <w:b/>
                <w:sz w:val="18"/>
              </w:rPr>
            </w:pPr>
            <w:r>
              <w:rPr>
                <w:rFonts w:ascii="Arial"/>
                <w:b/>
                <w:sz w:val="18"/>
              </w:rPr>
              <w:t>Monto</w:t>
            </w:r>
            <w:r>
              <w:rPr>
                <w:rFonts w:ascii="Arial"/>
                <w:b/>
                <w:spacing w:val="-7"/>
                <w:sz w:val="18"/>
              </w:rPr>
              <w:t> </w:t>
            </w:r>
            <w:r>
              <w:rPr>
                <w:rFonts w:ascii="Arial"/>
                <w:b/>
                <w:sz w:val="18"/>
              </w:rPr>
              <w:t>Total</w:t>
            </w:r>
            <w:r>
              <w:rPr>
                <w:rFonts w:ascii="Arial"/>
                <w:b/>
                <w:spacing w:val="-7"/>
                <w:sz w:val="18"/>
              </w:rPr>
              <w:t> </w:t>
            </w:r>
            <w:r>
              <w:rPr>
                <w:rFonts w:ascii="Arial"/>
                <w:b/>
                <w:spacing w:val="-5"/>
                <w:sz w:val="18"/>
              </w:rPr>
              <w:t>($)</w:t>
            </w:r>
          </w:p>
        </w:tc>
        <w:tc>
          <w:tcPr>
            <w:tcW w:w="2250" w:type="dxa"/>
          </w:tcPr>
          <w:p>
            <w:pPr>
              <w:pStyle w:val="TableParagraph"/>
              <w:spacing w:before="116"/>
              <w:ind w:left="218"/>
              <w:rPr>
                <w:rFonts w:ascii="Arial"/>
                <w:b/>
                <w:sz w:val="18"/>
              </w:rPr>
            </w:pPr>
            <w:r>
              <w:rPr>
                <w:rFonts w:ascii="Arial"/>
                <w:b/>
                <w:sz w:val="18"/>
              </w:rPr>
              <w:t>Monto</w:t>
            </w:r>
            <w:r>
              <w:rPr>
                <w:rFonts w:ascii="Arial"/>
                <w:b/>
                <w:spacing w:val="-5"/>
                <w:sz w:val="18"/>
              </w:rPr>
              <w:t> </w:t>
            </w:r>
            <w:r>
              <w:rPr>
                <w:rFonts w:ascii="Arial"/>
                <w:b/>
                <w:sz w:val="18"/>
              </w:rPr>
              <w:t>Total</w:t>
            </w:r>
            <w:r>
              <w:rPr>
                <w:rFonts w:ascii="Arial"/>
                <w:b/>
                <w:spacing w:val="-5"/>
                <w:sz w:val="18"/>
              </w:rPr>
              <w:t> </w:t>
            </w:r>
            <w:r>
              <w:rPr>
                <w:rFonts w:ascii="Arial"/>
                <w:b/>
                <w:sz w:val="18"/>
              </w:rPr>
              <w:t>con</w:t>
            </w:r>
            <w:r>
              <w:rPr>
                <w:rFonts w:ascii="Arial"/>
                <w:b/>
                <w:spacing w:val="-4"/>
                <w:sz w:val="18"/>
              </w:rPr>
              <w:t> </w:t>
            </w:r>
            <w:r>
              <w:rPr>
                <w:rFonts w:ascii="Arial"/>
                <w:b/>
                <w:spacing w:val="-2"/>
                <w:sz w:val="18"/>
              </w:rPr>
              <w:t>letra</w:t>
            </w:r>
          </w:p>
        </w:tc>
        <w:tc>
          <w:tcPr>
            <w:tcW w:w="975" w:type="dxa"/>
          </w:tcPr>
          <w:p>
            <w:pPr>
              <w:pStyle w:val="TableParagraph"/>
              <w:spacing w:line="242" w:lineRule="auto" w:before="11"/>
              <w:ind w:left="210" w:right="148" w:hanging="39"/>
              <w:rPr>
                <w:rFonts w:ascii="Arial"/>
                <w:b/>
                <w:sz w:val="18"/>
              </w:rPr>
            </w:pPr>
            <w:r>
              <w:rPr>
                <w:rFonts w:ascii="Arial"/>
                <w:b/>
                <w:sz w:val="18"/>
              </w:rPr>
              <w:t>Tipo</w:t>
            </w:r>
            <w:r>
              <w:rPr>
                <w:rFonts w:ascii="Arial"/>
                <w:b/>
                <w:spacing w:val="-13"/>
                <w:sz w:val="18"/>
              </w:rPr>
              <w:t> </w:t>
            </w:r>
            <w:r>
              <w:rPr>
                <w:rFonts w:ascii="Arial"/>
                <w:b/>
                <w:sz w:val="18"/>
              </w:rPr>
              <w:t>de </w:t>
            </w:r>
            <w:r>
              <w:rPr>
                <w:rFonts w:ascii="Arial"/>
                <w:b/>
                <w:spacing w:val="-2"/>
                <w:sz w:val="18"/>
              </w:rPr>
              <w:t>Apoyo</w:t>
            </w:r>
          </w:p>
        </w:tc>
      </w:tr>
      <w:tr>
        <w:trPr>
          <w:trHeight w:val="344" w:hRule="atLeast"/>
        </w:trPr>
        <w:tc>
          <w:tcPr>
            <w:tcW w:w="840" w:type="dxa"/>
          </w:tcPr>
          <w:p>
            <w:pPr>
              <w:pStyle w:val="TableParagraph"/>
              <w:rPr>
                <w:rFonts w:ascii="Times New Roman"/>
                <w:sz w:val="16"/>
              </w:rPr>
            </w:pPr>
          </w:p>
        </w:tc>
        <w:tc>
          <w:tcPr>
            <w:tcW w:w="1695" w:type="dxa"/>
          </w:tcPr>
          <w:p>
            <w:pPr>
              <w:pStyle w:val="TableParagraph"/>
              <w:rPr>
                <w:rFonts w:ascii="Times New Roman"/>
                <w:sz w:val="16"/>
              </w:rPr>
            </w:pPr>
          </w:p>
        </w:tc>
        <w:tc>
          <w:tcPr>
            <w:tcW w:w="2520" w:type="dxa"/>
          </w:tcPr>
          <w:p>
            <w:pPr>
              <w:pStyle w:val="TableParagraph"/>
              <w:rPr>
                <w:rFonts w:ascii="Times New Roman"/>
                <w:sz w:val="16"/>
              </w:rPr>
            </w:pPr>
          </w:p>
        </w:tc>
        <w:tc>
          <w:tcPr>
            <w:tcW w:w="1620" w:type="dxa"/>
          </w:tcPr>
          <w:p>
            <w:pPr>
              <w:pStyle w:val="TableParagraph"/>
              <w:rPr>
                <w:rFonts w:ascii="Times New Roman"/>
                <w:sz w:val="16"/>
              </w:rPr>
            </w:pPr>
          </w:p>
        </w:tc>
        <w:tc>
          <w:tcPr>
            <w:tcW w:w="2250" w:type="dxa"/>
          </w:tcPr>
          <w:p>
            <w:pPr>
              <w:pStyle w:val="TableParagraph"/>
              <w:rPr>
                <w:rFonts w:ascii="Times New Roman"/>
                <w:sz w:val="16"/>
              </w:rPr>
            </w:pPr>
          </w:p>
        </w:tc>
        <w:tc>
          <w:tcPr>
            <w:tcW w:w="975" w:type="dxa"/>
          </w:tcPr>
          <w:p>
            <w:pPr>
              <w:pStyle w:val="TableParagraph"/>
              <w:rPr>
                <w:rFonts w:ascii="Times New Roman"/>
                <w:sz w:val="16"/>
              </w:rPr>
            </w:pPr>
          </w:p>
        </w:tc>
      </w:tr>
      <w:tr>
        <w:trPr>
          <w:trHeight w:val="344" w:hRule="atLeast"/>
        </w:trPr>
        <w:tc>
          <w:tcPr>
            <w:tcW w:w="840" w:type="dxa"/>
          </w:tcPr>
          <w:p>
            <w:pPr>
              <w:pStyle w:val="TableParagraph"/>
              <w:rPr>
                <w:rFonts w:ascii="Times New Roman"/>
                <w:sz w:val="16"/>
              </w:rPr>
            </w:pPr>
          </w:p>
        </w:tc>
        <w:tc>
          <w:tcPr>
            <w:tcW w:w="1695" w:type="dxa"/>
          </w:tcPr>
          <w:p>
            <w:pPr>
              <w:pStyle w:val="TableParagraph"/>
              <w:rPr>
                <w:rFonts w:ascii="Times New Roman"/>
                <w:sz w:val="16"/>
              </w:rPr>
            </w:pPr>
          </w:p>
        </w:tc>
        <w:tc>
          <w:tcPr>
            <w:tcW w:w="2520" w:type="dxa"/>
          </w:tcPr>
          <w:p>
            <w:pPr>
              <w:pStyle w:val="TableParagraph"/>
              <w:rPr>
                <w:rFonts w:ascii="Times New Roman"/>
                <w:sz w:val="16"/>
              </w:rPr>
            </w:pPr>
          </w:p>
        </w:tc>
        <w:tc>
          <w:tcPr>
            <w:tcW w:w="1620" w:type="dxa"/>
          </w:tcPr>
          <w:p>
            <w:pPr>
              <w:pStyle w:val="TableParagraph"/>
              <w:rPr>
                <w:rFonts w:ascii="Times New Roman"/>
                <w:sz w:val="16"/>
              </w:rPr>
            </w:pPr>
          </w:p>
        </w:tc>
        <w:tc>
          <w:tcPr>
            <w:tcW w:w="2250" w:type="dxa"/>
          </w:tcPr>
          <w:p>
            <w:pPr>
              <w:pStyle w:val="TableParagraph"/>
              <w:rPr>
                <w:rFonts w:ascii="Times New Roman"/>
                <w:sz w:val="16"/>
              </w:rPr>
            </w:pPr>
          </w:p>
        </w:tc>
        <w:tc>
          <w:tcPr>
            <w:tcW w:w="975" w:type="dxa"/>
          </w:tcPr>
          <w:p>
            <w:pPr>
              <w:pStyle w:val="TableParagraph"/>
              <w:rPr>
                <w:rFonts w:ascii="Times New Roman"/>
                <w:sz w:val="16"/>
              </w:rPr>
            </w:pPr>
          </w:p>
        </w:tc>
      </w:tr>
      <w:tr>
        <w:trPr>
          <w:trHeight w:val="344" w:hRule="atLeast"/>
        </w:trPr>
        <w:tc>
          <w:tcPr>
            <w:tcW w:w="840" w:type="dxa"/>
          </w:tcPr>
          <w:p>
            <w:pPr>
              <w:pStyle w:val="TableParagraph"/>
              <w:rPr>
                <w:rFonts w:ascii="Times New Roman"/>
                <w:sz w:val="16"/>
              </w:rPr>
            </w:pPr>
          </w:p>
        </w:tc>
        <w:tc>
          <w:tcPr>
            <w:tcW w:w="1695" w:type="dxa"/>
          </w:tcPr>
          <w:p>
            <w:pPr>
              <w:pStyle w:val="TableParagraph"/>
              <w:spacing w:before="11"/>
              <w:ind w:left="80"/>
              <w:rPr>
                <w:rFonts w:ascii="Arial"/>
                <w:b/>
                <w:sz w:val="18"/>
              </w:rPr>
            </w:pPr>
            <w:r>
              <w:rPr>
                <w:rFonts w:ascii="Arial"/>
                <w:b/>
                <w:spacing w:val="-2"/>
                <w:sz w:val="18"/>
              </w:rPr>
              <w:t>Total</w:t>
            </w:r>
            <w:r>
              <w:rPr>
                <w:rFonts w:ascii="Arial"/>
                <w:b/>
                <w:spacing w:val="-4"/>
                <w:sz w:val="18"/>
              </w:rPr>
              <w:t> </w:t>
            </w:r>
            <w:r>
              <w:rPr>
                <w:rFonts w:ascii="Arial"/>
                <w:b/>
                <w:spacing w:val="-2"/>
                <w:sz w:val="18"/>
              </w:rPr>
              <w:t>general</w:t>
            </w:r>
          </w:p>
        </w:tc>
        <w:tc>
          <w:tcPr>
            <w:tcW w:w="2520" w:type="dxa"/>
          </w:tcPr>
          <w:p>
            <w:pPr>
              <w:pStyle w:val="TableParagraph"/>
              <w:rPr>
                <w:rFonts w:ascii="Times New Roman"/>
                <w:sz w:val="16"/>
              </w:rPr>
            </w:pPr>
          </w:p>
        </w:tc>
        <w:tc>
          <w:tcPr>
            <w:tcW w:w="1620" w:type="dxa"/>
          </w:tcPr>
          <w:p>
            <w:pPr>
              <w:pStyle w:val="TableParagraph"/>
              <w:rPr>
                <w:rFonts w:ascii="Times New Roman"/>
                <w:sz w:val="16"/>
              </w:rPr>
            </w:pPr>
          </w:p>
        </w:tc>
        <w:tc>
          <w:tcPr>
            <w:tcW w:w="2250" w:type="dxa"/>
          </w:tcPr>
          <w:p>
            <w:pPr>
              <w:pStyle w:val="TableParagraph"/>
              <w:rPr>
                <w:rFonts w:ascii="Times New Roman"/>
                <w:sz w:val="16"/>
              </w:rPr>
            </w:pPr>
          </w:p>
        </w:tc>
        <w:tc>
          <w:tcPr>
            <w:tcW w:w="975" w:type="dxa"/>
          </w:tcPr>
          <w:p>
            <w:pPr>
              <w:pStyle w:val="TableParagraph"/>
              <w:rPr>
                <w:rFonts w:ascii="Times New Roman"/>
                <w:sz w:val="16"/>
              </w:rPr>
            </w:pPr>
          </w:p>
        </w:tc>
      </w:tr>
    </w:tbl>
    <w:p>
      <w:pPr>
        <w:pStyle w:val="BodyText"/>
        <w:spacing w:before="93"/>
        <w:ind w:left="0" w:right="0" w:firstLine="0"/>
        <w:jc w:val="left"/>
      </w:pPr>
    </w:p>
    <w:p>
      <w:pPr>
        <w:pStyle w:val="BodyText"/>
        <w:spacing w:line="242" w:lineRule="auto" w:before="0"/>
      </w:pPr>
      <w:r>
        <w:rPr/>
        <w:t>Dicha</w:t>
      </w:r>
      <w:r>
        <w:rPr>
          <w:spacing w:val="-2"/>
        </w:rPr>
        <w:t> </w:t>
      </w:r>
      <w:r>
        <w:rPr/>
        <w:t>cantidad</w:t>
      </w:r>
      <w:r>
        <w:rPr>
          <w:spacing w:val="-2"/>
        </w:rPr>
        <w:t> </w:t>
      </w:r>
      <w:r>
        <w:rPr/>
        <w:t>total</w:t>
      </w:r>
      <w:r>
        <w:rPr>
          <w:spacing w:val="-2"/>
        </w:rPr>
        <w:t> </w:t>
      </w:r>
      <w:r>
        <w:rPr/>
        <w:t>será</w:t>
      </w:r>
      <w:r>
        <w:rPr>
          <w:spacing w:val="-2"/>
        </w:rPr>
        <w:t> </w:t>
      </w:r>
      <w:r>
        <w:rPr/>
        <w:t>transferida</w:t>
      </w:r>
      <w:r>
        <w:rPr>
          <w:spacing w:val="-2"/>
        </w:rPr>
        <w:t> </w:t>
      </w:r>
      <w:r>
        <w:rPr/>
        <w:t>por</w:t>
      </w:r>
      <w:r>
        <w:rPr>
          <w:spacing w:val="-2"/>
        </w:rPr>
        <w:t> </w:t>
      </w:r>
      <w:r>
        <w:rPr>
          <w:rFonts w:ascii="Arial" w:hAnsi="Arial"/>
          <w:b/>
        </w:rPr>
        <w:t>"LA</w:t>
      </w:r>
      <w:r>
        <w:rPr>
          <w:rFonts w:ascii="Arial" w:hAnsi="Arial"/>
          <w:b/>
          <w:spacing w:val="-9"/>
        </w:rPr>
        <w:t> </w:t>
      </w:r>
      <w:r>
        <w:rPr>
          <w:rFonts w:ascii="Arial" w:hAnsi="Arial"/>
          <w:b/>
        </w:rPr>
        <w:t>SEP"</w:t>
      </w:r>
      <w:r>
        <w:rPr>
          <w:rFonts w:ascii="Arial" w:hAnsi="Arial"/>
          <w:b/>
          <w:spacing w:val="-2"/>
        </w:rPr>
        <w:t> </w:t>
      </w:r>
      <w:r>
        <w:rPr/>
        <w:t>a</w:t>
      </w:r>
      <w:r>
        <w:rPr>
          <w:spacing w:val="-2"/>
        </w:rPr>
        <w:t> </w:t>
      </w:r>
      <w:r>
        <w:rPr/>
        <w:t>la</w:t>
      </w:r>
      <w:r>
        <w:rPr>
          <w:spacing w:val="-2"/>
        </w:rPr>
        <w:t> </w:t>
      </w:r>
      <w:r>
        <w:rPr/>
        <w:t>cuenta</w:t>
      </w:r>
      <w:r>
        <w:rPr>
          <w:spacing w:val="-2"/>
        </w:rPr>
        <w:t> </w:t>
      </w:r>
      <w:r>
        <w:rPr/>
        <w:t>bancaria</w:t>
      </w:r>
      <w:r>
        <w:rPr>
          <w:spacing w:val="-2"/>
        </w:rPr>
        <w:t> </w:t>
      </w:r>
      <w:r>
        <w:rPr/>
        <w:t>productiva</w:t>
      </w:r>
      <w:r>
        <w:rPr>
          <w:spacing w:val="-2"/>
        </w:rPr>
        <w:t> </w:t>
      </w:r>
      <w:r>
        <w:rPr/>
        <w:t>específica</w:t>
      </w:r>
      <w:r>
        <w:rPr>
          <w:spacing w:val="-2"/>
        </w:rPr>
        <w:t> </w:t>
      </w:r>
      <w:r>
        <w:rPr/>
        <w:t>que</w:t>
      </w:r>
      <w:r>
        <w:rPr>
          <w:spacing w:val="-2"/>
        </w:rPr>
        <w:t> </w:t>
      </w:r>
      <w:r>
        <w:rPr/>
        <w:t>para</w:t>
      </w:r>
      <w:r>
        <w:rPr>
          <w:spacing w:val="-2"/>
        </w:rPr>
        <w:t> </w:t>
      </w:r>
      <w:r>
        <w:rPr/>
        <w:t>tal</w:t>
      </w:r>
      <w:r>
        <w:rPr>
          <w:spacing w:val="-2"/>
        </w:rPr>
        <w:t> </w:t>
      </w:r>
      <w:r>
        <w:rPr/>
        <w:t>efecto</w:t>
      </w:r>
      <w:r>
        <w:rPr>
          <w:spacing w:val="-2"/>
        </w:rPr>
        <w:t> </w:t>
      </w:r>
      <w:r>
        <w:rPr/>
        <w:t>le</w:t>
      </w:r>
      <w:r>
        <w:rPr>
          <w:spacing w:val="-2"/>
        </w:rPr>
        <w:t> </w:t>
      </w:r>
      <w:r>
        <w:rPr/>
        <w:t>comunique por escrito </w:t>
      </w:r>
      <w:r>
        <w:rPr>
          <w:rFonts w:ascii="Arial" w:hAnsi="Arial"/>
          <w:b/>
        </w:rPr>
        <w:t>"EL GOBIERNO DE LA ENTIDAD FEDERATIVA" </w:t>
      </w:r>
      <w:r>
        <w:rPr/>
        <w:t>por conducto de la Secretaría de Finanzas o equivalente a </w:t>
      </w:r>
      <w:r>
        <w:rPr>
          <w:rFonts w:ascii="Arial" w:hAnsi="Arial"/>
          <w:b/>
        </w:rPr>
        <w:t>"LA SEP"</w:t>
      </w:r>
      <w:r>
        <w:rPr/>
        <w:t>, de conformidad con lo establecido en las </w:t>
      </w:r>
      <w:r>
        <w:rPr>
          <w:rFonts w:ascii="Arial" w:hAnsi="Arial"/>
          <w:b/>
        </w:rPr>
        <w:t>"REGLAS" </w:t>
      </w:r>
      <w:r>
        <w:rPr/>
        <w:t>y el artículo 69 de la Ley General de Contabilidad Gubernamental, y;</w:t>
      </w:r>
    </w:p>
    <w:p>
      <w:pPr>
        <w:pStyle w:val="ListParagraph"/>
        <w:numPr>
          <w:ilvl w:val="5"/>
          <w:numId w:val="20"/>
        </w:numPr>
        <w:tabs>
          <w:tab w:pos="601" w:val="left" w:leader="none"/>
        </w:tabs>
        <w:spacing w:line="240" w:lineRule="auto" w:before="108" w:after="0"/>
        <w:ind w:left="601" w:right="0" w:hanging="199"/>
        <w:jc w:val="both"/>
        <w:rPr>
          <w:sz w:val="18"/>
        </w:rPr>
      </w:pPr>
      <w:r>
        <w:rPr>
          <w:sz w:val="18"/>
        </w:rPr>
        <w:t>Las</w:t>
      </w:r>
      <w:r>
        <w:rPr>
          <w:spacing w:val="-2"/>
          <w:sz w:val="18"/>
        </w:rPr>
        <w:t> </w:t>
      </w:r>
      <w:r>
        <w:rPr>
          <w:sz w:val="18"/>
        </w:rPr>
        <w:t>demás obligaciones a su cargo establecidas en las </w:t>
      </w:r>
      <w:r>
        <w:rPr>
          <w:rFonts w:ascii="Arial" w:hAnsi="Arial"/>
          <w:b/>
          <w:spacing w:val="-2"/>
          <w:sz w:val="18"/>
        </w:rPr>
        <w:t>"REGLAS"</w:t>
      </w:r>
      <w:r>
        <w:rPr>
          <w:spacing w:val="-2"/>
          <w:sz w:val="18"/>
        </w:rPr>
        <w:t>.</w:t>
      </w:r>
    </w:p>
    <w:p>
      <w:pPr>
        <w:spacing w:before="108"/>
        <w:ind w:left="402" w:right="0" w:firstLine="0"/>
        <w:jc w:val="left"/>
        <w:rPr>
          <w:rFonts w:ascii="Arial"/>
          <w:b/>
          <w:sz w:val="18"/>
        </w:rPr>
      </w:pPr>
      <w:r>
        <w:rPr>
          <w:rFonts w:ascii="Arial"/>
          <w:b/>
          <w:sz w:val="18"/>
        </w:rPr>
        <w:t>TERCERA.</w:t>
      </w:r>
      <w:r>
        <w:rPr>
          <w:rFonts w:ascii="Arial"/>
          <w:b/>
          <w:spacing w:val="43"/>
          <w:sz w:val="18"/>
        </w:rPr>
        <w:t> </w:t>
      </w:r>
      <w:r>
        <w:rPr>
          <w:sz w:val="18"/>
        </w:rPr>
        <w:t>Obligaciones</w:t>
      </w:r>
      <w:r>
        <w:rPr>
          <w:spacing w:val="43"/>
          <w:sz w:val="18"/>
        </w:rPr>
        <w:t> </w:t>
      </w:r>
      <w:r>
        <w:rPr>
          <w:sz w:val="18"/>
        </w:rPr>
        <w:t>de</w:t>
      </w:r>
      <w:r>
        <w:rPr>
          <w:spacing w:val="43"/>
          <w:sz w:val="18"/>
        </w:rPr>
        <w:t> </w:t>
      </w:r>
      <w:r>
        <w:rPr>
          <w:rFonts w:ascii="Arial"/>
          <w:b/>
          <w:sz w:val="18"/>
        </w:rPr>
        <w:t>"EL</w:t>
      </w:r>
      <w:r>
        <w:rPr>
          <w:rFonts w:ascii="Arial"/>
          <w:b/>
          <w:spacing w:val="40"/>
          <w:sz w:val="18"/>
        </w:rPr>
        <w:t> </w:t>
      </w:r>
      <w:r>
        <w:rPr>
          <w:rFonts w:ascii="Arial"/>
          <w:b/>
          <w:sz w:val="18"/>
        </w:rPr>
        <w:t>GOBIERNO</w:t>
      </w:r>
      <w:r>
        <w:rPr>
          <w:rFonts w:ascii="Arial"/>
          <w:b/>
          <w:spacing w:val="43"/>
          <w:sz w:val="18"/>
        </w:rPr>
        <w:t> </w:t>
      </w:r>
      <w:r>
        <w:rPr>
          <w:rFonts w:ascii="Arial"/>
          <w:b/>
          <w:sz w:val="18"/>
        </w:rPr>
        <w:t>DE</w:t>
      </w:r>
      <w:r>
        <w:rPr>
          <w:rFonts w:ascii="Arial"/>
          <w:b/>
          <w:spacing w:val="43"/>
          <w:sz w:val="18"/>
        </w:rPr>
        <w:t> </w:t>
      </w:r>
      <w:r>
        <w:rPr>
          <w:rFonts w:ascii="Arial"/>
          <w:b/>
          <w:sz w:val="18"/>
        </w:rPr>
        <w:t>LA</w:t>
      </w:r>
      <w:r>
        <w:rPr>
          <w:rFonts w:ascii="Arial"/>
          <w:b/>
          <w:spacing w:val="37"/>
          <w:sz w:val="18"/>
        </w:rPr>
        <w:t> </w:t>
      </w:r>
      <w:r>
        <w:rPr>
          <w:rFonts w:ascii="Arial"/>
          <w:b/>
          <w:sz w:val="18"/>
        </w:rPr>
        <w:t>ENTIDAD</w:t>
      </w:r>
      <w:r>
        <w:rPr>
          <w:rFonts w:ascii="Arial"/>
          <w:b/>
          <w:spacing w:val="43"/>
          <w:sz w:val="18"/>
        </w:rPr>
        <w:t> </w:t>
      </w:r>
      <w:r>
        <w:rPr>
          <w:rFonts w:ascii="Arial"/>
          <w:b/>
          <w:sz w:val="18"/>
        </w:rPr>
        <w:t>FEDERATIVA"</w:t>
      </w:r>
      <w:r>
        <w:rPr>
          <w:sz w:val="18"/>
        </w:rPr>
        <w:t>:</w:t>
      </w:r>
      <w:r>
        <w:rPr>
          <w:spacing w:val="43"/>
          <w:sz w:val="18"/>
        </w:rPr>
        <w:t> </w:t>
      </w:r>
      <w:r>
        <w:rPr>
          <w:sz w:val="18"/>
        </w:rPr>
        <w:t>Por</w:t>
      </w:r>
      <w:r>
        <w:rPr>
          <w:spacing w:val="43"/>
          <w:sz w:val="18"/>
        </w:rPr>
        <w:t> </w:t>
      </w:r>
      <w:r>
        <w:rPr>
          <w:sz w:val="18"/>
        </w:rPr>
        <w:t>su</w:t>
      </w:r>
      <w:r>
        <w:rPr>
          <w:spacing w:val="43"/>
          <w:sz w:val="18"/>
        </w:rPr>
        <w:t> </w:t>
      </w:r>
      <w:r>
        <w:rPr>
          <w:sz w:val="18"/>
        </w:rPr>
        <w:t>parte,</w:t>
      </w:r>
      <w:r>
        <w:rPr>
          <w:spacing w:val="43"/>
          <w:sz w:val="18"/>
        </w:rPr>
        <w:t> </w:t>
      </w:r>
      <w:r>
        <w:rPr>
          <w:rFonts w:ascii="Arial"/>
          <w:b/>
          <w:sz w:val="18"/>
        </w:rPr>
        <w:t>"EL</w:t>
      </w:r>
      <w:r>
        <w:rPr>
          <w:rFonts w:ascii="Arial"/>
          <w:b/>
          <w:spacing w:val="40"/>
          <w:sz w:val="18"/>
        </w:rPr>
        <w:t> </w:t>
      </w:r>
      <w:r>
        <w:rPr>
          <w:rFonts w:ascii="Arial"/>
          <w:b/>
          <w:sz w:val="18"/>
        </w:rPr>
        <w:t>GOBIERNO</w:t>
      </w:r>
      <w:r>
        <w:rPr>
          <w:rFonts w:ascii="Arial"/>
          <w:b/>
          <w:spacing w:val="43"/>
          <w:sz w:val="18"/>
        </w:rPr>
        <w:t> </w:t>
      </w:r>
      <w:r>
        <w:rPr>
          <w:rFonts w:ascii="Arial"/>
          <w:b/>
          <w:sz w:val="18"/>
        </w:rPr>
        <w:t>DE</w:t>
      </w:r>
      <w:r>
        <w:rPr>
          <w:rFonts w:ascii="Arial"/>
          <w:b/>
          <w:spacing w:val="44"/>
          <w:sz w:val="18"/>
        </w:rPr>
        <w:t> </w:t>
      </w:r>
      <w:r>
        <w:rPr>
          <w:rFonts w:ascii="Arial"/>
          <w:b/>
          <w:spacing w:val="-5"/>
          <w:sz w:val="18"/>
        </w:rPr>
        <w:t>LA</w:t>
      </w:r>
    </w:p>
    <w:p>
      <w:pPr>
        <w:spacing w:before="3"/>
        <w:ind w:left="114" w:right="0" w:firstLine="0"/>
        <w:jc w:val="left"/>
        <w:rPr>
          <w:sz w:val="18"/>
        </w:rPr>
      </w:pPr>
      <w:r>
        <w:rPr>
          <w:rFonts w:ascii="Arial"/>
          <w:b/>
          <w:sz w:val="18"/>
        </w:rPr>
        <w:t>ENTIDAD</w:t>
      </w:r>
      <w:r>
        <w:rPr>
          <w:rFonts w:ascii="Arial"/>
          <w:b/>
          <w:spacing w:val="-9"/>
          <w:sz w:val="18"/>
        </w:rPr>
        <w:t> </w:t>
      </w:r>
      <w:r>
        <w:rPr>
          <w:rFonts w:ascii="Arial"/>
          <w:b/>
          <w:sz w:val="18"/>
        </w:rPr>
        <w:t>FEDERATIVA"</w:t>
      </w:r>
      <w:r>
        <w:rPr>
          <w:rFonts w:ascii="Arial"/>
          <w:b/>
          <w:spacing w:val="-7"/>
          <w:sz w:val="18"/>
        </w:rPr>
        <w:t> </w:t>
      </w:r>
      <w:r>
        <w:rPr>
          <w:sz w:val="18"/>
        </w:rPr>
        <w:t>se</w:t>
      </w:r>
      <w:r>
        <w:rPr>
          <w:spacing w:val="-7"/>
          <w:sz w:val="18"/>
        </w:rPr>
        <w:t> </w:t>
      </w:r>
      <w:r>
        <w:rPr>
          <w:sz w:val="18"/>
        </w:rPr>
        <w:t>obliga</w:t>
      </w:r>
      <w:r>
        <w:rPr>
          <w:spacing w:val="-7"/>
          <w:sz w:val="18"/>
        </w:rPr>
        <w:t> </w:t>
      </w:r>
      <w:r>
        <w:rPr>
          <w:spacing w:val="-5"/>
          <w:sz w:val="18"/>
        </w:rPr>
        <w:t>a:</w:t>
      </w:r>
    </w:p>
    <w:p>
      <w:pPr>
        <w:pStyle w:val="ListParagraph"/>
        <w:numPr>
          <w:ilvl w:val="6"/>
          <w:numId w:val="20"/>
        </w:numPr>
        <w:tabs>
          <w:tab w:pos="632" w:val="left" w:leader="none"/>
        </w:tabs>
        <w:spacing w:line="242" w:lineRule="auto" w:before="93" w:after="0"/>
        <w:ind w:left="114" w:right="117" w:firstLine="287"/>
        <w:jc w:val="both"/>
        <w:rPr>
          <w:sz w:val="18"/>
        </w:rPr>
      </w:pPr>
      <w:r>
        <w:rPr>
          <w:sz w:val="18"/>
        </w:rPr>
        <w:t>Abrir y mantener una cuenta bancaria productiva específica para la recepción, administración, ejercicio y aplicación de </w:t>
      </w:r>
      <w:r>
        <w:rPr>
          <w:sz w:val="18"/>
        </w:rPr>
        <w:t>los recursos financieros que le otorgue </w:t>
      </w:r>
      <w:r>
        <w:rPr>
          <w:rFonts w:ascii="Arial" w:hAnsi="Arial"/>
          <w:b/>
          <w:sz w:val="18"/>
        </w:rPr>
        <w:t>"LA SEP" </w:t>
      </w:r>
      <w:r>
        <w:rPr>
          <w:sz w:val="18"/>
        </w:rPr>
        <w:t>y los rendimientos financieros que generen, estableciendo una contabilidad independiente para </w:t>
      </w:r>
      <w:r>
        <w:rPr>
          <w:rFonts w:ascii="Arial" w:hAnsi="Arial"/>
          <w:b/>
          <w:sz w:val="18"/>
        </w:rPr>
        <w:t>"EL PAPPEMS" </w:t>
      </w:r>
      <w:r>
        <w:rPr>
          <w:sz w:val="18"/>
        </w:rPr>
        <w:t>manteniendo registros específicos identificados y controlados, así como resguardar la documentación original que justifique y compruebe el gasto. Dicha documentación deberá presentarse a los órganos competentes de control y fiscalización que lo soliciten;</w:t>
      </w:r>
    </w:p>
    <w:p>
      <w:pPr>
        <w:pStyle w:val="ListParagraph"/>
        <w:numPr>
          <w:ilvl w:val="6"/>
          <w:numId w:val="20"/>
        </w:numPr>
        <w:tabs>
          <w:tab w:pos="641" w:val="left" w:leader="none"/>
        </w:tabs>
        <w:spacing w:line="242" w:lineRule="auto" w:before="110" w:after="0"/>
        <w:ind w:left="114" w:right="118" w:firstLine="287"/>
        <w:jc w:val="both"/>
        <w:rPr>
          <w:sz w:val="18"/>
        </w:rPr>
      </w:pPr>
      <w:r>
        <w:rPr>
          <w:sz w:val="18"/>
        </w:rPr>
        <w:t>Enviar a </w:t>
      </w:r>
      <w:r>
        <w:rPr>
          <w:rFonts w:ascii="Arial" w:hAnsi="Arial"/>
          <w:b/>
          <w:sz w:val="18"/>
        </w:rPr>
        <w:t>"LA SEP"</w:t>
      </w:r>
      <w:r>
        <w:rPr>
          <w:sz w:val="18"/>
        </w:rPr>
        <w:t>, el Comprobante Fiscal Digital por Internet (CFDI) en formato PDF y XML correspondiente al subsidio, que emita la Tesorería Estatal de conformidad con las </w:t>
      </w:r>
      <w:r>
        <w:rPr>
          <w:rFonts w:ascii="Arial" w:hAnsi="Arial"/>
          <w:b/>
          <w:sz w:val="18"/>
        </w:rPr>
        <w:t>"REGLAS"</w:t>
      </w:r>
      <w:r>
        <w:rPr>
          <w:sz w:val="18"/>
        </w:rPr>
        <w:t>;</w:t>
      </w:r>
    </w:p>
    <w:p>
      <w:pPr>
        <w:pStyle w:val="ListParagraph"/>
        <w:numPr>
          <w:ilvl w:val="6"/>
          <w:numId w:val="20"/>
        </w:numPr>
        <w:tabs>
          <w:tab w:pos="647" w:val="left" w:leader="none"/>
        </w:tabs>
        <w:spacing w:line="242" w:lineRule="auto" w:before="106" w:after="0"/>
        <w:ind w:left="114" w:right="117" w:firstLine="287"/>
        <w:jc w:val="both"/>
        <w:rPr>
          <w:sz w:val="18"/>
        </w:rPr>
      </w:pPr>
      <w:r>
        <w:rPr>
          <w:sz w:val="18"/>
        </w:rPr>
        <w:t>Elaborar un Plan</w:t>
      </w:r>
      <w:r>
        <w:rPr>
          <w:spacing w:val="-7"/>
          <w:sz w:val="18"/>
        </w:rPr>
        <w:t> </w:t>
      </w:r>
      <w:r>
        <w:rPr>
          <w:sz w:val="18"/>
        </w:rPr>
        <w:t>Anual de Trabajo (PAT) en términos de lo establecido en cada Proyecto para el</w:t>
      </w:r>
      <w:r>
        <w:rPr>
          <w:spacing w:val="-6"/>
          <w:sz w:val="18"/>
        </w:rPr>
        <w:t> </w:t>
      </w:r>
      <w:r>
        <w:rPr>
          <w:sz w:val="18"/>
        </w:rPr>
        <w:t>Avance en la</w:t>
      </w:r>
      <w:r>
        <w:rPr>
          <w:spacing w:val="-7"/>
          <w:sz w:val="18"/>
        </w:rPr>
        <w:t> </w:t>
      </w:r>
      <w:r>
        <w:rPr>
          <w:sz w:val="18"/>
        </w:rPr>
        <w:t>Atención de la Educación Media Superior para Estudiantes con Discapacidad autorizado para los planteles, el cual deberá ser remitido a la</w:t>
      </w:r>
      <w:r>
        <w:rPr>
          <w:spacing w:val="40"/>
          <w:sz w:val="18"/>
        </w:rPr>
        <w:t> </w:t>
      </w:r>
      <w:r>
        <w:rPr>
          <w:rFonts w:ascii="Arial" w:hAnsi="Arial"/>
          <w:b/>
          <w:sz w:val="18"/>
        </w:rPr>
        <w:t>"LA SEP" </w:t>
      </w:r>
      <w:r>
        <w:rPr>
          <w:sz w:val="18"/>
        </w:rPr>
        <w:t>por medio de la Coordinación Sectorial de Planeación y Administración de la Subsecretaría de Educación </w:t>
      </w:r>
      <w:r>
        <w:rPr>
          <w:sz w:val="18"/>
        </w:rPr>
        <w:t>Media </w:t>
      </w:r>
      <w:r>
        <w:rPr>
          <w:spacing w:val="-2"/>
          <w:sz w:val="18"/>
        </w:rPr>
        <w:t>Superior;</w:t>
      </w:r>
    </w:p>
    <w:p>
      <w:pPr>
        <w:pStyle w:val="ListParagraph"/>
        <w:numPr>
          <w:ilvl w:val="6"/>
          <w:numId w:val="20"/>
        </w:numPr>
        <w:tabs>
          <w:tab w:pos="641" w:val="left" w:leader="none"/>
        </w:tabs>
        <w:spacing w:line="240" w:lineRule="auto" w:before="34" w:after="0"/>
        <w:ind w:left="641" w:right="0" w:hanging="239"/>
        <w:jc w:val="both"/>
        <w:rPr>
          <w:sz w:val="18"/>
        </w:rPr>
      </w:pPr>
      <w:r>
        <w:rPr>
          <w:sz w:val="18"/>
        </w:rPr>
        <w:t>Ejercer</w:t>
      </w:r>
      <w:r>
        <w:rPr>
          <w:spacing w:val="-1"/>
          <w:sz w:val="18"/>
        </w:rPr>
        <w:t> </w:t>
      </w:r>
      <w:r>
        <w:rPr>
          <w:sz w:val="18"/>
        </w:rPr>
        <w:t>los</w:t>
      </w:r>
      <w:r>
        <w:rPr>
          <w:spacing w:val="-1"/>
          <w:sz w:val="18"/>
        </w:rPr>
        <w:t> </w:t>
      </w:r>
      <w:r>
        <w:rPr>
          <w:sz w:val="18"/>
        </w:rPr>
        <w:t>subsidios</w:t>
      </w:r>
      <w:r>
        <w:rPr>
          <w:spacing w:val="-1"/>
          <w:sz w:val="18"/>
        </w:rPr>
        <w:t> </w:t>
      </w:r>
      <w:r>
        <w:rPr>
          <w:sz w:val="18"/>
        </w:rPr>
        <w:t>a</w:t>
      </w:r>
      <w:r>
        <w:rPr>
          <w:spacing w:val="-1"/>
          <w:sz w:val="18"/>
        </w:rPr>
        <w:t> </w:t>
      </w:r>
      <w:r>
        <w:rPr>
          <w:sz w:val="18"/>
        </w:rPr>
        <w:t>través</w:t>
      </w:r>
      <w:r>
        <w:rPr>
          <w:spacing w:val="-1"/>
          <w:sz w:val="18"/>
        </w:rPr>
        <w:t> </w:t>
      </w:r>
      <w:r>
        <w:rPr>
          <w:sz w:val="18"/>
        </w:rPr>
        <w:t>del</w:t>
      </w:r>
      <w:r>
        <w:rPr>
          <w:spacing w:val="-1"/>
          <w:sz w:val="18"/>
        </w:rPr>
        <w:t> </w:t>
      </w:r>
      <w:r>
        <w:rPr>
          <w:sz w:val="18"/>
        </w:rPr>
        <w:t>área</w:t>
      </w:r>
      <w:r>
        <w:rPr>
          <w:spacing w:val="-1"/>
          <w:sz w:val="18"/>
        </w:rPr>
        <w:t> </w:t>
      </w:r>
      <w:r>
        <w:rPr>
          <w:sz w:val="18"/>
        </w:rPr>
        <w:t>responsable</w:t>
      </w:r>
      <w:r>
        <w:rPr>
          <w:spacing w:val="-1"/>
          <w:sz w:val="18"/>
        </w:rPr>
        <w:t> </w:t>
      </w:r>
      <w:r>
        <w:rPr>
          <w:sz w:val="18"/>
        </w:rPr>
        <w:t>de</w:t>
      </w:r>
      <w:r>
        <w:rPr>
          <w:spacing w:val="-1"/>
          <w:sz w:val="18"/>
        </w:rPr>
        <w:t> </w:t>
      </w:r>
      <w:r>
        <w:rPr>
          <w:sz w:val="18"/>
        </w:rPr>
        <w:t>operar</w:t>
      </w:r>
      <w:r>
        <w:rPr>
          <w:spacing w:val="-1"/>
          <w:sz w:val="18"/>
        </w:rPr>
        <w:t> </w:t>
      </w:r>
      <w:r>
        <w:rPr>
          <w:rFonts w:ascii="Arial" w:hAnsi="Arial"/>
          <w:b/>
          <w:sz w:val="18"/>
        </w:rPr>
        <w:t>"EL</w:t>
      </w:r>
      <w:r>
        <w:rPr>
          <w:rFonts w:ascii="Arial" w:hAnsi="Arial"/>
          <w:b/>
          <w:spacing w:val="-5"/>
          <w:sz w:val="18"/>
        </w:rPr>
        <w:t> </w:t>
      </w:r>
      <w:r>
        <w:rPr>
          <w:rFonts w:ascii="Arial" w:hAnsi="Arial"/>
          <w:b/>
          <w:sz w:val="18"/>
        </w:rPr>
        <w:t>PAPPEMS"</w:t>
      </w:r>
      <w:r>
        <w:rPr>
          <w:rFonts w:ascii="Arial" w:hAnsi="Arial"/>
          <w:b/>
          <w:spacing w:val="-1"/>
          <w:sz w:val="18"/>
        </w:rPr>
        <w:t> </w:t>
      </w:r>
      <w:r>
        <w:rPr>
          <w:sz w:val="18"/>
        </w:rPr>
        <w:t>en</w:t>
      </w:r>
      <w:r>
        <w:rPr>
          <w:spacing w:val="-1"/>
          <w:sz w:val="18"/>
        </w:rPr>
        <w:t> </w:t>
      </w:r>
      <w:r>
        <w:rPr>
          <w:sz w:val="18"/>
        </w:rPr>
        <w:t>la</w:t>
      </w:r>
      <w:r>
        <w:rPr>
          <w:spacing w:val="-1"/>
          <w:sz w:val="18"/>
        </w:rPr>
        <w:t> </w:t>
      </w:r>
      <w:r>
        <w:rPr>
          <w:sz w:val="18"/>
        </w:rPr>
        <w:t>Entidad </w:t>
      </w:r>
      <w:r>
        <w:rPr>
          <w:spacing w:val="-2"/>
          <w:sz w:val="18"/>
        </w:rPr>
        <w:t>Federativa;</w:t>
      </w:r>
    </w:p>
    <w:p>
      <w:pPr>
        <w:pStyle w:val="ListParagraph"/>
        <w:numPr>
          <w:ilvl w:val="6"/>
          <w:numId w:val="20"/>
        </w:numPr>
        <w:tabs>
          <w:tab w:pos="640" w:val="left" w:leader="none"/>
        </w:tabs>
        <w:spacing w:line="242" w:lineRule="auto" w:before="48" w:after="0"/>
        <w:ind w:left="114" w:right="118" w:firstLine="287"/>
        <w:jc w:val="both"/>
        <w:rPr>
          <w:sz w:val="18"/>
        </w:rPr>
      </w:pPr>
      <w:r>
        <w:rPr>
          <w:sz w:val="18"/>
        </w:rPr>
        <w:t>Destinar los recursos financieros que reciba de </w:t>
      </w:r>
      <w:r>
        <w:rPr>
          <w:rFonts w:ascii="Arial"/>
          <w:b/>
          <w:sz w:val="18"/>
        </w:rPr>
        <w:t>"LA SEP" </w:t>
      </w:r>
      <w:r>
        <w:rPr>
          <w:sz w:val="18"/>
        </w:rPr>
        <w:t>y los rendimientos financieros que genere, exclusivamente </w:t>
      </w:r>
      <w:r>
        <w:rPr>
          <w:sz w:val="18"/>
        </w:rPr>
        <w:t>para el desarrollo de </w:t>
      </w:r>
      <w:r>
        <w:rPr>
          <w:rFonts w:ascii="Arial"/>
          <w:b/>
          <w:sz w:val="18"/>
        </w:rPr>
        <w:t>"EL PAPPEMS" </w:t>
      </w:r>
      <w:r>
        <w:rPr>
          <w:sz w:val="18"/>
        </w:rPr>
        <w:t>de acuerdo con lo establecido en las </w:t>
      </w:r>
      <w:r>
        <w:rPr>
          <w:rFonts w:ascii="Arial"/>
          <w:b/>
          <w:sz w:val="18"/>
        </w:rPr>
        <w:t>"REGLAS" </w:t>
      </w:r>
      <w:r>
        <w:rPr>
          <w:sz w:val="18"/>
        </w:rPr>
        <w:t>y en el presente convenio;</w:t>
      </w:r>
    </w:p>
    <w:p>
      <w:pPr>
        <w:pStyle w:val="ListParagraph"/>
        <w:numPr>
          <w:ilvl w:val="6"/>
          <w:numId w:val="20"/>
        </w:numPr>
        <w:tabs>
          <w:tab w:pos="661" w:val="left" w:leader="none"/>
        </w:tabs>
        <w:spacing w:line="242" w:lineRule="auto" w:before="32" w:after="0"/>
        <w:ind w:left="114" w:right="118" w:firstLine="287"/>
        <w:jc w:val="both"/>
        <w:rPr>
          <w:sz w:val="18"/>
        </w:rPr>
      </w:pPr>
      <w:r>
        <w:rPr>
          <w:sz w:val="18"/>
        </w:rPr>
        <w:t>Establecer una contabilidad independiente para </w:t>
      </w:r>
      <w:r>
        <w:rPr>
          <w:rFonts w:ascii="Arial"/>
          <w:b/>
          <w:sz w:val="18"/>
        </w:rPr>
        <w:t>"EL PAPPEMS"</w:t>
      </w:r>
      <w:r>
        <w:rPr>
          <w:sz w:val="18"/>
        </w:rPr>
        <w:t>, a fin de registrar presupuestal y contablemente </w:t>
      </w:r>
      <w:r>
        <w:rPr>
          <w:sz w:val="18"/>
        </w:rPr>
        <w:t>los apoyos financieros otorgados;</w:t>
      </w:r>
    </w:p>
    <w:p>
      <w:pPr>
        <w:pStyle w:val="ListParagraph"/>
        <w:numPr>
          <w:ilvl w:val="6"/>
          <w:numId w:val="20"/>
        </w:numPr>
        <w:tabs>
          <w:tab w:pos="656" w:val="left" w:leader="none"/>
        </w:tabs>
        <w:spacing w:line="242" w:lineRule="auto" w:before="32" w:after="0"/>
        <w:ind w:left="114" w:right="117" w:firstLine="287"/>
        <w:jc w:val="both"/>
        <w:rPr>
          <w:sz w:val="18"/>
        </w:rPr>
      </w:pPr>
      <w:r>
        <w:rPr>
          <w:sz w:val="18"/>
        </w:rPr>
        <w:t>Reintegrar a la Tesorería de la Federación los recursos financieros que reciba de </w:t>
      </w:r>
      <w:r>
        <w:rPr>
          <w:rFonts w:ascii="Arial" w:hAnsi="Arial"/>
          <w:b/>
          <w:sz w:val="18"/>
        </w:rPr>
        <w:t>"LA</w:t>
      </w:r>
      <w:r>
        <w:rPr>
          <w:rFonts w:ascii="Arial" w:hAnsi="Arial"/>
          <w:b/>
          <w:spacing w:val="-4"/>
          <w:sz w:val="18"/>
        </w:rPr>
        <w:t> </w:t>
      </w:r>
      <w:r>
        <w:rPr>
          <w:rFonts w:ascii="Arial" w:hAnsi="Arial"/>
          <w:b/>
          <w:sz w:val="18"/>
        </w:rPr>
        <w:t>SEP" </w:t>
      </w:r>
      <w:r>
        <w:rPr>
          <w:sz w:val="18"/>
        </w:rPr>
        <w:t>que no hayan sido destinados a los fines autorizados o respecto de los cuales no se cuente con la documentación original que justifique y compruebe el gasto, junto con los rendimientos financieros obtenidos, así como reintegrar a más tardar el 15 de enero de 2025 a la Tesorería de la Federación, los recursos remanentes junto con los rendimientos financieros que se hayan obtenido objeto de este convenio, que</w:t>
      </w:r>
      <w:r>
        <w:rPr>
          <w:spacing w:val="40"/>
          <w:sz w:val="18"/>
        </w:rPr>
        <w:t> </w:t>
      </w:r>
      <w:r>
        <w:rPr>
          <w:sz w:val="18"/>
        </w:rPr>
        <w:t>al 31 de diciembre de 2024 no hayan sido devengados. En el caso de los recursos otorgados que al 31 de diciembre de 2024 se encuentren debida y legalmente comprometidos con obligaciones de pago y aquellos devengados pero que no hayan sido pagados al cierre del presente ejercicio fiscal, deberán cubrirse los pagos a más tardar el 31 de marzo de 2025 o bien cubrir las erogaciones que correspondan de conformidad con el calendario de ejecución que en su caso se haya establecido. Una </w:t>
      </w:r>
      <w:r>
        <w:rPr>
          <w:sz w:val="18"/>
        </w:rPr>
        <w:t>vez cumplido el plazo referido </w:t>
      </w:r>
      <w:r>
        <w:rPr>
          <w:rFonts w:ascii="Arial" w:hAnsi="Arial"/>
          <w:b/>
          <w:sz w:val="18"/>
        </w:rPr>
        <w:t>"EL</w:t>
      </w:r>
      <w:r>
        <w:rPr>
          <w:rFonts w:ascii="Arial" w:hAnsi="Arial"/>
          <w:b/>
          <w:spacing w:val="-3"/>
          <w:sz w:val="18"/>
        </w:rPr>
        <w:t> </w:t>
      </w:r>
      <w:r>
        <w:rPr>
          <w:rFonts w:ascii="Arial" w:hAnsi="Arial"/>
          <w:b/>
          <w:sz w:val="18"/>
        </w:rPr>
        <w:t>GOBIERNO DE LA</w:t>
      </w:r>
      <w:r>
        <w:rPr>
          <w:rFonts w:ascii="Arial" w:hAnsi="Arial"/>
          <w:b/>
          <w:spacing w:val="-6"/>
          <w:sz w:val="18"/>
        </w:rPr>
        <w:t> </w:t>
      </w:r>
      <w:r>
        <w:rPr>
          <w:rFonts w:ascii="Arial" w:hAnsi="Arial"/>
          <w:b/>
          <w:sz w:val="18"/>
        </w:rPr>
        <w:t>ENTIDAD FEDERATIVA" </w:t>
      </w:r>
      <w:r>
        <w:rPr>
          <w:sz w:val="18"/>
        </w:rPr>
        <w:t>se obliga a reintegrar los recursos remanentes junto con los rendimientos financieros obtenidos a la Tesorería de la Federación a más tardar dentro de los 15 (quince) días naturales siguientes, de conformidad con el Artículo 17 de la Ley de Disciplina Financiera de las Entidades Federativas y los Municipios y demás disposiciones legales aplicables;</w:t>
      </w:r>
    </w:p>
    <w:p>
      <w:pPr>
        <w:pStyle w:val="BodyText"/>
        <w:spacing w:line="242" w:lineRule="auto" w:before="56"/>
      </w:pPr>
      <w:r>
        <w:rPr/>
        <w:t>H).- Elaborar y entregar trimestralmente los informes de Avances físico financieros, así como un informe final del cierre del ejercicio fiscal 2024, de conformidad con las </w:t>
      </w:r>
      <w:r>
        <w:rPr>
          <w:rFonts w:ascii="Arial" w:hAnsi="Arial"/>
          <w:b/>
        </w:rPr>
        <w:t>"REGLAS"</w:t>
      </w:r>
      <w:r>
        <w:rPr/>
        <w:t>;</w:t>
      </w:r>
    </w:p>
    <w:p>
      <w:pPr>
        <w:pStyle w:val="ListParagraph"/>
        <w:numPr>
          <w:ilvl w:val="7"/>
          <w:numId w:val="20"/>
        </w:numPr>
        <w:tabs>
          <w:tab w:pos="593" w:val="left" w:leader="none"/>
        </w:tabs>
        <w:spacing w:line="242" w:lineRule="auto" w:before="32" w:after="0"/>
        <w:ind w:left="114" w:right="118" w:firstLine="287"/>
        <w:jc w:val="both"/>
        <w:rPr>
          <w:sz w:val="18"/>
        </w:rPr>
      </w:pPr>
      <w:r>
        <w:rPr>
          <w:sz w:val="18"/>
        </w:rPr>
        <w:t>Remitir trimestralmente a través del Sistema de Recursos Federales Transferidos (</w:t>
      </w:r>
      <w:r>
        <w:rPr>
          <w:sz w:val="18"/>
          <w:u w:val="single"/>
        </w:rPr>
        <w:t>https://www.mstwls.hacienda.gob.mx</w:t>
      </w:r>
      <w:r>
        <w:rPr>
          <w:sz w:val="18"/>
        </w:rPr>
        <w:t>) establecido para tal fin por la Secretaría de Hacienda y Crédito Público, el informe sobre el destino y resultados obtenidos de la aplicación de los recursos otorgados por </w:t>
      </w:r>
      <w:r>
        <w:rPr>
          <w:rFonts w:ascii="Arial" w:hAnsi="Arial"/>
          <w:b/>
          <w:sz w:val="18"/>
        </w:rPr>
        <w:t>"LA SEP", </w:t>
      </w:r>
      <w:r>
        <w:rPr>
          <w:sz w:val="18"/>
        </w:rPr>
        <w:t>de conformidad con las disposiciones aplicables</w:t>
      </w:r>
    </w:p>
    <w:p>
      <w:pPr>
        <w:pStyle w:val="ListParagraph"/>
        <w:numPr>
          <w:ilvl w:val="7"/>
          <w:numId w:val="20"/>
        </w:numPr>
        <w:tabs>
          <w:tab w:pos="601" w:val="left" w:leader="none"/>
        </w:tabs>
        <w:spacing w:line="240" w:lineRule="auto" w:before="33" w:after="0"/>
        <w:ind w:left="601" w:right="0" w:hanging="199"/>
        <w:jc w:val="both"/>
        <w:rPr>
          <w:sz w:val="18"/>
        </w:rPr>
      </w:pPr>
      <w:r>
        <w:rPr>
          <w:sz w:val="18"/>
        </w:rPr>
        <w:t>Proporcionar</w:t>
      </w:r>
      <w:r>
        <w:rPr>
          <w:spacing w:val="-1"/>
          <w:sz w:val="18"/>
        </w:rPr>
        <w:t> </w:t>
      </w:r>
      <w:r>
        <w:rPr>
          <w:sz w:val="18"/>
        </w:rPr>
        <w:t>y</w:t>
      </w:r>
      <w:r>
        <w:rPr>
          <w:spacing w:val="-1"/>
          <w:sz w:val="18"/>
        </w:rPr>
        <w:t> </w:t>
      </w:r>
      <w:r>
        <w:rPr>
          <w:sz w:val="18"/>
        </w:rPr>
        <w:t>cubrir</w:t>
      </w:r>
      <w:r>
        <w:rPr>
          <w:spacing w:val="-1"/>
          <w:sz w:val="18"/>
        </w:rPr>
        <w:t> </w:t>
      </w:r>
      <w:r>
        <w:rPr>
          <w:sz w:val="18"/>
        </w:rPr>
        <w:t>los</w:t>
      </w:r>
      <w:r>
        <w:rPr>
          <w:spacing w:val="-1"/>
          <w:sz w:val="18"/>
        </w:rPr>
        <w:t> </w:t>
      </w:r>
      <w:r>
        <w:rPr>
          <w:sz w:val="18"/>
        </w:rPr>
        <w:t>costos del</w:t>
      </w:r>
      <w:r>
        <w:rPr>
          <w:spacing w:val="-1"/>
          <w:sz w:val="18"/>
        </w:rPr>
        <w:t> </w:t>
      </w:r>
      <w:r>
        <w:rPr>
          <w:sz w:val="18"/>
        </w:rPr>
        <w:t>personal</w:t>
      </w:r>
      <w:r>
        <w:rPr>
          <w:spacing w:val="-1"/>
          <w:sz w:val="18"/>
        </w:rPr>
        <w:t> </w:t>
      </w:r>
      <w:r>
        <w:rPr>
          <w:sz w:val="18"/>
        </w:rPr>
        <w:t>directivo</w:t>
      </w:r>
      <w:r>
        <w:rPr>
          <w:spacing w:val="-1"/>
          <w:sz w:val="18"/>
        </w:rPr>
        <w:t> </w:t>
      </w:r>
      <w:r>
        <w:rPr>
          <w:sz w:val="18"/>
        </w:rPr>
        <w:t>y</w:t>
      </w:r>
      <w:r>
        <w:rPr>
          <w:spacing w:val="-1"/>
          <w:sz w:val="18"/>
        </w:rPr>
        <w:t> </w:t>
      </w:r>
      <w:r>
        <w:rPr>
          <w:sz w:val="18"/>
        </w:rPr>
        <w:t>administrativo que</w:t>
      </w:r>
      <w:r>
        <w:rPr>
          <w:spacing w:val="-1"/>
          <w:sz w:val="18"/>
        </w:rPr>
        <w:t> </w:t>
      </w:r>
      <w:r>
        <w:rPr>
          <w:sz w:val="18"/>
        </w:rPr>
        <w:t>requiera</w:t>
      </w:r>
      <w:r>
        <w:rPr>
          <w:spacing w:val="-1"/>
          <w:sz w:val="18"/>
        </w:rPr>
        <w:t> </w:t>
      </w:r>
      <w:r>
        <w:rPr>
          <w:sz w:val="18"/>
        </w:rPr>
        <w:t>para</w:t>
      </w:r>
      <w:r>
        <w:rPr>
          <w:spacing w:val="-1"/>
          <w:sz w:val="18"/>
        </w:rPr>
        <w:t> </w:t>
      </w:r>
      <w:r>
        <w:rPr>
          <w:sz w:val="18"/>
        </w:rPr>
        <w:t>la operación</w:t>
      </w:r>
      <w:r>
        <w:rPr>
          <w:spacing w:val="-1"/>
          <w:sz w:val="18"/>
        </w:rPr>
        <w:t> </w:t>
      </w:r>
      <w:r>
        <w:rPr>
          <w:sz w:val="18"/>
        </w:rPr>
        <w:t>de</w:t>
      </w:r>
      <w:r>
        <w:rPr>
          <w:spacing w:val="-1"/>
          <w:sz w:val="18"/>
        </w:rPr>
        <w:t> </w:t>
      </w:r>
      <w:r>
        <w:rPr>
          <w:rFonts w:ascii="Arial" w:hAnsi="Arial"/>
          <w:b/>
          <w:sz w:val="18"/>
        </w:rPr>
        <w:t>"EL</w:t>
      </w:r>
      <w:r>
        <w:rPr>
          <w:rFonts w:ascii="Arial" w:hAnsi="Arial"/>
          <w:b/>
          <w:spacing w:val="-5"/>
          <w:sz w:val="18"/>
        </w:rPr>
        <w:t> </w:t>
      </w:r>
      <w:r>
        <w:rPr>
          <w:rFonts w:ascii="Arial" w:hAnsi="Arial"/>
          <w:b/>
          <w:sz w:val="18"/>
        </w:rPr>
        <w:t>PAPPEMS"</w:t>
      </w:r>
      <w:r>
        <w:rPr>
          <w:sz w:val="18"/>
        </w:rPr>
        <w:t>, </w:t>
      </w:r>
      <w:r>
        <w:rPr>
          <w:spacing w:val="-10"/>
          <w:sz w:val="18"/>
        </w:rPr>
        <w:t>y</w:t>
      </w:r>
    </w:p>
    <w:p>
      <w:pPr>
        <w:pStyle w:val="ListParagraph"/>
        <w:numPr>
          <w:ilvl w:val="7"/>
          <w:numId w:val="20"/>
        </w:numPr>
        <w:tabs>
          <w:tab w:pos="632" w:val="left" w:leader="none"/>
        </w:tabs>
        <w:spacing w:line="240" w:lineRule="auto" w:before="48" w:after="0"/>
        <w:ind w:left="632" w:right="0" w:hanging="230"/>
        <w:jc w:val="both"/>
        <w:rPr>
          <w:sz w:val="18"/>
        </w:rPr>
      </w:pPr>
      <w:r>
        <w:rPr>
          <w:sz w:val="18"/>
        </w:rPr>
        <w:t>Las</w:t>
      </w:r>
      <w:r>
        <w:rPr>
          <w:spacing w:val="-2"/>
          <w:sz w:val="18"/>
        </w:rPr>
        <w:t> </w:t>
      </w:r>
      <w:r>
        <w:rPr>
          <w:sz w:val="18"/>
        </w:rPr>
        <w:t>demás obligaciones a su cargo establecidas en las </w:t>
      </w:r>
      <w:r>
        <w:rPr>
          <w:rFonts w:ascii="Arial" w:hAnsi="Arial"/>
          <w:b/>
          <w:spacing w:val="-2"/>
          <w:sz w:val="18"/>
        </w:rPr>
        <w:t>"REGLAS"</w:t>
      </w:r>
      <w:r>
        <w:rPr>
          <w:spacing w:val="-2"/>
          <w:sz w:val="18"/>
        </w:rPr>
        <w:t>.</w:t>
      </w:r>
    </w:p>
    <w:p>
      <w:pPr>
        <w:pStyle w:val="BodyText"/>
        <w:spacing w:line="242" w:lineRule="auto" w:before="33"/>
        <w:ind w:right="117"/>
      </w:pPr>
      <w:r>
        <w:rPr>
          <w:rFonts w:ascii="Arial" w:hAnsi="Arial"/>
          <w:b/>
        </w:rPr>
        <w:t>CUARTA. </w:t>
      </w:r>
      <w:r>
        <w:rPr/>
        <w:t>Coordinación y Seguimiento: Para la coordinación de las acciones acordadas en este convenio, </w:t>
      </w:r>
      <w:r>
        <w:rPr>
          <w:rFonts w:ascii="Arial" w:hAnsi="Arial"/>
          <w:b/>
        </w:rPr>
        <w:t>"LA</w:t>
      </w:r>
      <w:r>
        <w:rPr>
          <w:rFonts w:ascii="Arial" w:hAnsi="Arial"/>
          <w:b/>
          <w:spacing w:val="-3"/>
        </w:rPr>
        <w:t> </w:t>
      </w:r>
      <w:r>
        <w:rPr>
          <w:rFonts w:ascii="Arial" w:hAnsi="Arial"/>
          <w:b/>
        </w:rPr>
        <w:t>SEP" </w:t>
      </w:r>
      <w:r>
        <w:rPr/>
        <w:t>designa a (Nombre y apellidos) Coordinador(a) Sectorial de Planeación y Administración de la Subsecretaría de Educación Media</w:t>
      </w:r>
      <w:r>
        <w:rPr>
          <w:spacing w:val="40"/>
        </w:rPr>
        <w:t> </w:t>
      </w:r>
      <w:r>
        <w:rPr/>
        <w:t>Superior, quien en el ámbito de su competencia será responsable de la implementación, acompañamiento, operación,</w:t>
      </w:r>
      <w:r>
        <w:rPr>
          <w:spacing w:val="40"/>
        </w:rPr>
        <w:t> </w:t>
      </w:r>
      <w:r>
        <w:rPr/>
        <w:t>seguimiento y evaluación de </w:t>
      </w:r>
      <w:r>
        <w:rPr>
          <w:rFonts w:ascii="Arial" w:hAnsi="Arial"/>
          <w:b/>
        </w:rPr>
        <w:t>"EL PAPPEMS"</w:t>
      </w:r>
      <w:r>
        <w:rPr/>
        <w:t>, quien podrá apoyarse de los/las servidores/as públicos/as que para dichos efectos </w:t>
      </w:r>
      <w:r>
        <w:rPr>
          <w:spacing w:val="-2"/>
        </w:rPr>
        <w:t>designe.</w:t>
      </w:r>
    </w:p>
    <w:p>
      <w:pPr>
        <w:pStyle w:val="BodyText"/>
        <w:spacing w:line="242" w:lineRule="auto" w:before="35"/>
        <w:ind w:right="117"/>
      </w:pPr>
      <w:r>
        <w:rPr/>
        <w:t>Por su parte, </w:t>
      </w:r>
      <w:r>
        <w:rPr>
          <w:rFonts w:ascii="Arial" w:hAnsi="Arial"/>
          <w:b/>
        </w:rPr>
        <w:t>"EL GOBIERNO DE LA ENTIDAD FEDERATIVA" </w:t>
      </w:r>
      <w:r>
        <w:rPr/>
        <w:t>será responsable de llevar a cabo las acciones necesarias para el correcto desarrollo y operación de </w:t>
      </w:r>
      <w:r>
        <w:rPr>
          <w:rFonts w:ascii="Arial" w:hAnsi="Arial"/>
          <w:b/>
        </w:rPr>
        <w:t>"EL PAPPEMS"</w:t>
      </w:r>
      <w:r>
        <w:rPr/>
        <w:t>, por conducto del titular de la</w:t>
      </w:r>
      <w:r>
        <w:rPr>
          <w:spacing w:val="-4"/>
        </w:rPr>
        <w:t> </w:t>
      </w:r>
      <w:r>
        <w:rPr/>
        <w:t>Autoridad Educativa Local, o el </w:t>
      </w:r>
      <w:r>
        <w:rPr/>
        <w:t>servidor público</w:t>
      </w:r>
      <w:r>
        <w:rPr>
          <w:spacing w:val="-1"/>
        </w:rPr>
        <w:t> </w:t>
      </w:r>
      <w:r>
        <w:rPr/>
        <w:t>que</w:t>
      </w:r>
      <w:r>
        <w:rPr>
          <w:spacing w:val="-1"/>
        </w:rPr>
        <w:t> </w:t>
      </w:r>
      <w:r>
        <w:rPr/>
        <w:t>designe</w:t>
      </w:r>
      <w:r>
        <w:rPr>
          <w:spacing w:val="-1"/>
        </w:rPr>
        <w:t> </w:t>
      </w:r>
      <w:r>
        <w:rPr/>
        <w:t>para</w:t>
      </w:r>
      <w:r>
        <w:rPr>
          <w:spacing w:val="-1"/>
        </w:rPr>
        <w:t> </w:t>
      </w:r>
      <w:r>
        <w:rPr/>
        <w:t>ello,</w:t>
      </w:r>
      <w:r>
        <w:rPr>
          <w:spacing w:val="-1"/>
        </w:rPr>
        <w:t> </w:t>
      </w:r>
      <w:r>
        <w:rPr/>
        <w:t>cuyo</w:t>
      </w:r>
      <w:r>
        <w:rPr>
          <w:spacing w:val="-1"/>
        </w:rPr>
        <w:t> </w:t>
      </w:r>
      <w:r>
        <w:rPr/>
        <w:t>nombre</w:t>
      </w:r>
      <w:r>
        <w:rPr>
          <w:spacing w:val="-1"/>
        </w:rPr>
        <w:t> </w:t>
      </w:r>
      <w:r>
        <w:rPr/>
        <w:t>y</w:t>
      </w:r>
      <w:r>
        <w:rPr>
          <w:spacing w:val="-1"/>
        </w:rPr>
        <w:t> </w:t>
      </w:r>
      <w:r>
        <w:rPr/>
        <w:t>cargo</w:t>
      </w:r>
      <w:r>
        <w:rPr>
          <w:spacing w:val="-1"/>
        </w:rPr>
        <w:t> </w:t>
      </w:r>
      <w:r>
        <w:rPr/>
        <w:t>lo</w:t>
      </w:r>
      <w:r>
        <w:rPr>
          <w:spacing w:val="-1"/>
        </w:rPr>
        <w:t> </w:t>
      </w:r>
      <w:r>
        <w:rPr/>
        <w:t>hará</w:t>
      </w:r>
      <w:r>
        <w:rPr>
          <w:spacing w:val="-1"/>
        </w:rPr>
        <w:t> </w:t>
      </w:r>
      <w:r>
        <w:rPr/>
        <w:t>del conocimiento</w:t>
      </w:r>
      <w:r>
        <w:rPr>
          <w:spacing w:val="-1"/>
        </w:rPr>
        <w:t> </w:t>
      </w:r>
      <w:r>
        <w:rPr/>
        <w:t>por</w:t>
      </w:r>
      <w:r>
        <w:rPr>
          <w:spacing w:val="-1"/>
        </w:rPr>
        <w:t> </w:t>
      </w:r>
      <w:r>
        <w:rPr/>
        <w:t>escrito</w:t>
      </w:r>
      <w:r>
        <w:rPr>
          <w:spacing w:val="-1"/>
        </w:rPr>
        <w:t> </w:t>
      </w:r>
      <w:r>
        <w:rPr/>
        <w:t>a</w:t>
      </w:r>
      <w:r>
        <w:rPr>
          <w:spacing w:val="-1"/>
        </w:rPr>
        <w:t> </w:t>
      </w:r>
      <w:r>
        <w:rPr/>
        <w:t>la</w:t>
      </w:r>
      <w:r>
        <w:rPr>
          <w:spacing w:val="-1"/>
        </w:rPr>
        <w:t> </w:t>
      </w:r>
      <w:r>
        <w:rPr/>
        <w:t>Coordinación</w:t>
      </w:r>
      <w:r>
        <w:rPr>
          <w:spacing w:val="-1"/>
        </w:rPr>
        <w:t> </w:t>
      </w:r>
      <w:r>
        <w:rPr/>
        <w:t>Sectorial</w:t>
      </w:r>
      <w:r>
        <w:rPr>
          <w:spacing w:val="-1"/>
        </w:rPr>
        <w:t> </w:t>
      </w:r>
      <w:r>
        <w:rPr/>
        <w:t>de</w:t>
      </w:r>
      <w:r>
        <w:rPr>
          <w:spacing w:val="-1"/>
        </w:rPr>
        <w:t> </w:t>
      </w:r>
      <w:r>
        <w:rPr/>
        <w:t>Planeación y</w:t>
      </w:r>
      <w:r>
        <w:rPr>
          <w:spacing w:val="-8"/>
        </w:rPr>
        <w:t> </w:t>
      </w:r>
      <w:r>
        <w:rPr/>
        <w:t>Administración de la Subsecretaría de Educación Media Superior de </w:t>
      </w:r>
      <w:r>
        <w:rPr>
          <w:rFonts w:ascii="Arial" w:hAnsi="Arial"/>
          <w:b/>
        </w:rPr>
        <w:t>"LA</w:t>
      </w:r>
      <w:r>
        <w:rPr>
          <w:rFonts w:ascii="Arial" w:hAnsi="Arial"/>
          <w:b/>
          <w:spacing w:val="-4"/>
        </w:rPr>
        <w:t> </w:t>
      </w:r>
      <w:r>
        <w:rPr>
          <w:rFonts w:ascii="Arial" w:hAnsi="Arial"/>
          <w:b/>
        </w:rPr>
        <w:t>SEP"</w:t>
      </w:r>
      <w:r>
        <w:rPr/>
        <w:t>, dentro de los 5 (cinco) días hábiles siguientes a la fecha de firma de este convenio, comprometiéndose a designar los equipos estatales que estarán a cargo de su desarrollo, los cuales deberán cumplir el perfil para la realización de las actividades de </w:t>
      </w:r>
      <w:r>
        <w:rPr>
          <w:rFonts w:ascii="Arial" w:hAnsi="Arial"/>
          <w:b/>
        </w:rPr>
        <w:t>"EL PAPPEMS"</w:t>
      </w:r>
      <w:r>
        <w:rPr/>
        <w:t>, buscando siempre optimizar en lo posible los recursos públicos federales que se asignen.;</w:t>
      </w:r>
    </w:p>
    <w:p>
      <w:pPr>
        <w:spacing w:line="242" w:lineRule="auto" w:before="52"/>
        <w:ind w:left="114" w:right="117" w:firstLine="287"/>
        <w:jc w:val="both"/>
        <w:rPr>
          <w:sz w:val="18"/>
        </w:rPr>
      </w:pPr>
      <w:r>
        <w:rPr>
          <w:rFonts w:ascii="Arial" w:hAnsi="Arial"/>
          <w:b/>
          <w:sz w:val="18"/>
        </w:rPr>
        <w:t>QUINTA. - </w:t>
      </w:r>
      <w:r>
        <w:rPr>
          <w:sz w:val="18"/>
        </w:rPr>
        <w:t>Cancelación del subsidio: El subsidio materia de este convenio, podrá ser cancelado por </w:t>
      </w:r>
      <w:r>
        <w:rPr>
          <w:rFonts w:ascii="Arial" w:hAnsi="Arial"/>
          <w:b/>
          <w:sz w:val="18"/>
        </w:rPr>
        <w:t>"LA</w:t>
      </w:r>
      <w:r>
        <w:rPr>
          <w:rFonts w:ascii="Arial" w:hAnsi="Arial"/>
          <w:b/>
          <w:spacing w:val="-1"/>
          <w:sz w:val="18"/>
        </w:rPr>
        <w:t> </w:t>
      </w:r>
      <w:r>
        <w:rPr>
          <w:rFonts w:ascii="Arial" w:hAnsi="Arial"/>
          <w:b/>
          <w:sz w:val="18"/>
        </w:rPr>
        <w:t>SEP"</w:t>
      </w:r>
      <w:r>
        <w:rPr>
          <w:sz w:val="18"/>
        </w:rPr>
        <w:t>, en el caso de que</w:t>
      </w:r>
      <w:r>
        <w:rPr>
          <w:spacing w:val="14"/>
          <w:sz w:val="18"/>
        </w:rPr>
        <w:t> </w:t>
      </w:r>
      <w:r>
        <w:rPr>
          <w:rFonts w:ascii="Arial" w:hAnsi="Arial"/>
          <w:b/>
          <w:sz w:val="18"/>
        </w:rPr>
        <w:t>"EL</w:t>
      </w:r>
      <w:r>
        <w:rPr>
          <w:rFonts w:ascii="Arial" w:hAnsi="Arial"/>
          <w:b/>
          <w:spacing w:val="11"/>
          <w:sz w:val="18"/>
        </w:rPr>
        <w:t> </w:t>
      </w:r>
      <w:r>
        <w:rPr>
          <w:rFonts w:ascii="Arial" w:hAnsi="Arial"/>
          <w:b/>
          <w:sz w:val="18"/>
        </w:rPr>
        <w:t>GOBIERNO</w:t>
      </w:r>
      <w:r>
        <w:rPr>
          <w:rFonts w:ascii="Arial" w:hAnsi="Arial"/>
          <w:b/>
          <w:spacing w:val="15"/>
          <w:sz w:val="18"/>
        </w:rPr>
        <w:t> </w:t>
      </w:r>
      <w:r>
        <w:rPr>
          <w:rFonts w:ascii="Arial" w:hAnsi="Arial"/>
          <w:b/>
          <w:sz w:val="18"/>
        </w:rPr>
        <w:t>DE</w:t>
      </w:r>
      <w:r>
        <w:rPr>
          <w:rFonts w:ascii="Arial" w:hAnsi="Arial"/>
          <w:b/>
          <w:spacing w:val="14"/>
          <w:sz w:val="18"/>
        </w:rPr>
        <w:t> </w:t>
      </w:r>
      <w:r>
        <w:rPr>
          <w:rFonts w:ascii="Arial" w:hAnsi="Arial"/>
          <w:b/>
          <w:sz w:val="18"/>
        </w:rPr>
        <w:t>LA</w:t>
      </w:r>
      <w:r>
        <w:rPr>
          <w:rFonts w:ascii="Arial" w:hAnsi="Arial"/>
          <w:b/>
          <w:spacing w:val="7"/>
          <w:sz w:val="18"/>
        </w:rPr>
        <w:t> </w:t>
      </w:r>
      <w:r>
        <w:rPr>
          <w:rFonts w:ascii="Arial" w:hAnsi="Arial"/>
          <w:b/>
          <w:sz w:val="18"/>
        </w:rPr>
        <w:t>ENTIDAD</w:t>
      </w:r>
      <w:r>
        <w:rPr>
          <w:rFonts w:ascii="Arial" w:hAnsi="Arial"/>
          <w:b/>
          <w:spacing w:val="15"/>
          <w:sz w:val="18"/>
        </w:rPr>
        <w:t> </w:t>
      </w:r>
      <w:r>
        <w:rPr>
          <w:rFonts w:ascii="Arial" w:hAnsi="Arial"/>
          <w:b/>
          <w:sz w:val="18"/>
        </w:rPr>
        <w:t>FEDERATIVA"</w:t>
      </w:r>
      <w:r>
        <w:rPr>
          <w:rFonts w:ascii="Arial" w:hAnsi="Arial"/>
          <w:b/>
          <w:spacing w:val="14"/>
          <w:sz w:val="18"/>
        </w:rPr>
        <w:t> </w:t>
      </w:r>
      <w:r>
        <w:rPr>
          <w:sz w:val="18"/>
        </w:rPr>
        <w:t>destine</w:t>
      </w:r>
      <w:r>
        <w:rPr>
          <w:spacing w:val="14"/>
          <w:sz w:val="18"/>
        </w:rPr>
        <w:t> </w:t>
      </w:r>
      <w:r>
        <w:rPr>
          <w:sz w:val="18"/>
        </w:rPr>
        <w:t>los</w:t>
      </w:r>
      <w:r>
        <w:rPr>
          <w:spacing w:val="15"/>
          <w:sz w:val="18"/>
        </w:rPr>
        <w:t> </w:t>
      </w:r>
      <w:r>
        <w:rPr>
          <w:sz w:val="18"/>
        </w:rPr>
        <w:t>subsidios</w:t>
      </w:r>
      <w:r>
        <w:rPr>
          <w:spacing w:val="14"/>
          <w:sz w:val="18"/>
        </w:rPr>
        <w:t> </w:t>
      </w:r>
      <w:r>
        <w:rPr>
          <w:sz w:val="18"/>
        </w:rPr>
        <w:t>recibidos</w:t>
      </w:r>
      <w:r>
        <w:rPr>
          <w:spacing w:val="14"/>
          <w:sz w:val="18"/>
        </w:rPr>
        <w:t> </w:t>
      </w:r>
      <w:r>
        <w:rPr>
          <w:sz w:val="18"/>
        </w:rPr>
        <w:t>para</w:t>
      </w:r>
      <w:r>
        <w:rPr>
          <w:spacing w:val="15"/>
          <w:sz w:val="18"/>
        </w:rPr>
        <w:t> </w:t>
      </w:r>
      <w:r>
        <w:rPr>
          <w:sz w:val="18"/>
        </w:rPr>
        <w:t>fines</w:t>
      </w:r>
      <w:r>
        <w:rPr>
          <w:spacing w:val="14"/>
          <w:sz w:val="18"/>
        </w:rPr>
        <w:t> </w:t>
      </w:r>
      <w:r>
        <w:rPr>
          <w:sz w:val="18"/>
        </w:rPr>
        <w:t>distintos</w:t>
      </w:r>
      <w:r>
        <w:rPr>
          <w:spacing w:val="14"/>
          <w:sz w:val="18"/>
        </w:rPr>
        <w:t> </w:t>
      </w:r>
      <w:r>
        <w:rPr>
          <w:sz w:val="18"/>
        </w:rPr>
        <w:t>a</w:t>
      </w:r>
      <w:r>
        <w:rPr>
          <w:spacing w:val="15"/>
          <w:sz w:val="18"/>
        </w:rPr>
        <w:t> </w:t>
      </w:r>
      <w:r>
        <w:rPr>
          <w:sz w:val="18"/>
        </w:rPr>
        <w:t>los</w:t>
      </w:r>
      <w:r>
        <w:rPr>
          <w:spacing w:val="14"/>
          <w:sz w:val="18"/>
        </w:rPr>
        <w:t> </w:t>
      </w:r>
      <w:r>
        <w:rPr>
          <w:sz w:val="18"/>
        </w:rPr>
        <w:t>establecidos</w:t>
      </w:r>
      <w:r>
        <w:rPr>
          <w:spacing w:val="15"/>
          <w:sz w:val="18"/>
        </w:rPr>
        <w:t> </w:t>
      </w:r>
      <w:r>
        <w:rPr>
          <w:spacing w:val="-5"/>
          <w:sz w:val="18"/>
        </w:rPr>
        <w:t>en</w:t>
      </w:r>
    </w:p>
    <w:p>
      <w:pPr>
        <w:spacing w:after="0" w:line="242" w:lineRule="auto"/>
        <w:jc w:val="both"/>
        <w:rPr>
          <w:sz w:val="18"/>
        </w:rPr>
        <w:sectPr>
          <w:pgSz w:w="12240" w:h="15840"/>
          <w:pgMar w:header="269" w:footer="260" w:top="460" w:bottom="440" w:left="860" w:right="720"/>
        </w:sectPr>
      </w:pPr>
    </w:p>
    <w:p>
      <w:pPr>
        <w:pStyle w:val="BodyText"/>
        <w:spacing w:before="82"/>
        <w:ind w:right="0" w:firstLine="0"/>
        <w:jc w:val="left"/>
      </w:pPr>
      <w:r>
        <w:rPr/>
        <w:t>este convenio y en las </w:t>
      </w:r>
      <w:r>
        <w:rPr>
          <w:rFonts w:ascii="Arial" w:hAnsi="Arial"/>
          <w:b/>
        </w:rPr>
        <w:t>"REGLAS"</w:t>
      </w:r>
      <w:r>
        <w:rPr/>
        <w:t>, así como, por la falta de documentación comprobatoria de su ejercicio y </w:t>
      </w:r>
      <w:r>
        <w:rPr>
          <w:spacing w:val="-2"/>
        </w:rPr>
        <w:t>aplicación.</w:t>
      </w:r>
    </w:p>
    <w:p>
      <w:pPr>
        <w:pStyle w:val="BodyText"/>
        <w:spacing w:line="242" w:lineRule="auto" w:before="33"/>
        <w:ind w:right="117"/>
      </w:pPr>
      <w:r>
        <w:rPr>
          <w:rFonts w:ascii="Arial" w:hAnsi="Arial"/>
          <w:b/>
        </w:rPr>
        <w:t>SEXTA.- </w:t>
      </w:r>
      <w:r>
        <w:rPr/>
        <w:t>Fiscalización: </w:t>
      </w:r>
      <w:r>
        <w:rPr>
          <w:rFonts w:ascii="Arial" w:hAnsi="Arial"/>
          <w:b/>
        </w:rPr>
        <w:t>"LAS PARTES" </w:t>
      </w:r>
      <w:r>
        <w:rPr/>
        <w:t>acuerdan que una vez que </w:t>
      </w:r>
      <w:r>
        <w:rPr>
          <w:rFonts w:ascii="Arial" w:hAnsi="Arial"/>
          <w:b/>
        </w:rPr>
        <w:t>"EL GOBIERNO DE LA</w:t>
      </w:r>
      <w:r>
        <w:rPr>
          <w:rFonts w:ascii="Arial" w:hAnsi="Arial"/>
          <w:b/>
          <w:spacing w:val="-2"/>
        </w:rPr>
        <w:t> </w:t>
      </w:r>
      <w:r>
        <w:rPr>
          <w:rFonts w:ascii="Arial" w:hAnsi="Arial"/>
          <w:b/>
        </w:rPr>
        <w:t>ENTIDAD FEDERATIVA" </w:t>
      </w:r>
      <w:r>
        <w:rPr/>
        <w:t>reciba los recursos federales a que se refiere el presente instrumento jurídico, será de su única, exclusiva y absoluta responsabilidad responder a toda reclamación y observación que, ante cualquier instancia, se derive directa o indirectamente con motivo de </w:t>
      </w:r>
      <w:r>
        <w:rPr/>
        <w:t>su aplicación y ejercicio; atendiendo en todo momento el estricto cumplimiento de la normatividad federal y, en su caso, la estatal, en tanto</w:t>
      </w:r>
      <w:r>
        <w:rPr>
          <w:spacing w:val="-2"/>
        </w:rPr>
        <w:t> </w:t>
      </w:r>
      <w:r>
        <w:rPr/>
        <w:t>no</w:t>
      </w:r>
      <w:r>
        <w:rPr>
          <w:spacing w:val="-2"/>
        </w:rPr>
        <w:t> </w:t>
      </w:r>
      <w:r>
        <w:rPr/>
        <w:t>contravenga</w:t>
      </w:r>
      <w:r>
        <w:rPr>
          <w:spacing w:val="-2"/>
        </w:rPr>
        <w:t> </w:t>
      </w:r>
      <w:r>
        <w:rPr/>
        <w:t>a</w:t>
      </w:r>
      <w:r>
        <w:rPr>
          <w:spacing w:val="-2"/>
        </w:rPr>
        <w:t> </w:t>
      </w:r>
      <w:r>
        <w:rPr/>
        <w:t>la</w:t>
      </w:r>
      <w:r>
        <w:rPr>
          <w:spacing w:val="-2"/>
        </w:rPr>
        <w:t> </w:t>
      </w:r>
      <w:r>
        <w:rPr/>
        <w:t>primera,</w:t>
      </w:r>
      <w:r>
        <w:rPr>
          <w:spacing w:val="-2"/>
        </w:rPr>
        <w:t> </w:t>
      </w:r>
      <w:r>
        <w:rPr/>
        <w:t>lo</w:t>
      </w:r>
      <w:r>
        <w:rPr>
          <w:spacing w:val="-2"/>
        </w:rPr>
        <w:t> </w:t>
      </w:r>
      <w:r>
        <w:rPr/>
        <w:t>anterior</w:t>
      </w:r>
      <w:r>
        <w:rPr>
          <w:spacing w:val="-2"/>
        </w:rPr>
        <w:t> </w:t>
      </w:r>
      <w:r>
        <w:rPr/>
        <w:t>aplicable</w:t>
      </w:r>
      <w:r>
        <w:rPr>
          <w:spacing w:val="-2"/>
        </w:rPr>
        <w:t> </w:t>
      </w:r>
      <w:r>
        <w:rPr/>
        <w:t>en</w:t>
      </w:r>
      <w:r>
        <w:rPr>
          <w:spacing w:val="-2"/>
        </w:rPr>
        <w:t> </w:t>
      </w:r>
      <w:r>
        <w:rPr/>
        <w:t>materia</w:t>
      </w:r>
      <w:r>
        <w:rPr>
          <w:spacing w:val="-2"/>
        </w:rPr>
        <w:t> </w:t>
      </w:r>
      <w:r>
        <w:rPr/>
        <w:t>presupuestaria,</w:t>
      </w:r>
      <w:r>
        <w:rPr>
          <w:spacing w:val="-2"/>
        </w:rPr>
        <w:t> </w:t>
      </w:r>
      <w:r>
        <w:rPr/>
        <w:t>tributaria,</w:t>
      </w:r>
      <w:r>
        <w:rPr>
          <w:spacing w:val="-2"/>
        </w:rPr>
        <w:t> </w:t>
      </w:r>
      <w:r>
        <w:rPr/>
        <w:t>de</w:t>
      </w:r>
      <w:r>
        <w:rPr>
          <w:spacing w:val="-2"/>
        </w:rPr>
        <w:t> </w:t>
      </w:r>
      <w:r>
        <w:rPr/>
        <w:t>disciplina</w:t>
      </w:r>
      <w:r>
        <w:rPr>
          <w:spacing w:val="-2"/>
        </w:rPr>
        <w:t> </w:t>
      </w:r>
      <w:r>
        <w:rPr/>
        <w:t>financiera,</w:t>
      </w:r>
      <w:r>
        <w:rPr>
          <w:spacing w:val="-2"/>
        </w:rPr>
        <w:t> </w:t>
      </w:r>
      <w:r>
        <w:rPr/>
        <w:t>transparencia y fiscalización. Igualmente, es responsable único, exclusivo y absoluto ante las acciones conducentes que, en ejercicio de sus atribuciones y facultades, realicen los órganos de fiscalización y control de carácter federal y estatal; así como los de carácter judicial, ya sea fuero común y/o federal.</w:t>
      </w:r>
    </w:p>
    <w:p>
      <w:pPr>
        <w:pStyle w:val="BodyText"/>
        <w:spacing w:line="242" w:lineRule="auto" w:before="53"/>
      </w:pPr>
      <w:r>
        <w:rPr>
          <w:rFonts w:ascii="Arial" w:hAnsi="Arial"/>
          <w:b/>
        </w:rPr>
        <w:t>SÉPTIMA. - Transparencia: "LAS PARTES" </w:t>
      </w:r>
      <w:r>
        <w:rPr/>
        <w:t>acuerdan que para fomentar la transparencia de </w:t>
      </w:r>
      <w:r>
        <w:rPr>
          <w:rFonts w:ascii="Arial" w:hAnsi="Arial"/>
          <w:b/>
        </w:rPr>
        <w:t>"EL PAPPEMS"</w:t>
      </w:r>
      <w:r>
        <w:rPr/>
        <w:t>, en la papelería y documentación oficial, así como en la publicidad y promoción del mismo, deberá incluirse de forma clara, visible y audible, según el caso, la siguiente leyenda:</w:t>
      </w:r>
    </w:p>
    <w:p>
      <w:pPr>
        <w:spacing w:line="242" w:lineRule="auto" w:before="47"/>
        <w:ind w:left="114" w:right="118" w:firstLine="287"/>
        <w:jc w:val="both"/>
        <w:rPr>
          <w:rFonts w:ascii="Arial" w:hAnsi="Arial"/>
          <w:b/>
          <w:i/>
          <w:sz w:val="18"/>
        </w:rPr>
      </w:pPr>
      <w:r>
        <w:rPr>
          <w:rFonts w:ascii="Arial" w:hAnsi="Arial"/>
          <w:b/>
          <w:i/>
          <w:sz w:val="18"/>
        </w:rPr>
        <w:t>"Este programa es público, ajeno a cualquier partido político. Queda prohibido el uso para fines distintos a los establecidos en el programa."</w:t>
      </w:r>
    </w:p>
    <w:p>
      <w:pPr>
        <w:pStyle w:val="BodyText"/>
        <w:spacing w:line="242" w:lineRule="auto" w:before="62"/>
      </w:pPr>
      <w:r>
        <w:rPr/>
        <w:t>Asimismo, </w:t>
      </w:r>
      <w:r>
        <w:rPr>
          <w:rFonts w:ascii="Arial" w:hAnsi="Arial"/>
          <w:b/>
        </w:rPr>
        <w:t>"LAS PARTES" </w:t>
      </w:r>
      <w:r>
        <w:rPr/>
        <w:t>acuerdan realizar la publicación de manera proactiva de la información de </w:t>
      </w:r>
      <w:r>
        <w:rPr>
          <w:rFonts w:ascii="Arial" w:hAnsi="Arial"/>
          <w:b/>
        </w:rPr>
        <w:t>"EL PAPPEMS"</w:t>
      </w:r>
      <w:r>
        <w:rPr/>
        <w:t>, que sea de interés público, por los medios de comunicación de los que dispongan.</w:t>
      </w:r>
    </w:p>
    <w:p>
      <w:pPr>
        <w:pStyle w:val="BodyText"/>
        <w:spacing w:line="242" w:lineRule="auto" w:before="47"/>
      </w:pPr>
      <w:r>
        <w:rPr>
          <w:rFonts w:ascii="Arial" w:hAnsi="Arial"/>
          <w:b/>
        </w:rPr>
        <w:t>OCTAVA.</w:t>
      </w:r>
      <w:r>
        <w:rPr>
          <w:rFonts w:ascii="Arial" w:hAnsi="Arial"/>
          <w:b/>
          <w:spacing w:val="-5"/>
        </w:rPr>
        <w:t> </w:t>
      </w:r>
      <w:r>
        <w:rPr/>
        <w:t>Protección</w:t>
      </w:r>
      <w:r>
        <w:rPr>
          <w:spacing w:val="-5"/>
        </w:rPr>
        <w:t> </w:t>
      </w:r>
      <w:r>
        <w:rPr/>
        <w:t>de</w:t>
      </w:r>
      <w:r>
        <w:rPr>
          <w:spacing w:val="-5"/>
        </w:rPr>
        <w:t> </w:t>
      </w:r>
      <w:r>
        <w:rPr/>
        <w:t>datos</w:t>
      </w:r>
      <w:r>
        <w:rPr>
          <w:spacing w:val="-5"/>
        </w:rPr>
        <w:t> </w:t>
      </w:r>
      <w:r>
        <w:rPr/>
        <w:t>personales:</w:t>
      </w:r>
      <w:r>
        <w:rPr>
          <w:spacing w:val="-5"/>
        </w:rPr>
        <w:t> </w:t>
      </w:r>
      <w:r>
        <w:rPr>
          <w:rFonts w:ascii="Arial" w:hAnsi="Arial"/>
          <w:b/>
        </w:rPr>
        <w:t>"LAS</w:t>
      </w:r>
      <w:r>
        <w:rPr>
          <w:rFonts w:ascii="Arial" w:hAnsi="Arial"/>
          <w:b/>
          <w:spacing w:val="-5"/>
        </w:rPr>
        <w:t> </w:t>
      </w:r>
      <w:r>
        <w:rPr>
          <w:rFonts w:ascii="Arial" w:hAnsi="Arial"/>
          <w:b/>
        </w:rPr>
        <w:t>PARTES"</w:t>
      </w:r>
      <w:r>
        <w:rPr>
          <w:rFonts w:ascii="Arial" w:hAnsi="Arial"/>
          <w:b/>
          <w:spacing w:val="-5"/>
        </w:rPr>
        <w:t> </w:t>
      </w:r>
      <w:r>
        <w:rPr/>
        <w:t>acuerdan</w:t>
      </w:r>
      <w:r>
        <w:rPr>
          <w:spacing w:val="-5"/>
        </w:rPr>
        <w:t> </w:t>
      </w:r>
      <w:r>
        <w:rPr/>
        <w:t>salvaguardar</w:t>
      </w:r>
      <w:r>
        <w:rPr>
          <w:spacing w:val="-5"/>
        </w:rPr>
        <w:t> </w:t>
      </w:r>
      <w:r>
        <w:rPr/>
        <w:t>la</w:t>
      </w:r>
      <w:r>
        <w:rPr>
          <w:spacing w:val="-5"/>
        </w:rPr>
        <w:t> </w:t>
      </w:r>
      <w:r>
        <w:rPr/>
        <w:t>confidencialidad</w:t>
      </w:r>
      <w:r>
        <w:rPr>
          <w:spacing w:val="-5"/>
        </w:rPr>
        <w:t> </w:t>
      </w:r>
      <w:r>
        <w:rPr/>
        <w:t>de</w:t>
      </w:r>
      <w:r>
        <w:rPr>
          <w:spacing w:val="-5"/>
        </w:rPr>
        <w:t> </w:t>
      </w:r>
      <w:r>
        <w:rPr/>
        <w:t>los</w:t>
      </w:r>
      <w:r>
        <w:rPr>
          <w:spacing w:val="-5"/>
        </w:rPr>
        <w:t> </w:t>
      </w:r>
      <w:r>
        <w:rPr/>
        <w:t>datos</w:t>
      </w:r>
      <w:r>
        <w:rPr>
          <w:spacing w:val="-5"/>
        </w:rPr>
        <w:t> </w:t>
      </w:r>
      <w:r>
        <w:rPr/>
        <w:t>personales de los que tengan conocimiento con motivo de la ejecución del presente convenio y de la operación de </w:t>
      </w:r>
      <w:r>
        <w:rPr>
          <w:rFonts w:ascii="Arial" w:hAnsi="Arial"/>
          <w:b/>
        </w:rPr>
        <w:t>"EL PAPPEMS"</w:t>
      </w:r>
      <w:r>
        <w:rPr/>
        <w:t>, comprometiéndose a:</w:t>
      </w:r>
    </w:p>
    <w:p>
      <w:pPr>
        <w:pStyle w:val="ListParagraph"/>
        <w:numPr>
          <w:ilvl w:val="0"/>
          <w:numId w:val="22"/>
        </w:numPr>
        <w:tabs>
          <w:tab w:pos="668" w:val="left" w:leader="none"/>
        </w:tabs>
        <w:spacing w:line="242" w:lineRule="auto" w:before="3" w:after="0"/>
        <w:ind w:left="114" w:right="118" w:firstLine="287"/>
        <w:jc w:val="left"/>
        <w:rPr>
          <w:sz w:val="18"/>
        </w:rPr>
      </w:pPr>
      <w:r>
        <w:rPr>
          <w:sz w:val="18"/>
        </w:rPr>
        <w:t>Elaborar</w:t>
      </w:r>
      <w:r>
        <w:rPr>
          <w:spacing w:val="35"/>
          <w:sz w:val="18"/>
        </w:rPr>
        <w:t> </w:t>
      </w:r>
      <w:r>
        <w:rPr>
          <w:sz w:val="18"/>
        </w:rPr>
        <w:t>los</w:t>
      </w:r>
      <w:r>
        <w:rPr>
          <w:spacing w:val="35"/>
          <w:sz w:val="18"/>
        </w:rPr>
        <w:t> </w:t>
      </w:r>
      <w:r>
        <w:rPr>
          <w:sz w:val="18"/>
        </w:rPr>
        <w:t>avisos</w:t>
      </w:r>
      <w:r>
        <w:rPr>
          <w:spacing w:val="35"/>
          <w:sz w:val="18"/>
        </w:rPr>
        <w:t> </w:t>
      </w:r>
      <w:r>
        <w:rPr>
          <w:sz w:val="18"/>
        </w:rPr>
        <w:t>de</w:t>
      </w:r>
      <w:r>
        <w:rPr>
          <w:spacing w:val="35"/>
          <w:sz w:val="18"/>
        </w:rPr>
        <w:t> </w:t>
      </w:r>
      <w:r>
        <w:rPr>
          <w:sz w:val="18"/>
        </w:rPr>
        <w:t>privacidad</w:t>
      </w:r>
      <w:r>
        <w:rPr>
          <w:spacing w:val="35"/>
          <w:sz w:val="18"/>
        </w:rPr>
        <w:t> </w:t>
      </w:r>
      <w:r>
        <w:rPr>
          <w:sz w:val="18"/>
        </w:rPr>
        <w:t>a</w:t>
      </w:r>
      <w:r>
        <w:rPr>
          <w:spacing w:val="35"/>
          <w:sz w:val="18"/>
        </w:rPr>
        <w:t> </w:t>
      </w:r>
      <w:r>
        <w:rPr>
          <w:sz w:val="18"/>
        </w:rPr>
        <w:t>que</w:t>
      </w:r>
      <w:r>
        <w:rPr>
          <w:spacing w:val="35"/>
          <w:sz w:val="18"/>
        </w:rPr>
        <w:t> </w:t>
      </w:r>
      <w:r>
        <w:rPr>
          <w:sz w:val="18"/>
        </w:rPr>
        <w:t>se</w:t>
      </w:r>
      <w:r>
        <w:rPr>
          <w:spacing w:val="35"/>
          <w:sz w:val="18"/>
        </w:rPr>
        <w:t> </w:t>
      </w:r>
      <w:r>
        <w:rPr>
          <w:sz w:val="18"/>
        </w:rPr>
        <w:t>refieren</w:t>
      </w:r>
      <w:r>
        <w:rPr>
          <w:spacing w:val="35"/>
          <w:sz w:val="18"/>
        </w:rPr>
        <w:t> </w:t>
      </w:r>
      <w:r>
        <w:rPr>
          <w:sz w:val="18"/>
        </w:rPr>
        <w:t>los</w:t>
      </w:r>
      <w:r>
        <w:rPr>
          <w:spacing w:val="35"/>
          <w:sz w:val="18"/>
        </w:rPr>
        <w:t> </w:t>
      </w:r>
      <w:r>
        <w:rPr>
          <w:sz w:val="18"/>
        </w:rPr>
        <w:t>artículos</w:t>
      </w:r>
      <w:r>
        <w:rPr>
          <w:spacing w:val="35"/>
          <w:sz w:val="18"/>
        </w:rPr>
        <w:t> </w:t>
      </w:r>
      <w:r>
        <w:rPr>
          <w:sz w:val="18"/>
        </w:rPr>
        <w:t>27</w:t>
      </w:r>
      <w:r>
        <w:rPr>
          <w:spacing w:val="35"/>
          <w:sz w:val="18"/>
        </w:rPr>
        <w:t> </w:t>
      </w:r>
      <w:r>
        <w:rPr>
          <w:sz w:val="18"/>
        </w:rPr>
        <w:t>y</w:t>
      </w:r>
      <w:r>
        <w:rPr>
          <w:spacing w:val="35"/>
          <w:sz w:val="18"/>
        </w:rPr>
        <w:t> </w:t>
      </w:r>
      <w:r>
        <w:rPr>
          <w:sz w:val="18"/>
        </w:rPr>
        <w:t>28</w:t>
      </w:r>
      <w:r>
        <w:rPr>
          <w:spacing w:val="35"/>
          <w:sz w:val="18"/>
        </w:rPr>
        <w:t> </w:t>
      </w:r>
      <w:r>
        <w:rPr>
          <w:sz w:val="18"/>
        </w:rPr>
        <w:t>de</w:t>
      </w:r>
      <w:r>
        <w:rPr>
          <w:spacing w:val="35"/>
          <w:sz w:val="18"/>
        </w:rPr>
        <w:t> </w:t>
      </w:r>
      <w:r>
        <w:rPr>
          <w:sz w:val="18"/>
        </w:rPr>
        <w:t>la</w:t>
      </w:r>
      <w:r>
        <w:rPr>
          <w:spacing w:val="35"/>
          <w:sz w:val="18"/>
        </w:rPr>
        <w:t> </w:t>
      </w:r>
      <w:r>
        <w:rPr>
          <w:sz w:val="18"/>
        </w:rPr>
        <w:t>Ley</w:t>
      </w:r>
      <w:r>
        <w:rPr>
          <w:spacing w:val="35"/>
          <w:sz w:val="18"/>
        </w:rPr>
        <w:t> </w:t>
      </w:r>
      <w:r>
        <w:rPr>
          <w:sz w:val="18"/>
        </w:rPr>
        <w:t>General</w:t>
      </w:r>
      <w:r>
        <w:rPr>
          <w:spacing w:val="35"/>
          <w:sz w:val="18"/>
        </w:rPr>
        <w:t> </w:t>
      </w:r>
      <w:r>
        <w:rPr>
          <w:sz w:val="18"/>
        </w:rPr>
        <w:t>de</w:t>
      </w:r>
      <w:r>
        <w:rPr>
          <w:spacing w:val="35"/>
          <w:sz w:val="18"/>
        </w:rPr>
        <w:t> </w:t>
      </w:r>
      <w:r>
        <w:rPr>
          <w:sz w:val="18"/>
        </w:rPr>
        <w:t>Protección</w:t>
      </w:r>
      <w:r>
        <w:rPr>
          <w:spacing w:val="35"/>
          <w:sz w:val="18"/>
        </w:rPr>
        <w:t> </w:t>
      </w:r>
      <w:r>
        <w:rPr>
          <w:sz w:val="18"/>
        </w:rPr>
        <w:t>de</w:t>
      </w:r>
      <w:r>
        <w:rPr>
          <w:spacing w:val="35"/>
          <w:sz w:val="18"/>
        </w:rPr>
        <w:t> </w:t>
      </w:r>
      <w:r>
        <w:rPr>
          <w:sz w:val="18"/>
        </w:rPr>
        <w:t>Datos Personales en Posesión de Sujetos Obligados.</w:t>
      </w:r>
    </w:p>
    <w:p>
      <w:pPr>
        <w:pStyle w:val="ListParagraph"/>
        <w:numPr>
          <w:ilvl w:val="0"/>
          <w:numId w:val="22"/>
        </w:numPr>
        <w:tabs>
          <w:tab w:pos="622" w:val="left" w:leader="none"/>
        </w:tabs>
        <w:spacing w:line="240" w:lineRule="auto" w:before="62" w:after="0"/>
        <w:ind w:left="622" w:right="0" w:hanging="220"/>
        <w:jc w:val="left"/>
        <w:rPr>
          <w:sz w:val="18"/>
        </w:rPr>
      </w:pPr>
      <w:r>
        <w:rPr>
          <w:sz w:val="18"/>
        </w:rPr>
        <w:t>Abstenerse de tratar los datos personales para fines distintos a los establecidos en </w:t>
      </w:r>
      <w:r>
        <w:rPr>
          <w:rFonts w:ascii="Arial"/>
          <w:b/>
          <w:sz w:val="18"/>
        </w:rPr>
        <w:t>"EL</w:t>
      </w:r>
      <w:r>
        <w:rPr>
          <w:rFonts w:ascii="Arial"/>
          <w:b/>
          <w:spacing w:val="-4"/>
          <w:sz w:val="18"/>
        </w:rPr>
        <w:t> </w:t>
      </w:r>
      <w:r>
        <w:rPr>
          <w:rFonts w:ascii="Arial"/>
          <w:b/>
          <w:spacing w:val="-2"/>
          <w:sz w:val="18"/>
        </w:rPr>
        <w:t>PAPPEMS"</w:t>
      </w:r>
      <w:r>
        <w:rPr>
          <w:spacing w:val="-2"/>
          <w:sz w:val="18"/>
        </w:rPr>
        <w:t>.</w:t>
      </w:r>
    </w:p>
    <w:p>
      <w:pPr>
        <w:pStyle w:val="ListParagraph"/>
        <w:numPr>
          <w:ilvl w:val="0"/>
          <w:numId w:val="22"/>
        </w:numPr>
        <w:tabs>
          <w:tab w:pos="641" w:val="left" w:leader="none"/>
        </w:tabs>
        <w:spacing w:line="240" w:lineRule="auto" w:before="48" w:after="0"/>
        <w:ind w:left="641" w:right="0" w:hanging="239"/>
        <w:jc w:val="left"/>
        <w:rPr>
          <w:sz w:val="18"/>
        </w:rPr>
      </w:pPr>
      <w:r>
        <w:rPr>
          <w:sz w:val="18"/>
        </w:rPr>
        <w:t>Implementar medidas de seguridad para salvaguardar la confidencialidad de los datos </w:t>
      </w:r>
      <w:r>
        <w:rPr>
          <w:spacing w:val="-2"/>
          <w:sz w:val="18"/>
        </w:rPr>
        <w:t>personales.</w:t>
      </w:r>
    </w:p>
    <w:p>
      <w:pPr>
        <w:pStyle w:val="ListParagraph"/>
        <w:numPr>
          <w:ilvl w:val="0"/>
          <w:numId w:val="22"/>
        </w:numPr>
        <w:tabs>
          <w:tab w:pos="641" w:val="left" w:leader="none"/>
        </w:tabs>
        <w:spacing w:line="240" w:lineRule="auto" w:before="63" w:after="0"/>
        <w:ind w:left="641" w:right="0" w:hanging="239"/>
        <w:jc w:val="left"/>
        <w:rPr>
          <w:sz w:val="18"/>
        </w:rPr>
      </w:pPr>
      <w:r>
        <w:rPr>
          <w:sz w:val="18"/>
        </w:rPr>
        <w:t>Las demás estipuladas en las disposiciones normativas </w:t>
      </w:r>
      <w:r>
        <w:rPr>
          <w:spacing w:val="-2"/>
          <w:sz w:val="18"/>
        </w:rPr>
        <w:t>vigentes.</w:t>
      </w:r>
    </w:p>
    <w:p>
      <w:pPr>
        <w:pStyle w:val="BodyText"/>
        <w:spacing w:line="242" w:lineRule="auto" w:before="48"/>
      </w:pPr>
      <w:r>
        <w:rPr>
          <w:rFonts w:ascii="Arial" w:hAnsi="Arial"/>
          <w:b/>
        </w:rPr>
        <w:t>NOVENA.</w:t>
      </w:r>
      <w:r>
        <w:rPr>
          <w:rFonts w:ascii="Arial" w:hAnsi="Arial"/>
          <w:b/>
          <w:spacing w:val="-1"/>
        </w:rPr>
        <w:t> </w:t>
      </w:r>
      <w:r>
        <w:rPr>
          <w:rFonts w:ascii="Arial" w:hAnsi="Arial"/>
          <w:b/>
        </w:rPr>
        <w:t>Derechos:</w:t>
      </w:r>
      <w:r>
        <w:rPr>
          <w:rFonts w:ascii="Arial" w:hAnsi="Arial"/>
          <w:b/>
          <w:spacing w:val="-1"/>
        </w:rPr>
        <w:t> </w:t>
      </w:r>
      <w:r>
        <w:rPr>
          <w:rFonts w:ascii="Arial" w:hAnsi="Arial"/>
          <w:b/>
        </w:rPr>
        <w:t>"LAS</w:t>
      </w:r>
      <w:r>
        <w:rPr>
          <w:rFonts w:ascii="Arial" w:hAnsi="Arial"/>
          <w:b/>
          <w:spacing w:val="-1"/>
        </w:rPr>
        <w:t> </w:t>
      </w:r>
      <w:r>
        <w:rPr>
          <w:rFonts w:ascii="Arial" w:hAnsi="Arial"/>
          <w:b/>
        </w:rPr>
        <w:t>PARTES"</w:t>
      </w:r>
      <w:r>
        <w:rPr>
          <w:rFonts w:ascii="Arial" w:hAnsi="Arial"/>
          <w:b/>
          <w:spacing w:val="-1"/>
        </w:rPr>
        <w:t> </w:t>
      </w:r>
      <w:r>
        <w:rPr/>
        <w:t>acuerdan</w:t>
      </w:r>
      <w:r>
        <w:rPr>
          <w:spacing w:val="-1"/>
        </w:rPr>
        <w:t> </w:t>
      </w:r>
      <w:r>
        <w:rPr/>
        <w:t>que</w:t>
      </w:r>
      <w:r>
        <w:rPr>
          <w:spacing w:val="-1"/>
        </w:rPr>
        <w:t> </w:t>
      </w:r>
      <w:r>
        <w:rPr/>
        <w:t>la</w:t>
      </w:r>
      <w:r>
        <w:rPr>
          <w:spacing w:val="-1"/>
        </w:rPr>
        <w:t> </w:t>
      </w:r>
      <w:r>
        <w:rPr/>
        <w:t>titularidad</w:t>
      </w:r>
      <w:r>
        <w:rPr>
          <w:spacing w:val="-1"/>
        </w:rPr>
        <w:t> </w:t>
      </w:r>
      <w:r>
        <w:rPr/>
        <w:t>de</w:t>
      </w:r>
      <w:r>
        <w:rPr>
          <w:spacing w:val="-1"/>
        </w:rPr>
        <w:t> </w:t>
      </w:r>
      <w:r>
        <w:rPr/>
        <w:t>los</w:t>
      </w:r>
      <w:r>
        <w:rPr>
          <w:spacing w:val="-1"/>
        </w:rPr>
        <w:t> </w:t>
      </w:r>
      <w:r>
        <w:rPr/>
        <w:t>derechos</w:t>
      </w:r>
      <w:r>
        <w:rPr>
          <w:spacing w:val="-1"/>
        </w:rPr>
        <w:t> </w:t>
      </w:r>
      <w:r>
        <w:rPr/>
        <w:t>patrimoniales</w:t>
      </w:r>
      <w:r>
        <w:rPr>
          <w:spacing w:val="-1"/>
        </w:rPr>
        <w:t> </w:t>
      </w:r>
      <w:r>
        <w:rPr/>
        <w:t>de</w:t>
      </w:r>
      <w:r>
        <w:rPr>
          <w:spacing w:val="-1"/>
        </w:rPr>
        <w:t> </w:t>
      </w:r>
      <w:r>
        <w:rPr/>
        <w:t>autor o</w:t>
      </w:r>
      <w:r>
        <w:rPr>
          <w:spacing w:val="-1"/>
        </w:rPr>
        <w:t> </w:t>
      </w:r>
      <w:r>
        <w:rPr/>
        <w:t>cualesquiera</w:t>
      </w:r>
      <w:r>
        <w:rPr>
          <w:spacing w:val="-1"/>
        </w:rPr>
        <w:t> </w:t>
      </w:r>
      <w:r>
        <w:rPr/>
        <w:t>otros derechos que se originen con motivo del presente instrumento jurídico, corresponderá a ambas y podrán ser usados </w:t>
      </w:r>
      <w:r>
        <w:rPr/>
        <w:t>únicamente en beneficio de la educación a su cargo.</w:t>
      </w:r>
    </w:p>
    <w:p>
      <w:pPr>
        <w:pStyle w:val="BodyText"/>
        <w:spacing w:line="242" w:lineRule="auto" w:before="63"/>
        <w:ind w:right="117"/>
      </w:pPr>
      <w:r>
        <w:rPr>
          <w:rFonts w:ascii="Arial" w:hAnsi="Arial"/>
          <w:b/>
        </w:rPr>
        <w:t>DÉCIMA. </w:t>
      </w:r>
      <w:r>
        <w:rPr/>
        <w:t>Relación Laboral: </w:t>
      </w:r>
      <w:r>
        <w:rPr>
          <w:rFonts w:ascii="Arial" w:hAnsi="Arial"/>
          <w:b/>
        </w:rPr>
        <w:t>"LAS PARTES" </w:t>
      </w:r>
      <w:r>
        <w:rPr/>
        <w:t>acuerdan expresamente que el personal designado por cada una de ellas para </w:t>
      </w:r>
      <w:r>
        <w:rPr/>
        <w:t>la organización, ejecución, supervisión y cualquier otra actividad que se lleve a cabo con motivo de este convenio, continuará en forma absoluta bajo la dirección y dependencia de la parte que lo designó, sin que se entienda en forma alguna, que en la realización de los trabajos desarrollados se pudiesen generar, o haber generado, derechos laborales o de otra naturaleza, con respecto a la otra parte.</w:t>
      </w:r>
    </w:p>
    <w:p>
      <w:pPr>
        <w:pStyle w:val="BodyText"/>
        <w:spacing w:line="242" w:lineRule="auto" w:before="50"/>
      </w:pPr>
      <w:r>
        <w:rPr/>
        <w:t>Por lo anterior, </w:t>
      </w:r>
      <w:r>
        <w:rPr>
          <w:rFonts w:ascii="Arial" w:hAnsi="Arial"/>
          <w:b/>
        </w:rPr>
        <w:t>"LAS PARTES" </w:t>
      </w:r>
      <w:r>
        <w:rPr/>
        <w:t>asumen plenamente la responsabilidad laboral del personal designado por cada una de ellas para la realización de las actividades materia de este convenio y de </w:t>
      </w:r>
      <w:r>
        <w:rPr>
          <w:rFonts w:ascii="Arial" w:hAnsi="Arial"/>
          <w:b/>
        </w:rPr>
        <w:t>"EL PAPPEMS"</w:t>
      </w:r>
      <w:r>
        <w:rPr/>
        <w:t>, por lo que, en consecuencia, no existirá sustitución, subrogación ni solidaridad patronal entre </w:t>
      </w:r>
      <w:r>
        <w:rPr>
          <w:rFonts w:ascii="Arial" w:hAnsi="Arial"/>
          <w:b/>
        </w:rPr>
        <w:t>"LAS PARTES" </w:t>
      </w:r>
      <w:r>
        <w:rPr/>
        <w:t>o con el personal adscrito a la otra parte.</w:t>
      </w:r>
    </w:p>
    <w:p>
      <w:pPr>
        <w:pStyle w:val="BodyText"/>
        <w:spacing w:line="242" w:lineRule="auto" w:before="62"/>
      </w:pPr>
      <w:r>
        <w:rPr>
          <w:rFonts w:ascii="Arial" w:hAnsi="Arial"/>
          <w:b/>
        </w:rPr>
        <w:t>DÉCIMA PRIMERA.- Contraloría Social: "LAS PARTES" </w:t>
      </w:r>
      <w:r>
        <w:rPr/>
        <w:t>acuerdan que serán corresponsables de promover y </w:t>
      </w:r>
      <w:r>
        <w:rPr/>
        <w:t>dar cumplimiento a las acciones de contraloría social, de conformidad con lo dispuesto por la Ley General de Desarrollo Social; en los Lineamientos para la promoción y operación de la Contraloría Social en los programas federales de desarrollo social, en los documentos de Contraloría Social (Esquema, Guía Operativa y Programa Anual de Trabajo) autorizados por la Secretaría de la Función Pública y en las </w:t>
      </w:r>
      <w:r>
        <w:rPr>
          <w:rFonts w:ascii="Arial" w:hAnsi="Arial"/>
          <w:b/>
        </w:rPr>
        <w:t>"REGLAS"</w:t>
      </w:r>
      <w:r>
        <w:rPr/>
        <w:t>.</w:t>
      </w:r>
    </w:p>
    <w:p>
      <w:pPr>
        <w:pStyle w:val="BodyText"/>
        <w:spacing w:line="242" w:lineRule="auto" w:before="65"/>
      </w:pPr>
      <w:r>
        <w:rPr>
          <w:rFonts w:ascii="Arial" w:hAnsi="Arial"/>
          <w:b/>
        </w:rPr>
        <w:t>DÉCIMA SEGUNDA. Comité de Contraloría Social</w:t>
      </w:r>
      <w:r>
        <w:rPr/>
        <w:t>: </w:t>
      </w:r>
      <w:r>
        <w:rPr>
          <w:rFonts w:ascii="Arial" w:hAnsi="Arial"/>
          <w:b/>
        </w:rPr>
        <w:t>"LAS PARTES" </w:t>
      </w:r>
      <w:r>
        <w:rPr/>
        <w:t>acuerdan promover la participación de los/las beneficiarios/as de </w:t>
      </w:r>
      <w:r>
        <w:rPr>
          <w:rFonts w:ascii="Arial" w:hAnsi="Arial"/>
          <w:b/>
        </w:rPr>
        <w:t>"EL PAPPEMS"</w:t>
      </w:r>
      <w:r>
        <w:rPr/>
        <w:t>, a fin de verificar el cumplimiento de las metas y la correcta aplicación de los </w:t>
      </w:r>
      <w:r>
        <w:rPr/>
        <w:t>recursos públicos asignados a los mismos, así como, contribuir a que el manejo de los recursos públicos se realice en términos de transparencia, eficacia, legalidad y honradez, por medio de la integración de Comités de Contraloría Social que coadyuven a transparentar el ejercicio de dichos recursos.</w:t>
      </w:r>
    </w:p>
    <w:p>
      <w:pPr>
        <w:pStyle w:val="BodyText"/>
        <w:spacing w:line="242" w:lineRule="auto" w:before="50"/>
        <w:ind w:right="117"/>
      </w:pPr>
      <w:r>
        <w:rPr/>
        <w:t>Asimismo, </w:t>
      </w:r>
      <w:r>
        <w:rPr>
          <w:rFonts w:ascii="Arial" w:hAnsi="Arial"/>
          <w:b/>
        </w:rPr>
        <w:t>"LAS PARTES" </w:t>
      </w:r>
      <w:r>
        <w:rPr/>
        <w:t>promoverán el establecimiento de las acciones de Contraloría Social, de conformidad con lo que disponen en la materia la Ley General de Desarrollo Social, los "Lineamientos para la promoción, operación y seguimiento de la Contraloría Social en los programas federales de desarrollo social", publicados en el Diario Oficial de la Federación el 11 de octubre de 2023, para que se promuevan y realicen las acciones necesarias para la integración y operación de la Contraloría Social, bajo el esquema validado por la Secretaría de la Función Pública.</w:t>
      </w:r>
    </w:p>
    <w:p>
      <w:pPr>
        <w:pStyle w:val="BodyText"/>
        <w:spacing w:line="242" w:lineRule="auto" w:before="65"/>
        <w:ind w:right="117"/>
      </w:pPr>
      <w:r>
        <w:rPr/>
        <w:t>Los gastos generados en la promoción y operación de la Contraloría Social de </w:t>
      </w:r>
      <w:r>
        <w:rPr>
          <w:rFonts w:ascii="Arial" w:hAnsi="Arial"/>
          <w:b/>
        </w:rPr>
        <w:t>"EL</w:t>
      </w:r>
      <w:r>
        <w:rPr>
          <w:rFonts w:ascii="Arial" w:hAnsi="Arial"/>
          <w:b/>
          <w:spacing w:val="-3"/>
        </w:rPr>
        <w:t> </w:t>
      </w:r>
      <w:r>
        <w:rPr>
          <w:rFonts w:ascii="Arial" w:hAnsi="Arial"/>
          <w:b/>
        </w:rPr>
        <w:t>PAPPEMS" </w:t>
      </w:r>
      <w:r>
        <w:rPr/>
        <w:t>se obtendrán de los gastos de operación local determinados en las </w:t>
      </w:r>
      <w:r>
        <w:rPr>
          <w:rFonts w:ascii="Arial" w:hAnsi="Arial"/>
          <w:b/>
        </w:rPr>
        <w:t>"REGLAS"</w:t>
      </w:r>
      <w:r>
        <w:rPr/>
        <w:t>, en caso de que los mismos sean insuficientes, </w:t>
      </w:r>
      <w:r>
        <w:rPr>
          <w:rFonts w:ascii="Arial" w:hAnsi="Arial"/>
          <w:b/>
        </w:rPr>
        <w:t>"EL GOBIERNO DE LA ENTIDAD FEDERATIVA" </w:t>
      </w:r>
      <w:r>
        <w:rPr/>
        <w:t>proporcionará los insumos necesarios de conformidad a lo pactado en el presente convenio y a su disponibilidad presupuestaria.</w:t>
      </w:r>
    </w:p>
    <w:p>
      <w:pPr>
        <w:pStyle w:val="BodyText"/>
        <w:spacing w:line="242" w:lineRule="auto" w:before="48"/>
      </w:pPr>
      <w:r>
        <w:rPr>
          <w:rFonts w:ascii="Arial" w:hAnsi="Arial"/>
          <w:b/>
        </w:rPr>
        <w:t>DÉCIMA TERCERA. </w:t>
      </w:r>
      <w:r>
        <w:rPr/>
        <w:t>Modificación: </w:t>
      </w:r>
      <w:r>
        <w:rPr>
          <w:rFonts w:ascii="Arial" w:hAnsi="Arial"/>
          <w:b/>
        </w:rPr>
        <w:t>"LAS PARTES" </w:t>
      </w:r>
      <w:r>
        <w:rPr/>
        <w:t>convienen que los términos y condiciones establecidos en el presente convenio, podrán ser objeto de modificación o adición, previo acuerdo por escrito entre ellas.</w:t>
      </w:r>
    </w:p>
    <w:p>
      <w:pPr>
        <w:pStyle w:val="BodyText"/>
        <w:spacing w:line="242" w:lineRule="auto" w:before="62"/>
        <w:ind w:right="117"/>
      </w:pPr>
      <w:r>
        <w:rPr>
          <w:rFonts w:ascii="Arial" w:hAnsi="Arial"/>
          <w:b/>
        </w:rPr>
        <w:t>DÉCIMA CUARTA. </w:t>
      </w:r>
      <w:r>
        <w:rPr/>
        <w:t>Vigencia: La vigencia del presente convenio iniciará a partir de la fecha de su firma y hasta el total cumplimiento de las acciones objeto del mismo, dicho término no podrá exceder el día 31 de diciembre de 2024, en el entendido de que sólo se refiere a la aplicación de los recursos públicos federales del ejercicio fiscal 2024, por lo que no compromete recursos de los subsecuentes ejercicios fiscales. Podrá darse por terminado con anticipación, previa notificación que por </w:t>
      </w:r>
      <w:r>
        <w:rPr/>
        <w:t>escrito realice cualquiera de </w:t>
      </w:r>
      <w:r>
        <w:rPr>
          <w:rFonts w:ascii="Arial" w:hAnsi="Arial"/>
          <w:b/>
        </w:rPr>
        <w:t>"LAS PARTES" </w:t>
      </w:r>
      <w:r>
        <w:rPr/>
        <w:t>con 30 (treinta) días hábiles de anticipación a efecto de que las acciones que se hayan iniciado en el marco de este convenio, se desarrollen hasta su total conclusión.</w:t>
      </w:r>
    </w:p>
    <w:p>
      <w:pPr>
        <w:pStyle w:val="BodyText"/>
        <w:spacing w:line="242" w:lineRule="auto" w:before="51"/>
      </w:pPr>
      <w:r>
        <w:rPr/>
        <w:t>Para el caso de los subsidios radicados a las entidades, las economías serán los recursos económicos sobrantes una vez que la Autoridad Educativa Local ha logrado cubrir las acciones comprometidas y su uso deberá ser revisado y autorizado por la Subsecretaría de Educación Media Superior.</w:t>
      </w:r>
    </w:p>
    <w:p>
      <w:pPr>
        <w:spacing w:after="0" w:line="242" w:lineRule="auto"/>
        <w:sectPr>
          <w:pgSz w:w="12240" w:h="15840"/>
          <w:pgMar w:header="269" w:footer="260" w:top="460" w:bottom="440" w:left="860" w:right="720"/>
        </w:sectPr>
      </w:pPr>
    </w:p>
    <w:p>
      <w:pPr>
        <w:pStyle w:val="BodyText"/>
        <w:spacing w:line="242" w:lineRule="auto" w:before="82"/>
      </w:pPr>
      <w:r>
        <w:rPr>
          <w:rFonts w:ascii="Arial" w:hAnsi="Arial"/>
          <w:b/>
        </w:rPr>
        <w:t>DÉCIMA QUINTA.- </w:t>
      </w:r>
      <w:r>
        <w:rPr/>
        <w:t>Interpretación y Cumplimiento: </w:t>
      </w:r>
      <w:r>
        <w:rPr>
          <w:rFonts w:ascii="Arial" w:hAnsi="Arial"/>
          <w:b/>
        </w:rPr>
        <w:t>"LAS PARTES" </w:t>
      </w:r>
      <w:r>
        <w:rPr/>
        <w:t>acuerdan que los asuntos que no estén </w:t>
      </w:r>
      <w:r>
        <w:rPr/>
        <w:t>expresamente previstos en este convenio, así como las dudas que pudieran surgir con motivo de su interpretación y cumplimiento, se resolverán de común acuerdo y por escrito entre las mismas, acorde con los propósitos de </w:t>
      </w:r>
      <w:r>
        <w:rPr>
          <w:rFonts w:ascii="Arial" w:hAnsi="Arial"/>
          <w:b/>
        </w:rPr>
        <w:t>"EL PAPPEMS" </w:t>
      </w:r>
      <w:r>
        <w:rPr/>
        <w:t>y las </w:t>
      </w:r>
      <w:r>
        <w:rPr>
          <w:rFonts w:ascii="Arial" w:hAnsi="Arial"/>
          <w:b/>
        </w:rPr>
        <w:t>"REGLAS"</w:t>
      </w:r>
      <w:r>
        <w:rPr/>
        <w:t>.</w:t>
      </w:r>
    </w:p>
    <w:p>
      <w:pPr>
        <w:pStyle w:val="BodyText"/>
        <w:spacing w:line="242" w:lineRule="auto"/>
      </w:pPr>
      <w:r>
        <w:rPr>
          <w:rFonts w:ascii="Arial" w:hAnsi="Arial"/>
          <w:b/>
        </w:rPr>
        <w:t>DÉCIMA SEXTA.- </w:t>
      </w:r>
      <w:r>
        <w:rPr/>
        <w:t>Jurisdicción y Competencia: Para la interpretación y cumplimiento de este convenio, </w:t>
      </w:r>
      <w:r>
        <w:rPr>
          <w:rFonts w:ascii="Arial" w:hAnsi="Arial"/>
          <w:b/>
        </w:rPr>
        <w:t>"LAS </w:t>
      </w:r>
      <w:r>
        <w:rPr>
          <w:rFonts w:ascii="Arial" w:hAnsi="Arial"/>
          <w:b/>
        </w:rPr>
        <w:t>PARTES" </w:t>
      </w:r>
      <w:r>
        <w:rPr/>
        <w:t>expresamente se someten a la jurisdicción y competencia de los Tribunales Federales con sede en la Ciudad de México, renunciando al fuero que en razón de su domicilio presente o futuro pudiera corresponderles.</w:t>
      </w:r>
    </w:p>
    <w:p>
      <w:pPr>
        <w:pStyle w:val="BodyText"/>
        <w:spacing w:line="242" w:lineRule="auto" w:before="93"/>
      </w:pPr>
      <w:r>
        <w:rPr/>
        <w:t>Leído que fue el presente convenio por </w:t>
      </w:r>
      <w:r>
        <w:rPr>
          <w:rFonts w:ascii="Arial" w:hAnsi="Arial"/>
          <w:b/>
        </w:rPr>
        <w:t>"LAS PARTES" </w:t>
      </w:r>
      <w:r>
        <w:rPr/>
        <w:t>y enteradas de su contenido, lo firman en cuatro tantos en la Ciudad de México, el (día) de (mes) de 2024.</w:t>
      </w:r>
    </w:p>
    <w:p>
      <w:pPr>
        <w:pStyle w:val="BodyText"/>
        <w:spacing w:before="0"/>
        <w:ind w:left="0" w:right="0" w:firstLine="0"/>
        <w:jc w:val="left"/>
      </w:pPr>
    </w:p>
    <w:p>
      <w:pPr>
        <w:pStyle w:val="BodyText"/>
        <w:spacing w:before="22"/>
        <w:ind w:left="0" w:right="0" w:firstLine="0"/>
        <w:jc w:val="left"/>
      </w:pPr>
    </w:p>
    <w:p>
      <w:pPr>
        <w:pStyle w:val="Heading1"/>
        <w:tabs>
          <w:tab w:pos="5677" w:val="left" w:leader="none"/>
        </w:tabs>
        <w:spacing w:line="242" w:lineRule="auto" w:before="1"/>
        <w:ind w:left="6681" w:right="1764" w:hanging="4938"/>
        <w:rPr>
          <w:rFonts w:ascii="Arial"/>
        </w:rPr>
      </w:pPr>
      <w:r>
        <w:rPr>
          <w:rFonts w:ascii="Arial MT"/>
          <w:b w:val="0"/>
        </w:rPr>
        <w:t>POR </w:t>
      </w:r>
      <w:r>
        <w:rPr>
          <w:rFonts w:ascii="Arial"/>
        </w:rPr>
        <w:t>"LA SEP</w:t>
      </w:r>
      <w:r>
        <w:rPr>
          <w:rFonts w:ascii="Arial MT"/>
          <w:b w:val="0"/>
        </w:rPr>
        <w:t>"</w:t>
        <w:tab/>
        <w:t>POR</w:t>
      </w:r>
      <w:r>
        <w:rPr>
          <w:rFonts w:ascii="Arial MT"/>
          <w:b w:val="0"/>
          <w:spacing w:val="-9"/>
        </w:rPr>
        <w:t> </w:t>
      </w:r>
      <w:r>
        <w:rPr>
          <w:rFonts w:ascii="Arial"/>
        </w:rPr>
        <w:t>"EL</w:t>
      </w:r>
      <w:r>
        <w:rPr>
          <w:rFonts w:ascii="Arial"/>
          <w:spacing w:val="-11"/>
        </w:rPr>
        <w:t> </w:t>
      </w:r>
      <w:r>
        <w:rPr>
          <w:rFonts w:ascii="Arial"/>
        </w:rPr>
        <w:t>GOBIERNO</w:t>
      </w:r>
      <w:r>
        <w:rPr>
          <w:rFonts w:ascii="Arial"/>
          <w:spacing w:val="-8"/>
        </w:rPr>
        <w:t> </w:t>
      </w:r>
      <w:r>
        <w:rPr>
          <w:rFonts w:ascii="Arial"/>
        </w:rPr>
        <w:t>DE</w:t>
      </w:r>
      <w:r>
        <w:rPr>
          <w:rFonts w:ascii="Arial"/>
          <w:spacing w:val="-8"/>
        </w:rPr>
        <w:t> </w:t>
      </w:r>
      <w:r>
        <w:rPr>
          <w:rFonts w:ascii="Arial"/>
        </w:rPr>
        <w:t>LA</w:t>
      </w:r>
      <w:r>
        <w:rPr>
          <w:rFonts w:ascii="Arial"/>
          <w:spacing w:val="-13"/>
        </w:rPr>
        <w:t> </w:t>
      </w:r>
      <w:r>
        <w:rPr>
          <w:rFonts w:ascii="Arial"/>
        </w:rPr>
        <w:t>ENTIDAD </w:t>
      </w:r>
      <w:r>
        <w:rPr>
          <w:rFonts w:ascii="Arial"/>
          <w:spacing w:val="-2"/>
        </w:rPr>
        <w:t>FEDERATIVA"</w:t>
      </w:r>
    </w:p>
    <w:p>
      <w:pPr>
        <w:pStyle w:val="BodyText"/>
        <w:spacing w:before="0"/>
        <w:ind w:left="0" w:right="0" w:firstLine="0"/>
        <w:jc w:val="left"/>
        <w:rPr>
          <w:rFonts w:ascii="Arial"/>
          <w:b/>
          <w:sz w:val="20"/>
        </w:rPr>
      </w:pPr>
    </w:p>
    <w:p>
      <w:pPr>
        <w:pStyle w:val="BodyText"/>
        <w:spacing w:before="0"/>
        <w:ind w:left="0" w:right="0" w:firstLine="0"/>
        <w:jc w:val="left"/>
        <w:rPr>
          <w:rFonts w:ascii="Arial"/>
          <w:b/>
          <w:sz w:val="20"/>
        </w:rPr>
      </w:pPr>
    </w:p>
    <w:p>
      <w:pPr>
        <w:pStyle w:val="BodyText"/>
        <w:spacing w:before="0"/>
        <w:ind w:left="0" w:right="0" w:firstLine="0"/>
        <w:jc w:val="left"/>
        <w:rPr>
          <w:rFonts w:ascii="Arial"/>
          <w:b/>
          <w:sz w:val="20"/>
        </w:rPr>
      </w:pPr>
    </w:p>
    <w:p>
      <w:pPr>
        <w:pStyle w:val="BodyText"/>
        <w:spacing w:before="225"/>
        <w:ind w:left="0" w:right="0" w:firstLine="0"/>
        <w:jc w:val="left"/>
        <w:rPr>
          <w:rFonts w:ascii="Arial"/>
          <w:b/>
          <w:sz w:val="20"/>
        </w:rPr>
      </w:pPr>
    </w:p>
    <w:p>
      <w:pPr>
        <w:tabs>
          <w:tab w:pos="5035" w:val="left" w:leader="none"/>
        </w:tabs>
        <w:spacing w:line="20" w:lineRule="exact"/>
        <w:ind w:left="115" w:right="0" w:firstLine="0"/>
        <w:rPr>
          <w:rFonts w:ascii="Arial"/>
          <w:sz w:val="2"/>
        </w:rPr>
      </w:pPr>
      <w:r>
        <w:rPr>
          <w:rFonts w:ascii="Arial"/>
          <w:sz w:val="2"/>
        </w:rPr>
        <mc:AlternateContent>
          <mc:Choice Requires="wps">
            <w:drawing>
              <wp:inline distT="0" distB="0" distL="0" distR="0">
                <wp:extent cx="2847975" cy="9525"/>
                <wp:effectExtent l="0" t="0" r="0" b="0"/>
                <wp:docPr id="11" name="Group 11"/>
                <wp:cNvGraphicFramePr>
                  <a:graphicFrameLocks/>
                </wp:cNvGraphicFramePr>
                <a:graphic>
                  <a:graphicData uri="http://schemas.microsoft.com/office/word/2010/wordprocessingGroup">
                    <wpg:wgp>
                      <wpg:cNvPr id="11" name="Group 11"/>
                      <wpg:cNvGrpSpPr/>
                      <wpg:grpSpPr>
                        <a:xfrm>
                          <a:off x="0" y="0"/>
                          <a:ext cx="2847975" cy="9525"/>
                          <a:chExt cx="2847975" cy="9525"/>
                        </a:xfrm>
                      </wpg:grpSpPr>
                      <wps:wsp>
                        <wps:cNvPr id="12" name="Graphic 12"/>
                        <wps:cNvSpPr/>
                        <wps:spPr>
                          <a:xfrm>
                            <a:off x="0" y="0"/>
                            <a:ext cx="2847975" cy="9525"/>
                          </a:xfrm>
                          <a:custGeom>
                            <a:avLst/>
                            <a:gdLst/>
                            <a:ahLst/>
                            <a:cxnLst/>
                            <a:rect l="l" t="t" r="r" b="b"/>
                            <a:pathLst>
                              <a:path w="2847975" h="9525">
                                <a:moveTo>
                                  <a:pt x="2847974" y="9524"/>
                                </a:moveTo>
                                <a:lnTo>
                                  <a:pt x="0" y="9524"/>
                                </a:lnTo>
                                <a:lnTo>
                                  <a:pt x="0" y="0"/>
                                </a:lnTo>
                                <a:lnTo>
                                  <a:pt x="2847974" y="0"/>
                                </a:lnTo>
                                <a:lnTo>
                                  <a:pt x="284797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4.25pt;height:.75pt;mso-position-horizontal-relative:char;mso-position-vertical-relative:line" id="docshapegroup11" coordorigin="0,0" coordsize="4485,15">
                <v:rect style="position:absolute;left:0;top:0;width:4485;height:15" id="docshape12" filled="true" fillcolor="#000000" stroked="false">
                  <v:fill type="solid"/>
                </v:rect>
              </v:group>
            </w:pict>
          </mc:Fallback>
        </mc:AlternateContent>
      </w:r>
      <w:r>
        <w:rPr>
          <w:rFonts w:ascii="Arial"/>
          <w:sz w:val="2"/>
        </w:rPr>
      </w:r>
      <w:r>
        <w:rPr>
          <w:rFonts w:ascii="Arial"/>
          <w:sz w:val="2"/>
        </w:rPr>
        <w:tab/>
      </w:r>
      <w:r>
        <w:rPr>
          <w:rFonts w:ascii="Arial"/>
          <w:sz w:val="2"/>
        </w:rPr>
        <mc:AlternateContent>
          <mc:Choice Requires="wps">
            <w:drawing>
              <wp:inline distT="0" distB="0" distL="0" distR="0">
                <wp:extent cx="2857500" cy="9525"/>
                <wp:effectExtent l="0" t="0" r="0" b="0"/>
                <wp:docPr id="13" name="Group 13"/>
                <wp:cNvGraphicFramePr>
                  <a:graphicFrameLocks/>
                </wp:cNvGraphicFramePr>
                <a:graphic>
                  <a:graphicData uri="http://schemas.microsoft.com/office/word/2010/wordprocessingGroup">
                    <wpg:wgp>
                      <wpg:cNvPr id="13" name="Group 13"/>
                      <wpg:cNvGrpSpPr/>
                      <wpg:grpSpPr>
                        <a:xfrm>
                          <a:off x="0" y="0"/>
                          <a:ext cx="2857500" cy="9525"/>
                          <a:chExt cx="2857500" cy="9525"/>
                        </a:xfrm>
                      </wpg:grpSpPr>
                      <wps:wsp>
                        <wps:cNvPr id="14" name="Graphic 14"/>
                        <wps:cNvSpPr/>
                        <wps:spPr>
                          <a:xfrm>
                            <a:off x="0" y="0"/>
                            <a:ext cx="2857500" cy="9525"/>
                          </a:xfrm>
                          <a:custGeom>
                            <a:avLst/>
                            <a:gdLst/>
                            <a:ahLst/>
                            <a:cxnLst/>
                            <a:rect l="l" t="t" r="r" b="b"/>
                            <a:pathLst>
                              <a:path w="2857500" h="9525">
                                <a:moveTo>
                                  <a:pt x="2857499" y="9524"/>
                                </a:moveTo>
                                <a:lnTo>
                                  <a:pt x="0" y="9524"/>
                                </a:lnTo>
                                <a:lnTo>
                                  <a:pt x="0" y="0"/>
                                </a:lnTo>
                                <a:lnTo>
                                  <a:pt x="2857499" y="0"/>
                                </a:lnTo>
                                <a:lnTo>
                                  <a:pt x="285749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5pt;height:.75pt;mso-position-horizontal-relative:char;mso-position-vertical-relative:line" id="docshapegroup13" coordorigin="0,0" coordsize="4500,15">
                <v:rect style="position:absolute;left:0;top:0;width:4500;height:15" id="docshape14" filled="true" fillcolor="#000000" stroked="false">
                  <v:fill type="solid"/>
                </v:rect>
              </v:group>
            </w:pict>
          </mc:Fallback>
        </mc:AlternateContent>
      </w:r>
      <w:r>
        <w:rPr>
          <w:rFonts w:ascii="Arial"/>
          <w:sz w:val="2"/>
        </w:rPr>
      </w:r>
    </w:p>
    <w:p>
      <w:pPr>
        <w:spacing w:after="0" w:line="20" w:lineRule="exact"/>
        <w:rPr>
          <w:rFonts w:ascii="Arial"/>
          <w:sz w:val="2"/>
        </w:rPr>
        <w:sectPr>
          <w:pgSz w:w="12240" w:h="15840"/>
          <w:pgMar w:header="269" w:footer="260" w:top="460" w:bottom="440" w:left="860" w:right="720"/>
        </w:sectPr>
      </w:pPr>
    </w:p>
    <w:p>
      <w:pPr>
        <w:pStyle w:val="Heading2"/>
        <w:tabs>
          <w:tab w:pos="1203" w:val="left" w:leader="none"/>
          <w:tab w:pos="1579" w:val="left" w:leader="none"/>
          <w:tab w:pos="2696" w:val="left" w:leader="none"/>
          <w:tab w:pos="4323" w:val="left" w:leader="none"/>
        </w:tabs>
        <w:spacing w:line="242" w:lineRule="auto" w:before="6"/>
        <w:ind w:left="186" w:right="38"/>
      </w:pPr>
      <w:r>
        <w:rPr>
          <w:spacing w:val="-2"/>
        </w:rPr>
        <w:t>(Nombre</w:t>
      </w:r>
      <w:r>
        <w:rPr/>
        <w:tab/>
      </w:r>
      <w:r>
        <w:rPr>
          <w:spacing w:val="-10"/>
        </w:rPr>
        <w:t>y</w:t>
      </w:r>
      <w:r>
        <w:rPr/>
        <w:tab/>
      </w:r>
      <w:r>
        <w:rPr>
          <w:spacing w:val="-2"/>
        </w:rPr>
        <w:t>apellidos)</w:t>
      </w:r>
      <w:r>
        <w:rPr/>
        <w:tab/>
      </w:r>
      <w:r>
        <w:rPr>
          <w:spacing w:val="-2"/>
        </w:rPr>
        <w:t>Subsecretario/a</w:t>
      </w:r>
      <w:r>
        <w:rPr/>
        <w:tab/>
      </w:r>
      <w:r>
        <w:rPr>
          <w:spacing w:val="-6"/>
        </w:rPr>
        <w:t>de </w:t>
      </w:r>
      <w:r>
        <w:rPr/>
        <w:t>Educación Media Superior</w:t>
      </w:r>
    </w:p>
    <w:p>
      <w:pPr>
        <w:spacing w:before="6"/>
        <w:ind w:left="186" w:right="0" w:firstLine="0"/>
        <w:jc w:val="left"/>
        <w:rPr>
          <w:rFonts w:ascii="Arial"/>
          <w:b/>
          <w:sz w:val="18"/>
        </w:rPr>
      </w:pPr>
      <w:r>
        <w:rPr/>
        <w:br w:type="column"/>
      </w:r>
      <w:r>
        <w:rPr>
          <w:rFonts w:ascii="Arial"/>
          <w:b/>
          <w:sz w:val="18"/>
        </w:rPr>
        <w:t>(Nombre y </w:t>
      </w:r>
      <w:r>
        <w:rPr>
          <w:rFonts w:ascii="Arial"/>
          <w:b/>
          <w:spacing w:val="-2"/>
          <w:sz w:val="18"/>
        </w:rPr>
        <w:t>apellidos)</w:t>
      </w:r>
    </w:p>
    <w:p>
      <w:pPr>
        <w:spacing w:before="93"/>
        <w:ind w:left="186" w:right="0" w:firstLine="0"/>
        <w:jc w:val="left"/>
        <w:rPr>
          <w:sz w:val="18"/>
        </w:rPr>
      </w:pPr>
      <w:r>
        <w:rPr>
          <w:rFonts w:ascii="Arial"/>
          <w:b/>
          <w:sz w:val="18"/>
        </w:rPr>
        <w:t>Gobernador/a del Estado de </w:t>
      </w:r>
      <w:r>
        <w:rPr>
          <w:sz w:val="18"/>
        </w:rPr>
        <w:t>(nombre del </w:t>
      </w:r>
      <w:r>
        <w:rPr>
          <w:spacing w:val="-2"/>
          <w:sz w:val="18"/>
        </w:rPr>
        <w:t>estado)</w:t>
      </w:r>
    </w:p>
    <w:p>
      <w:pPr>
        <w:spacing w:after="0"/>
        <w:jc w:val="left"/>
        <w:rPr>
          <w:sz w:val="18"/>
        </w:rPr>
        <w:sectPr>
          <w:type w:val="continuous"/>
          <w:pgSz w:w="12240" w:h="15840"/>
          <w:pgMar w:header="269" w:footer="260" w:top="460" w:bottom="440" w:left="860" w:right="720"/>
          <w:cols w:num="2" w:equalWidth="0">
            <w:col w:w="4574" w:space="351"/>
            <w:col w:w="5735"/>
          </w:cols>
        </w:sectPr>
      </w:pPr>
    </w:p>
    <w:p>
      <w:pPr>
        <w:pStyle w:val="BodyText"/>
        <w:spacing w:before="0"/>
        <w:ind w:left="0" w:right="0" w:firstLine="0"/>
        <w:jc w:val="left"/>
        <w:rPr>
          <w:sz w:val="20"/>
        </w:rPr>
      </w:pPr>
    </w:p>
    <w:p>
      <w:pPr>
        <w:pStyle w:val="BodyText"/>
        <w:spacing w:before="0"/>
        <w:ind w:left="0" w:right="0" w:firstLine="0"/>
        <w:jc w:val="left"/>
        <w:rPr>
          <w:sz w:val="20"/>
        </w:rPr>
      </w:pPr>
    </w:p>
    <w:p>
      <w:pPr>
        <w:pStyle w:val="BodyText"/>
        <w:spacing w:before="0"/>
        <w:ind w:left="0" w:right="0" w:firstLine="0"/>
        <w:jc w:val="left"/>
        <w:rPr>
          <w:sz w:val="20"/>
        </w:rPr>
      </w:pPr>
    </w:p>
    <w:p>
      <w:pPr>
        <w:pStyle w:val="BodyText"/>
        <w:spacing w:before="227"/>
        <w:ind w:left="0" w:right="0" w:firstLine="0"/>
        <w:jc w:val="left"/>
        <w:rPr>
          <w:sz w:val="20"/>
        </w:rPr>
      </w:pPr>
    </w:p>
    <w:p>
      <w:pPr>
        <w:pStyle w:val="BodyText"/>
        <w:spacing w:line="20" w:lineRule="exact" w:before="0"/>
        <w:ind w:left="115" w:right="0" w:firstLine="0"/>
        <w:jc w:val="left"/>
        <w:rPr>
          <w:sz w:val="2"/>
        </w:rPr>
      </w:pPr>
      <w:r>
        <w:rPr>
          <w:sz w:val="2"/>
        </w:rPr>
        <mc:AlternateContent>
          <mc:Choice Requires="wps">
            <w:drawing>
              <wp:inline distT="0" distB="0" distL="0" distR="0">
                <wp:extent cx="2847975" cy="9525"/>
                <wp:effectExtent l="0" t="0" r="0" b="0"/>
                <wp:docPr id="15" name="Group 15"/>
                <wp:cNvGraphicFramePr>
                  <a:graphicFrameLocks/>
                </wp:cNvGraphicFramePr>
                <a:graphic>
                  <a:graphicData uri="http://schemas.microsoft.com/office/word/2010/wordprocessingGroup">
                    <wpg:wgp>
                      <wpg:cNvPr id="15" name="Group 15"/>
                      <wpg:cNvGrpSpPr/>
                      <wpg:grpSpPr>
                        <a:xfrm>
                          <a:off x="0" y="0"/>
                          <a:ext cx="2847975" cy="9525"/>
                          <a:chExt cx="2847975" cy="9525"/>
                        </a:xfrm>
                      </wpg:grpSpPr>
                      <wps:wsp>
                        <wps:cNvPr id="16" name="Graphic 16"/>
                        <wps:cNvSpPr/>
                        <wps:spPr>
                          <a:xfrm>
                            <a:off x="0" y="0"/>
                            <a:ext cx="2847975" cy="9525"/>
                          </a:xfrm>
                          <a:custGeom>
                            <a:avLst/>
                            <a:gdLst/>
                            <a:ahLst/>
                            <a:cxnLst/>
                            <a:rect l="l" t="t" r="r" b="b"/>
                            <a:pathLst>
                              <a:path w="2847975" h="9525">
                                <a:moveTo>
                                  <a:pt x="2847974" y="9524"/>
                                </a:moveTo>
                                <a:lnTo>
                                  <a:pt x="0" y="9524"/>
                                </a:lnTo>
                                <a:lnTo>
                                  <a:pt x="0" y="0"/>
                                </a:lnTo>
                                <a:lnTo>
                                  <a:pt x="2847974" y="0"/>
                                </a:lnTo>
                                <a:lnTo>
                                  <a:pt x="284797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4.25pt;height:.75pt;mso-position-horizontal-relative:char;mso-position-vertical-relative:line" id="docshapegroup15" coordorigin="0,0" coordsize="4485,15">
                <v:rect style="position:absolute;left:0;top:0;width:4485;height:15" id="docshape16" filled="true" fillcolor="#000000" stroked="false">
                  <v:fill type="solid"/>
                </v:rect>
              </v:group>
            </w:pict>
          </mc:Fallback>
        </mc:AlternateContent>
      </w:r>
      <w:r>
        <w:rPr>
          <w:sz w:val="2"/>
        </w:rPr>
      </w:r>
    </w:p>
    <w:p>
      <w:pPr>
        <w:spacing w:before="6"/>
        <w:ind w:left="186" w:right="0" w:firstLine="0"/>
        <w:jc w:val="both"/>
        <w:rPr>
          <w:rFonts w:ascii="Arial"/>
          <w:b/>
          <w:sz w:val="18"/>
        </w:rPr>
      </w:pPr>
      <w:r>
        <w:rPr>
          <w:rFonts w:ascii="Arial"/>
          <w:b/>
          <w:sz w:val="18"/>
        </w:rPr>
        <w:t>(Nombre y </w:t>
      </w:r>
      <w:r>
        <w:rPr>
          <w:rFonts w:ascii="Arial"/>
          <w:b/>
          <w:spacing w:val="-2"/>
          <w:sz w:val="18"/>
        </w:rPr>
        <w:t>apellidos)</w:t>
      </w:r>
    </w:p>
    <w:p>
      <w:pPr>
        <w:spacing w:line="242" w:lineRule="auto" w:before="108"/>
        <w:ind w:left="186" w:right="6124" w:firstLine="0"/>
        <w:jc w:val="both"/>
        <w:rPr>
          <w:rFonts w:ascii="Arial" w:hAnsi="Arial"/>
          <w:b/>
          <w:sz w:val="18"/>
        </w:rPr>
      </w:pPr>
      <w:r>
        <w:rPr>
          <w:rFonts w:ascii="Arial" w:hAnsi="Arial"/>
          <w:b/>
          <w:sz w:val="18"/>
        </w:rPr>
        <w:t>Coordinador(a) Sectorial de Planeación </w:t>
      </w:r>
      <w:r>
        <w:rPr>
          <w:rFonts w:ascii="Arial" w:hAnsi="Arial"/>
          <w:b/>
          <w:sz w:val="18"/>
        </w:rPr>
        <w:t>y Administración de la Subsecretaría de Educación Media Superior</w:t>
      </w:r>
    </w:p>
    <w:p>
      <w:pPr>
        <w:pStyle w:val="BodyText"/>
        <w:spacing w:before="2"/>
        <w:ind w:left="0" w:right="0" w:firstLine="0"/>
        <w:jc w:val="left"/>
        <w:rPr>
          <w:rFonts w:ascii="Arial"/>
          <w:b/>
          <w:sz w:val="10"/>
        </w:rPr>
      </w:pPr>
      <w:r>
        <w:rPr/>
        <mc:AlternateContent>
          <mc:Choice Requires="wps">
            <w:drawing>
              <wp:anchor distT="0" distB="0" distL="0" distR="0" allowOverlap="1" layoutInCell="1" locked="0" behindDoc="1" simplePos="0" relativeHeight="487591936">
                <wp:simplePos x="0" y="0"/>
                <wp:positionH relativeFrom="page">
                  <wp:posOffset>3743324</wp:posOffset>
                </wp:positionH>
                <wp:positionV relativeFrom="paragraph">
                  <wp:posOffset>90081</wp:posOffset>
                </wp:positionV>
                <wp:extent cx="285750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2857500" cy="9525"/>
                        </a:xfrm>
                        <a:custGeom>
                          <a:avLst/>
                          <a:gdLst/>
                          <a:ahLst/>
                          <a:cxnLst/>
                          <a:rect l="l" t="t" r="r" b="b"/>
                          <a:pathLst>
                            <a:path w="2857500" h="9525">
                              <a:moveTo>
                                <a:pt x="2857499" y="9524"/>
                              </a:moveTo>
                              <a:lnTo>
                                <a:pt x="0" y="9524"/>
                              </a:lnTo>
                              <a:lnTo>
                                <a:pt x="0" y="0"/>
                              </a:lnTo>
                              <a:lnTo>
                                <a:pt x="2857499" y="0"/>
                              </a:lnTo>
                              <a:lnTo>
                                <a:pt x="28574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4.749969pt;margin-top:7.093038pt;width:224.999982pt;height:.75pt;mso-position-horizontal-relative:page;mso-position-vertical-relative:paragraph;z-index:-15724544;mso-wrap-distance-left:0;mso-wrap-distance-right:0" id="docshape17" filled="true" fillcolor="#000000" stroked="false">
                <v:fill type="solid"/>
                <w10:wrap type="topAndBottom"/>
              </v:rect>
            </w:pict>
          </mc:Fallback>
        </mc:AlternateContent>
      </w:r>
    </w:p>
    <w:p>
      <w:pPr>
        <w:spacing w:before="11"/>
        <w:ind w:left="5112" w:right="0" w:firstLine="0"/>
        <w:jc w:val="left"/>
        <w:rPr>
          <w:rFonts w:ascii="Arial"/>
          <w:b/>
          <w:sz w:val="18"/>
        </w:rPr>
      </w:pPr>
      <w:r>
        <w:rPr>
          <w:rFonts w:ascii="Arial"/>
          <w:b/>
          <w:sz w:val="18"/>
        </w:rPr>
        <w:t>(Nombre y </w:t>
      </w:r>
      <w:r>
        <w:rPr>
          <w:rFonts w:ascii="Arial"/>
          <w:b/>
          <w:spacing w:val="-2"/>
          <w:sz w:val="18"/>
        </w:rPr>
        <w:t>apellidos)</w:t>
      </w:r>
    </w:p>
    <w:p>
      <w:pPr>
        <w:spacing w:before="93"/>
        <w:ind w:left="5112" w:right="0" w:firstLine="0"/>
        <w:jc w:val="left"/>
        <w:rPr>
          <w:sz w:val="18"/>
        </w:rPr>
      </w:pPr>
      <w:r>
        <w:rPr>
          <w:rFonts w:ascii="Arial" w:hAnsi="Arial"/>
          <w:b/>
          <w:sz w:val="18"/>
        </w:rPr>
        <w:t>Secretario/a de </w:t>
      </w:r>
      <w:r>
        <w:rPr>
          <w:sz w:val="18"/>
        </w:rPr>
        <w:t>(Educación o </w:t>
      </w:r>
      <w:r>
        <w:rPr>
          <w:spacing w:val="-2"/>
          <w:sz w:val="18"/>
        </w:rPr>
        <w:t>equivalente)</w:t>
      </w:r>
    </w:p>
    <w:p>
      <w:pPr>
        <w:pStyle w:val="BodyText"/>
        <w:spacing w:before="218"/>
        <w:ind w:left="0" w:right="0" w:firstLine="0"/>
        <w:jc w:val="left"/>
        <w:rPr>
          <w:sz w:val="20"/>
        </w:rPr>
      </w:pPr>
      <w:r>
        <w:rPr/>
        <mc:AlternateContent>
          <mc:Choice Requires="wps">
            <w:drawing>
              <wp:anchor distT="0" distB="0" distL="0" distR="0" allowOverlap="1" layoutInCell="1" locked="0" behindDoc="1" simplePos="0" relativeHeight="487592448">
                <wp:simplePos x="0" y="0"/>
                <wp:positionH relativeFrom="page">
                  <wp:posOffset>619124</wp:posOffset>
                </wp:positionH>
                <wp:positionV relativeFrom="paragraph">
                  <wp:posOffset>299742</wp:posOffset>
                </wp:positionV>
                <wp:extent cx="284797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847975" cy="9525"/>
                        </a:xfrm>
                        <a:custGeom>
                          <a:avLst/>
                          <a:gdLst/>
                          <a:ahLst/>
                          <a:cxnLst/>
                          <a:rect l="l" t="t" r="r" b="b"/>
                          <a:pathLst>
                            <a:path w="2847975" h="9525">
                              <a:moveTo>
                                <a:pt x="2847974" y="9524"/>
                              </a:moveTo>
                              <a:lnTo>
                                <a:pt x="0" y="9524"/>
                              </a:lnTo>
                              <a:lnTo>
                                <a:pt x="0" y="0"/>
                              </a:lnTo>
                              <a:lnTo>
                                <a:pt x="2847974" y="0"/>
                              </a:lnTo>
                              <a:lnTo>
                                <a:pt x="284797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749996pt;margin-top:23.601753pt;width:224.249982pt;height:.75pt;mso-position-horizontal-relative:page;mso-position-vertical-relative:paragraph;z-index:-15724032;mso-wrap-distance-left:0;mso-wrap-distance-right:0" id="docshape18" filled="true" fillcolor="#000000" stroked="false">
                <v:fill type="solid"/>
                <w10:wrap type="topAndBottom"/>
              </v:rect>
            </w:pict>
          </mc:Fallback>
        </mc:AlternateContent>
      </w:r>
    </w:p>
    <w:p>
      <w:pPr>
        <w:pStyle w:val="Heading2"/>
        <w:spacing w:before="11"/>
        <w:ind w:left="186"/>
      </w:pPr>
      <w:r>
        <w:rPr/>
        <w:t>(Nombre y </w:t>
      </w:r>
      <w:r>
        <w:rPr>
          <w:spacing w:val="-2"/>
        </w:rPr>
        <w:t>apellidos)</w:t>
      </w:r>
    </w:p>
    <w:p>
      <w:pPr>
        <w:spacing w:before="93"/>
        <w:ind w:left="186" w:right="0" w:firstLine="0"/>
        <w:jc w:val="left"/>
        <w:rPr>
          <w:sz w:val="18"/>
        </w:rPr>
      </w:pPr>
      <w:r>
        <w:rPr>
          <w:rFonts w:ascii="Arial"/>
          <w:b/>
          <w:sz w:val="18"/>
        </w:rPr>
        <w:t>Secretario/a de </w:t>
      </w:r>
      <w:r>
        <w:rPr>
          <w:sz w:val="18"/>
        </w:rPr>
        <w:t>(Finanzas o </w:t>
      </w:r>
      <w:r>
        <w:rPr>
          <w:spacing w:val="-2"/>
          <w:sz w:val="18"/>
        </w:rPr>
        <w:t>equivalente)</w:t>
      </w:r>
    </w:p>
    <w:p>
      <w:pPr>
        <w:pStyle w:val="BodyText"/>
        <w:spacing w:before="0"/>
        <w:ind w:left="0" w:right="0" w:firstLine="0"/>
        <w:jc w:val="left"/>
      </w:pPr>
    </w:p>
    <w:p>
      <w:pPr>
        <w:pStyle w:val="BodyText"/>
        <w:spacing w:before="0"/>
        <w:ind w:left="0" w:right="0" w:firstLine="0"/>
        <w:jc w:val="left"/>
      </w:pPr>
    </w:p>
    <w:p>
      <w:pPr>
        <w:pStyle w:val="BodyText"/>
        <w:spacing w:before="0"/>
        <w:ind w:left="0" w:right="0" w:firstLine="0"/>
        <w:jc w:val="left"/>
      </w:pPr>
    </w:p>
    <w:p>
      <w:pPr>
        <w:pStyle w:val="BodyText"/>
        <w:spacing w:before="0"/>
        <w:ind w:left="0" w:right="0" w:firstLine="0"/>
        <w:jc w:val="left"/>
      </w:pPr>
    </w:p>
    <w:p>
      <w:pPr>
        <w:pStyle w:val="BodyText"/>
        <w:spacing w:before="0"/>
        <w:ind w:left="0" w:right="0" w:firstLine="0"/>
        <w:jc w:val="left"/>
      </w:pPr>
    </w:p>
    <w:p>
      <w:pPr>
        <w:pStyle w:val="BodyText"/>
        <w:spacing w:before="0"/>
        <w:ind w:left="0" w:right="0" w:firstLine="0"/>
        <w:jc w:val="left"/>
      </w:pPr>
    </w:p>
    <w:p>
      <w:pPr>
        <w:pStyle w:val="BodyText"/>
        <w:spacing w:before="0"/>
        <w:ind w:left="0" w:right="0" w:firstLine="0"/>
        <w:jc w:val="left"/>
      </w:pPr>
    </w:p>
    <w:p>
      <w:pPr>
        <w:pStyle w:val="BodyText"/>
        <w:spacing w:before="154"/>
        <w:ind w:left="0" w:right="0" w:firstLine="0"/>
        <w:jc w:val="left"/>
      </w:pPr>
    </w:p>
    <w:p>
      <w:pPr>
        <w:spacing w:line="235" w:lineRule="auto" w:before="0"/>
        <w:ind w:left="114" w:right="118" w:firstLine="287"/>
        <w:jc w:val="both"/>
        <w:rPr>
          <w:sz w:val="16"/>
        </w:rPr>
      </w:pPr>
      <w:r>
        <w:rPr>
          <w:sz w:val="16"/>
        </w:rPr>
        <w:t>ULTIMA</w:t>
      </w:r>
      <w:r>
        <w:rPr>
          <w:spacing w:val="-12"/>
          <w:sz w:val="16"/>
        </w:rPr>
        <w:t> </w:t>
      </w:r>
      <w:r>
        <w:rPr>
          <w:sz w:val="16"/>
        </w:rPr>
        <w:t>HOJA</w:t>
      </w:r>
      <w:r>
        <w:rPr>
          <w:spacing w:val="-8"/>
          <w:sz w:val="16"/>
        </w:rPr>
        <w:t> </w:t>
      </w:r>
      <w:r>
        <w:rPr>
          <w:sz w:val="16"/>
        </w:rPr>
        <w:t>DEL</w:t>
      </w:r>
      <w:r>
        <w:rPr>
          <w:spacing w:val="-5"/>
          <w:sz w:val="16"/>
        </w:rPr>
        <w:t> </w:t>
      </w:r>
      <w:r>
        <w:rPr>
          <w:sz w:val="16"/>
        </w:rPr>
        <w:t>CONVENIO PARA</w:t>
      </w:r>
      <w:r>
        <w:rPr>
          <w:spacing w:val="-8"/>
          <w:sz w:val="16"/>
        </w:rPr>
        <w:t> </w:t>
      </w:r>
      <w:r>
        <w:rPr>
          <w:sz w:val="16"/>
        </w:rPr>
        <w:t>LA</w:t>
      </w:r>
      <w:r>
        <w:rPr>
          <w:spacing w:val="-8"/>
          <w:sz w:val="16"/>
        </w:rPr>
        <w:t> </w:t>
      </w:r>
      <w:r>
        <w:rPr>
          <w:sz w:val="16"/>
        </w:rPr>
        <w:t>OPERACIÓN DEL</w:t>
      </w:r>
      <w:r>
        <w:rPr>
          <w:spacing w:val="-5"/>
          <w:sz w:val="16"/>
        </w:rPr>
        <w:t> </w:t>
      </w:r>
      <w:r>
        <w:rPr>
          <w:sz w:val="16"/>
        </w:rPr>
        <w:t>PROGRAMA</w:t>
      </w:r>
      <w:r>
        <w:rPr>
          <w:spacing w:val="-12"/>
          <w:sz w:val="16"/>
        </w:rPr>
        <w:t> </w:t>
      </w:r>
      <w:r>
        <w:rPr>
          <w:sz w:val="16"/>
        </w:rPr>
        <w:t>ATENCIÓN DE PLANTELES PÚBLICOS DE EDUCACIÓN </w:t>
      </w:r>
      <w:r>
        <w:rPr>
          <w:sz w:val="16"/>
        </w:rPr>
        <w:t>MEDIA SUPERIOR CON ESTUDIANTES CON DISCAPACIDAD PARA EL EJERCICIO FISCAL 2024, CELEBRADO ENTRE EL GOBIERNO FEDERAL POR CONDUCTO DE LA SECRETARÍA DE EDUCACIÓN PÚBLICA</w:t>
      </w:r>
      <w:r>
        <w:rPr>
          <w:spacing w:val="-2"/>
          <w:sz w:val="16"/>
        </w:rPr>
        <w:t> </w:t>
      </w:r>
      <w:r>
        <w:rPr>
          <w:sz w:val="16"/>
        </w:rPr>
        <w:t>Y EL GOBIERNO DEL ESTADO LIBRE Y SOBERANO DE (NOMBRE DEL ESTADO), DE FECHA (DÍA) DE (MES) DE 2024.</w:t>
      </w:r>
    </w:p>
    <w:p>
      <w:pPr>
        <w:spacing w:line="235" w:lineRule="auto" w:before="89"/>
        <w:ind w:left="114" w:right="117" w:firstLine="287"/>
        <w:jc w:val="both"/>
        <w:rPr>
          <w:sz w:val="16"/>
        </w:rPr>
      </w:pPr>
      <w:r>
        <w:rPr>
          <w:sz w:val="16"/>
        </w:rPr>
        <w:t>ANEXO QUE FORMA PARTE INTEGRANTE DEL CONVENIO DE COLABORACIÓN PARA LA OPERACIÓN DEL PROGRAMA</w:t>
      </w:r>
      <w:r>
        <w:rPr>
          <w:spacing w:val="-7"/>
          <w:sz w:val="16"/>
        </w:rPr>
        <w:t> </w:t>
      </w:r>
      <w:r>
        <w:rPr>
          <w:sz w:val="16"/>
        </w:rPr>
        <w:t>ATENCIÓN DE PLANTELES PÚBLICOS DE EDUCACIÓN MEDIA SUPERIOR CON ESTUDIANTES CON DISCAPACIDAD PARA EL EJERCICIO FISCAL 2024, CELEBRADO ENTRE EL GOBIERNO FEDERAL, POR CONDUCTO DE LA SECRETARÍA DE EDUCACIÓN PÚBLICA, Y EL ESTADO LIBRE Y SOBERANO DE (NOMBRE DEL ESTADO), DE FECHA</w:t>
      </w:r>
      <w:r>
        <w:rPr>
          <w:spacing w:val="-1"/>
          <w:sz w:val="16"/>
        </w:rPr>
        <w:t> </w:t>
      </w:r>
      <w:r>
        <w:rPr>
          <w:sz w:val="16"/>
        </w:rPr>
        <w:t>(DÍA) DE (MES) DE 2024.</w:t>
      </w:r>
    </w:p>
    <w:p>
      <w:pPr>
        <w:pStyle w:val="Heading1"/>
        <w:spacing w:before="97"/>
        <w:ind w:right="935"/>
        <w:jc w:val="center"/>
      </w:pPr>
      <w:r>
        <w:rPr>
          <w:color w:val="2E2E2E"/>
          <w:spacing w:val="-2"/>
        </w:rPr>
        <w:t>ANEXO</w:t>
      </w:r>
    </w:p>
    <w:p>
      <w:pPr>
        <w:pStyle w:val="BodyText"/>
        <w:spacing w:before="0"/>
        <w:ind w:left="0" w:right="0" w:firstLine="0"/>
        <w:jc w:val="left"/>
        <w:rPr>
          <w:rFonts w:ascii="Times New Roman"/>
          <w:b/>
          <w:sz w:val="11"/>
        </w:rPr>
      </w:pPr>
    </w:p>
    <w:tbl>
      <w:tblPr>
        <w:tblW w:w="0" w:type="auto"/>
        <w:jc w:val="left"/>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810"/>
        <w:gridCol w:w="975"/>
        <w:gridCol w:w="725"/>
        <w:gridCol w:w="219"/>
        <w:gridCol w:w="546"/>
        <w:gridCol w:w="263"/>
        <w:gridCol w:w="945"/>
        <w:gridCol w:w="1125"/>
        <w:gridCol w:w="810"/>
        <w:gridCol w:w="645"/>
        <w:gridCol w:w="660"/>
        <w:gridCol w:w="424"/>
        <w:gridCol w:w="237"/>
        <w:gridCol w:w="652"/>
        <w:gridCol w:w="249"/>
      </w:tblGrid>
      <w:tr>
        <w:trPr>
          <w:trHeight w:val="494" w:hRule="atLeast"/>
        </w:trPr>
        <w:tc>
          <w:tcPr>
            <w:tcW w:w="1050" w:type="dxa"/>
            <w:vMerge w:val="restart"/>
          </w:tcPr>
          <w:p>
            <w:pPr>
              <w:pStyle w:val="TableParagraph"/>
              <w:rPr>
                <w:rFonts w:ascii="Times New Roman"/>
                <w:b/>
                <w:sz w:val="10"/>
              </w:rPr>
            </w:pPr>
          </w:p>
          <w:p>
            <w:pPr>
              <w:pStyle w:val="TableParagraph"/>
              <w:spacing w:before="59"/>
              <w:rPr>
                <w:rFonts w:ascii="Times New Roman"/>
                <w:b/>
                <w:sz w:val="10"/>
              </w:rPr>
            </w:pPr>
          </w:p>
          <w:p>
            <w:pPr>
              <w:pStyle w:val="TableParagraph"/>
              <w:spacing w:line="218" w:lineRule="auto"/>
              <w:ind w:left="76" w:right="57"/>
              <w:jc w:val="both"/>
              <w:rPr>
                <w:rFonts w:ascii="Arial" w:hAnsi="Arial"/>
                <w:b/>
                <w:sz w:val="10"/>
              </w:rPr>
            </w:pPr>
            <w:r>
              <w:rPr>
                <w:rFonts w:ascii="Arial" w:hAnsi="Arial"/>
                <w:b/>
                <w:sz w:val="10"/>
              </w:rPr>
              <w:t>No. Proyecto </w:t>
            </w:r>
            <w:r>
              <w:rPr>
                <w:rFonts w:ascii="Arial" w:hAnsi="Arial"/>
                <w:b/>
                <w:sz w:val="10"/>
              </w:rPr>
              <w:t>para</w:t>
            </w:r>
            <w:r>
              <w:rPr>
                <w:rFonts w:ascii="Arial" w:hAnsi="Arial"/>
                <w:b/>
                <w:spacing w:val="40"/>
                <w:sz w:val="10"/>
              </w:rPr>
              <w:t> </w:t>
            </w:r>
            <w:r>
              <w:rPr>
                <w:rFonts w:ascii="Arial" w:hAnsi="Arial"/>
                <w:b/>
                <w:sz w:val="10"/>
              </w:rPr>
              <w:t>el Avance en la</w:t>
            </w:r>
            <w:r>
              <w:rPr>
                <w:rFonts w:ascii="Arial" w:hAnsi="Arial"/>
                <w:b/>
                <w:spacing w:val="40"/>
                <w:sz w:val="10"/>
              </w:rPr>
              <w:t> </w:t>
            </w:r>
            <w:r>
              <w:rPr>
                <w:rFonts w:ascii="Arial" w:hAnsi="Arial"/>
                <w:b/>
                <w:sz w:val="10"/>
              </w:rPr>
              <w:t>Atención de la</w:t>
            </w:r>
            <w:r>
              <w:rPr>
                <w:rFonts w:ascii="Arial" w:hAnsi="Arial"/>
                <w:b/>
                <w:spacing w:val="40"/>
                <w:sz w:val="10"/>
              </w:rPr>
              <w:t> </w:t>
            </w:r>
            <w:r>
              <w:rPr>
                <w:rFonts w:ascii="Arial" w:hAnsi="Arial"/>
                <w:b/>
                <w:sz w:val="10"/>
              </w:rPr>
              <w:t>Educación Media</w:t>
            </w:r>
            <w:r>
              <w:rPr>
                <w:rFonts w:ascii="Arial" w:hAnsi="Arial"/>
                <w:b/>
                <w:spacing w:val="40"/>
                <w:sz w:val="10"/>
              </w:rPr>
              <w:t> </w:t>
            </w:r>
            <w:r>
              <w:rPr>
                <w:rFonts w:ascii="Arial" w:hAnsi="Arial"/>
                <w:b/>
                <w:sz w:val="10"/>
              </w:rPr>
              <w:t>Superior para</w:t>
            </w:r>
            <w:r>
              <w:rPr>
                <w:rFonts w:ascii="Arial" w:hAnsi="Arial"/>
                <w:b/>
                <w:spacing w:val="40"/>
                <w:sz w:val="10"/>
              </w:rPr>
              <w:t> </w:t>
            </w:r>
            <w:r>
              <w:rPr>
                <w:rFonts w:ascii="Arial" w:hAnsi="Arial"/>
                <w:b/>
                <w:sz w:val="10"/>
              </w:rPr>
              <w:t>Estudiantes con</w:t>
            </w:r>
            <w:r>
              <w:rPr>
                <w:rFonts w:ascii="Arial" w:hAnsi="Arial"/>
                <w:b/>
                <w:spacing w:val="40"/>
                <w:sz w:val="10"/>
              </w:rPr>
              <w:t> </w:t>
            </w:r>
            <w:r>
              <w:rPr>
                <w:rFonts w:ascii="Arial" w:hAnsi="Arial"/>
                <w:b/>
                <w:spacing w:val="-2"/>
                <w:sz w:val="10"/>
              </w:rPr>
              <w:t>Discapacidad</w:t>
            </w:r>
          </w:p>
        </w:tc>
        <w:tc>
          <w:tcPr>
            <w:tcW w:w="810" w:type="dxa"/>
            <w:vMerge w:val="restart"/>
          </w:tcPr>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spacing w:before="21"/>
              <w:rPr>
                <w:rFonts w:ascii="Times New Roman"/>
                <w:b/>
                <w:sz w:val="10"/>
              </w:rPr>
            </w:pPr>
          </w:p>
          <w:p>
            <w:pPr>
              <w:pStyle w:val="TableParagraph"/>
              <w:ind w:left="80"/>
              <w:rPr>
                <w:rFonts w:ascii="Arial"/>
                <w:b/>
                <w:sz w:val="10"/>
              </w:rPr>
            </w:pPr>
            <w:r>
              <w:rPr>
                <w:rFonts w:ascii="Arial"/>
                <w:b/>
                <w:spacing w:val="-5"/>
                <w:sz w:val="10"/>
              </w:rPr>
              <w:t>CCT</w:t>
            </w:r>
          </w:p>
        </w:tc>
        <w:tc>
          <w:tcPr>
            <w:tcW w:w="975" w:type="dxa"/>
            <w:vMerge w:val="restart"/>
          </w:tcPr>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spacing w:before="84"/>
              <w:rPr>
                <w:rFonts w:ascii="Times New Roman"/>
                <w:b/>
                <w:sz w:val="10"/>
              </w:rPr>
            </w:pPr>
          </w:p>
          <w:p>
            <w:pPr>
              <w:pStyle w:val="TableParagraph"/>
              <w:spacing w:line="218" w:lineRule="auto"/>
              <w:ind w:left="82" w:right="59"/>
              <w:rPr>
                <w:rFonts w:ascii="Arial"/>
                <w:b/>
                <w:sz w:val="10"/>
              </w:rPr>
            </w:pPr>
            <w:r>
              <w:rPr>
                <w:rFonts w:ascii="Arial"/>
                <w:b/>
                <w:sz w:val="10"/>
              </w:rPr>
              <w:t>Nombre</w:t>
            </w:r>
            <w:r>
              <w:rPr>
                <w:rFonts w:ascii="Arial"/>
                <w:b/>
                <w:spacing w:val="45"/>
                <w:sz w:val="10"/>
              </w:rPr>
              <w:t> </w:t>
            </w:r>
            <w:r>
              <w:rPr>
                <w:rFonts w:ascii="Arial"/>
                <w:b/>
                <w:sz w:val="10"/>
              </w:rPr>
              <w:t>Plantel</w:t>
            </w:r>
            <w:r>
              <w:rPr>
                <w:rFonts w:ascii="Arial"/>
                <w:b/>
                <w:spacing w:val="40"/>
                <w:sz w:val="10"/>
              </w:rPr>
              <w:t> </w:t>
            </w:r>
            <w:r>
              <w:rPr>
                <w:rFonts w:ascii="Arial"/>
                <w:b/>
                <w:spacing w:val="-2"/>
                <w:sz w:val="10"/>
              </w:rPr>
              <w:t>Beneficiario</w:t>
            </w:r>
          </w:p>
        </w:tc>
        <w:tc>
          <w:tcPr>
            <w:tcW w:w="725" w:type="dxa"/>
            <w:vMerge w:val="restart"/>
            <w:tcBorders>
              <w:right w:val="nil"/>
            </w:tcBorders>
          </w:tcPr>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spacing w:before="39"/>
              <w:rPr>
                <w:rFonts w:ascii="Times New Roman"/>
                <w:b/>
                <w:sz w:val="10"/>
              </w:rPr>
            </w:pPr>
          </w:p>
          <w:p>
            <w:pPr>
              <w:pStyle w:val="TableParagraph"/>
              <w:spacing w:line="218" w:lineRule="auto"/>
              <w:ind w:left="78" w:right="76"/>
              <w:rPr>
                <w:rFonts w:ascii="Arial" w:hAnsi="Arial"/>
                <w:b/>
                <w:sz w:val="10"/>
              </w:rPr>
            </w:pPr>
            <w:r>
              <w:rPr>
                <w:rFonts w:ascii="Arial" w:hAnsi="Arial"/>
                <w:b/>
                <w:spacing w:val="-2"/>
                <w:sz w:val="10"/>
              </w:rPr>
              <w:t>Dirección</w:t>
            </w:r>
            <w:r>
              <w:rPr>
                <w:rFonts w:ascii="Arial" w:hAnsi="Arial"/>
                <w:b/>
                <w:spacing w:val="40"/>
                <w:sz w:val="10"/>
              </w:rPr>
              <w:t> </w:t>
            </w:r>
            <w:r>
              <w:rPr>
                <w:rFonts w:ascii="Arial" w:hAnsi="Arial"/>
                <w:b/>
                <w:spacing w:val="-2"/>
                <w:sz w:val="10"/>
              </w:rPr>
              <w:t>General</w:t>
            </w:r>
            <w:r>
              <w:rPr>
                <w:rFonts w:ascii="Arial" w:hAnsi="Arial"/>
                <w:b/>
                <w:spacing w:val="40"/>
                <w:sz w:val="10"/>
              </w:rPr>
              <w:t> </w:t>
            </w:r>
            <w:r>
              <w:rPr>
                <w:rFonts w:ascii="Arial" w:hAnsi="Arial"/>
                <w:b/>
                <w:spacing w:val="-2"/>
                <w:sz w:val="10"/>
              </w:rPr>
              <w:t>Subsistema</w:t>
            </w:r>
          </w:p>
        </w:tc>
        <w:tc>
          <w:tcPr>
            <w:tcW w:w="219" w:type="dxa"/>
            <w:vMerge w:val="restart"/>
            <w:tcBorders>
              <w:left w:val="nil"/>
            </w:tcBorders>
          </w:tcPr>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spacing w:before="21"/>
              <w:rPr>
                <w:rFonts w:ascii="Times New Roman"/>
                <w:b/>
                <w:sz w:val="10"/>
              </w:rPr>
            </w:pPr>
          </w:p>
          <w:p>
            <w:pPr>
              <w:pStyle w:val="TableParagraph"/>
              <w:ind w:left="94"/>
              <w:rPr>
                <w:rFonts w:ascii="Arial"/>
                <w:b/>
                <w:sz w:val="10"/>
              </w:rPr>
            </w:pPr>
            <w:r>
              <w:rPr>
                <w:rFonts w:ascii="Arial"/>
                <w:b/>
                <w:spacing w:val="-10"/>
                <w:sz w:val="10"/>
              </w:rPr>
              <w:t>o</w:t>
            </w:r>
          </w:p>
        </w:tc>
        <w:tc>
          <w:tcPr>
            <w:tcW w:w="546" w:type="dxa"/>
            <w:vMerge w:val="restart"/>
            <w:tcBorders>
              <w:right w:val="nil"/>
            </w:tcBorders>
          </w:tcPr>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spacing w:before="39"/>
              <w:rPr>
                <w:rFonts w:ascii="Times New Roman"/>
                <w:b/>
                <w:sz w:val="10"/>
              </w:rPr>
            </w:pPr>
          </w:p>
          <w:p>
            <w:pPr>
              <w:pStyle w:val="TableParagraph"/>
              <w:spacing w:line="218" w:lineRule="auto"/>
              <w:ind w:left="83" w:right="25"/>
              <w:jc w:val="both"/>
              <w:rPr>
                <w:rFonts w:ascii="Arial"/>
                <w:b/>
                <w:sz w:val="10"/>
              </w:rPr>
            </w:pPr>
            <w:r>
              <w:rPr>
                <w:rFonts w:ascii="Arial"/>
                <w:b/>
                <w:spacing w:val="-2"/>
                <w:sz w:val="10"/>
              </w:rPr>
              <w:t>Objetivo</w:t>
            </w:r>
            <w:r>
              <w:rPr>
                <w:rFonts w:ascii="Arial"/>
                <w:b/>
                <w:spacing w:val="40"/>
                <w:sz w:val="10"/>
              </w:rPr>
              <w:t> </w:t>
            </w:r>
            <w:r>
              <w:rPr>
                <w:rFonts w:ascii="Arial"/>
                <w:b/>
                <w:spacing w:val="-2"/>
                <w:sz w:val="10"/>
              </w:rPr>
              <w:t>General</w:t>
            </w:r>
            <w:r>
              <w:rPr>
                <w:rFonts w:ascii="Arial"/>
                <w:b/>
                <w:spacing w:val="40"/>
                <w:sz w:val="10"/>
              </w:rPr>
              <w:t> </w:t>
            </w:r>
            <w:r>
              <w:rPr>
                <w:rFonts w:ascii="Arial"/>
                <w:b/>
                <w:spacing w:val="-2"/>
                <w:sz w:val="10"/>
              </w:rPr>
              <w:t>Proyecto</w:t>
            </w:r>
          </w:p>
        </w:tc>
        <w:tc>
          <w:tcPr>
            <w:tcW w:w="263" w:type="dxa"/>
            <w:vMerge w:val="restart"/>
            <w:tcBorders>
              <w:left w:val="nil"/>
            </w:tcBorders>
          </w:tcPr>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spacing w:before="21"/>
              <w:rPr>
                <w:rFonts w:ascii="Times New Roman"/>
                <w:b/>
                <w:sz w:val="10"/>
              </w:rPr>
            </w:pPr>
          </w:p>
          <w:p>
            <w:pPr>
              <w:pStyle w:val="TableParagraph"/>
              <w:ind w:left="45"/>
              <w:rPr>
                <w:rFonts w:ascii="Arial"/>
                <w:b/>
                <w:sz w:val="10"/>
              </w:rPr>
            </w:pPr>
            <w:r>
              <w:rPr>
                <w:rFonts w:ascii="Arial"/>
                <w:b/>
                <w:spacing w:val="-5"/>
                <w:sz w:val="10"/>
              </w:rPr>
              <w:t>del</w:t>
            </w:r>
          </w:p>
        </w:tc>
        <w:tc>
          <w:tcPr>
            <w:tcW w:w="4185" w:type="dxa"/>
            <w:gridSpan w:val="5"/>
          </w:tcPr>
          <w:p>
            <w:pPr>
              <w:pStyle w:val="TableParagraph"/>
              <w:spacing w:before="31"/>
              <w:rPr>
                <w:rFonts w:ascii="Times New Roman"/>
                <w:b/>
                <w:sz w:val="10"/>
              </w:rPr>
            </w:pPr>
          </w:p>
          <w:p>
            <w:pPr>
              <w:pStyle w:val="TableParagraph"/>
              <w:ind w:left="73"/>
              <w:rPr>
                <w:rFonts w:ascii="Arial"/>
                <w:b/>
                <w:sz w:val="10"/>
              </w:rPr>
            </w:pPr>
            <w:r>
              <w:rPr>
                <w:rFonts w:ascii="Arial"/>
                <w:b/>
                <w:sz w:val="10"/>
              </w:rPr>
              <w:t>Especificaciones</w:t>
            </w:r>
            <w:r>
              <w:rPr>
                <w:rFonts w:ascii="Arial"/>
                <w:b/>
                <w:spacing w:val="-1"/>
                <w:sz w:val="10"/>
              </w:rPr>
              <w:t> </w:t>
            </w:r>
            <w:r>
              <w:rPr>
                <w:rFonts w:ascii="Arial"/>
                <w:b/>
                <w:sz w:val="10"/>
              </w:rPr>
              <w:t>del</w:t>
            </w:r>
            <w:r>
              <w:rPr>
                <w:rFonts w:ascii="Arial"/>
                <w:b/>
                <w:spacing w:val="-1"/>
                <w:sz w:val="10"/>
              </w:rPr>
              <w:t> </w:t>
            </w:r>
            <w:r>
              <w:rPr>
                <w:rFonts w:ascii="Arial"/>
                <w:b/>
                <w:spacing w:val="-2"/>
                <w:sz w:val="10"/>
              </w:rPr>
              <w:t>proyecto:</w:t>
            </w:r>
          </w:p>
        </w:tc>
        <w:tc>
          <w:tcPr>
            <w:tcW w:w="424" w:type="dxa"/>
            <w:vMerge w:val="restart"/>
            <w:tcBorders>
              <w:right w:val="nil"/>
            </w:tcBorders>
          </w:tcPr>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spacing w:before="84"/>
              <w:rPr>
                <w:rFonts w:ascii="Times New Roman"/>
                <w:b/>
                <w:sz w:val="10"/>
              </w:rPr>
            </w:pPr>
          </w:p>
          <w:p>
            <w:pPr>
              <w:pStyle w:val="TableParagraph"/>
              <w:spacing w:line="218" w:lineRule="auto"/>
              <w:ind w:left="79" w:right="23"/>
              <w:rPr>
                <w:rFonts w:ascii="Arial"/>
                <w:b/>
                <w:sz w:val="10"/>
              </w:rPr>
            </w:pPr>
            <w:r>
              <w:rPr>
                <w:rFonts w:ascii="Arial"/>
                <w:b/>
                <w:spacing w:val="-4"/>
                <w:sz w:val="10"/>
              </w:rPr>
              <w:t>Tipo</w:t>
            </w:r>
            <w:r>
              <w:rPr>
                <w:rFonts w:ascii="Arial"/>
                <w:b/>
                <w:spacing w:val="40"/>
                <w:sz w:val="10"/>
              </w:rPr>
              <w:t> </w:t>
            </w:r>
            <w:r>
              <w:rPr>
                <w:rFonts w:ascii="Arial"/>
                <w:b/>
                <w:spacing w:val="-4"/>
                <w:sz w:val="10"/>
              </w:rPr>
              <w:t>Apoyo</w:t>
            </w:r>
          </w:p>
        </w:tc>
        <w:tc>
          <w:tcPr>
            <w:tcW w:w="237" w:type="dxa"/>
            <w:vMerge w:val="restart"/>
            <w:tcBorders>
              <w:left w:val="nil"/>
            </w:tcBorders>
          </w:tcPr>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spacing w:before="76"/>
              <w:rPr>
                <w:rFonts w:ascii="Times New Roman"/>
                <w:b/>
                <w:sz w:val="10"/>
              </w:rPr>
            </w:pPr>
          </w:p>
          <w:p>
            <w:pPr>
              <w:pStyle w:val="TableParagraph"/>
              <w:ind w:left="44"/>
              <w:rPr>
                <w:rFonts w:ascii="Arial"/>
                <w:b/>
                <w:sz w:val="10"/>
              </w:rPr>
            </w:pPr>
            <w:r>
              <w:rPr>
                <w:rFonts w:ascii="Arial"/>
                <w:b/>
                <w:spacing w:val="-5"/>
                <w:sz w:val="10"/>
              </w:rPr>
              <w:t>de</w:t>
            </w:r>
          </w:p>
        </w:tc>
        <w:tc>
          <w:tcPr>
            <w:tcW w:w="652" w:type="dxa"/>
            <w:vMerge w:val="restart"/>
            <w:tcBorders>
              <w:right w:val="nil"/>
            </w:tcBorders>
          </w:tcPr>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spacing w:before="84"/>
              <w:rPr>
                <w:rFonts w:ascii="Times New Roman"/>
                <w:b/>
                <w:sz w:val="10"/>
              </w:rPr>
            </w:pPr>
          </w:p>
          <w:p>
            <w:pPr>
              <w:pStyle w:val="TableParagraph"/>
              <w:spacing w:line="218" w:lineRule="auto"/>
              <w:ind w:left="71" w:right="44"/>
              <w:rPr>
                <w:rFonts w:ascii="Arial" w:hAnsi="Arial"/>
                <w:b/>
                <w:sz w:val="10"/>
              </w:rPr>
            </w:pPr>
            <w:r>
              <w:rPr>
                <w:rFonts w:ascii="Arial" w:hAnsi="Arial"/>
                <w:b/>
                <w:spacing w:val="-2"/>
                <w:sz w:val="10"/>
              </w:rPr>
              <w:t>Fecha</w:t>
            </w:r>
            <w:r>
              <w:rPr>
                <w:rFonts w:ascii="Arial" w:hAnsi="Arial"/>
                <w:b/>
                <w:spacing w:val="40"/>
                <w:sz w:val="10"/>
              </w:rPr>
              <w:t> </w:t>
            </w:r>
            <w:r>
              <w:rPr>
                <w:rFonts w:ascii="Arial" w:hAnsi="Arial"/>
                <w:b/>
                <w:spacing w:val="-2"/>
                <w:sz w:val="10"/>
              </w:rPr>
              <w:t>conclusión</w:t>
            </w:r>
          </w:p>
        </w:tc>
        <w:tc>
          <w:tcPr>
            <w:tcW w:w="249" w:type="dxa"/>
            <w:vMerge w:val="restart"/>
            <w:tcBorders>
              <w:left w:val="nil"/>
            </w:tcBorders>
          </w:tcPr>
          <w:p>
            <w:pPr>
              <w:pStyle w:val="TableParagraph"/>
              <w:rPr>
                <w:rFonts w:ascii="Times New Roman"/>
                <w:b/>
                <w:sz w:val="10"/>
              </w:rPr>
            </w:pPr>
          </w:p>
          <w:p>
            <w:pPr>
              <w:pStyle w:val="TableParagraph"/>
              <w:rPr>
                <w:rFonts w:ascii="Times New Roman"/>
                <w:b/>
                <w:sz w:val="10"/>
              </w:rPr>
            </w:pPr>
          </w:p>
          <w:p>
            <w:pPr>
              <w:pStyle w:val="TableParagraph"/>
              <w:rPr>
                <w:rFonts w:ascii="Times New Roman"/>
                <w:b/>
                <w:sz w:val="10"/>
              </w:rPr>
            </w:pPr>
          </w:p>
          <w:p>
            <w:pPr>
              <w:pStyle w:val="TableParagraph"/>
              <w:spacing w:before="76"/>
              <w:rPr>
                <w:rFonts w:ascii="Times New Roman"/>
                <w:b/>
                <w:sz w:val="10"/>
              </w:rPr>
            </w:pPr>
          </w:p>
          <w:p>
            <w:pPr>
              <w:pStyle w:val="TableParagraph"/>
              <w:ind w:left="62"/>
              <w:rPr>
                <w:rFonts w:ascii="Arial"/>
                <w:b/>
                <w:sz w:val="10"/>
              </w:rPr>
            </w:pPr>
            <w:r>
              <w:rPr>
                <w:rFonts w:ascii="Arial"/>
                <w:b/>
                <w:spacing w:val="-5"/>
                <w:sz w:val="10"/>
              </w:rPr>
              <w:t>de</w:t>
            </w:r>
          </w:p>
        </w:tc>
      </w:tr>
      <w:tr>
        <w:trPr>
          <w:trHeight w:val="884" w:hRule="atLeast"/>
        </w:trPr>
        <w:tc>
          <w:tcPr>
            <w:tcW w:w="1050" w:type="dxa"/>
            <w:vMerge/>
            <w:tcBorders>
              <w:top w:val="nil"/>
            </w:tcBorders>
          </w:tcPr>
          <w:p>
            <w:pPr>
              <w:rPr>
                <w:sz w:val="2"/>
                <w:szCs w:val="2"/>
              </w:rPr>
            </w:pPr>
          </w:p>
        </w:tc>
        <w:tc>
          <w:tcPr>
            <w:tcW w:w="810" w:type="dxa"/>
            <w:vMerge/>
            <w:tcBorders>
              <w:top w:val="nil"/>
            </w:tcBorders>
          </w:tcPr>
          <w:p>
            <w:pPr>
              <w:rPr>
                <w:sz w:val="2"/>
                <w:szCs w:val="2"/>
              </w:rPr>
            </w:pPr>
          </w:p>
        </w:tc>
        <w:tc>
          <w:tcPr>
            <w:tcW w:w="975" w:type="dxa"/>
            <w:vMerge/>
            <w:tcBorders>
              <w:top w:val="nil"/>
            </w:tcBorders>
          </w:tcPr>
          <w:p>
            <w:pPr>
              <w:rPr>
                <w:sz w:val="2"/>
                <w:szCs w:val="2"/>
              </w:rPr>
            </w:pPr>
          </w:p>
        </w:tc>
        <w:tc>
          <w:tcPr>
            <w:tcW w:w="725" w:type="dxa"/>
            <w:vMerge/>
            <w:tcBorders>
              <w:top w:val="nil"/>
              <w:right w:val="nil"/>
            </w:tcBorders>
          </w:tcPr>
          <w:p>
            <w:pPr>
              <w:rPr>
                <w:sz w:val="2"/>
                <w:szCs w:val="2"/>
              </w:rPr>
            </w:pPr>
          </w:p>
        </w:tc>
        <w:tc>
          <w:tcPr>
            <w:tcW w:w="219" w:type="dxa"/>
            <w:vMerge/>
            <w:tcBorders>
              <w:top w:val="nil"/>
              <w:left w:val="nil"/>
            </w:tcBorders>
          </w:tcPr>
          <w:p>
            <w:pPr>
              <w:rPr>
                <w:sz w:val="2"/>
                <w:szCs w:val="2"/>
              </w:rPr>
            </w:pPr>
          </w:p>
        </w:tc>
        <w:tc>
          <w:tcPr>
            <w:tcW w:w="546" w:type="dxa"/>
            <w:vMerge/>
            <w:tcBorders>
              <w:top w:val="nil"/>
              <w:right w:val="nil"/>
            </w:tcBorders>
          </w:tcPr>
          <w:p>
            <w:pPr>
              <w:rPr>
                <w:sz w:val="2"/>
                <w:szCs w:val="2"/>
              </w:rPr>
            </w:pPr>
          </w:p>
        </w:tc>
        <w:tc>
          <w:tcPr>
            <w:tcW w:w="263" w:type="dxa"/>
            <w:vMerge/>
            <w:tcBorders>
              <w:top w:val="nil"/>
              <w:left w:val="nil"/>
            </w:tcBorders>
          </w:tcPr>
          <w:p>
            <w:pPr>
              <w:rPr>
                <w:sz w:val="2"/>
                <w:szCs w:val="2"/>
              </w:rPr>
            </w:pPr>
          </w:p>
        </w:tc>
        <w:tc>
          <w:tcPr>
            <w:tcW w:w="945" w:type="dxa"/>
          </w:tcPr>
          <w:p>
            <w:pPr>
              <w:pStyle w:val="TableParagraph"/>
              <w:rPr>
                <w:rFonts w:ascii="Times New Roman"/>
                <w:b/>
                <w:sz w:val="10"/>
              </w:rPr>
            </w:pPr>
          </w:p>
          <w:p>
            <w:pPr>
              <w:pStyle w:val="TableParagraph"/>
              <w:spacing w:before="59"/>
              <w:rPr>
                <w:rFonts w:ascii="Times New Roman"/>
                <w:b/>
                <w:sz w:val="10"/>
              </w:rPr>
            </w:pPr>
          </w:p>
          <w:p>
            <w:pPr>
              <w:pStyle w:val="TableParagraph"/>
              <w:spacing w:line="218" w:lineRule="auto"/>
              <w:ind w:left="73" w:right="293"/>
              <w:rPr>
                <w:rFonts w:ascii="Arial" w:hAnsi="Arial"/>
                <w:b/>
                <w:sz w:val="10"/>
              </w:rPr>
            </w:pPr>
            <w:r>
              <w:rPr>
                <w:rFonts w:ascii="Arial" w:hAnsi="Arial"/>
                <w:b/>
                <w:spacing w:val="-2"/>
                <w:sz w:val="10"/>
              </w:rPr>
              <w:t>descripción</w:t>
            </w:r>
            <w:r>
              <w:rPr>
                <w:rFonts w:ascii="Arial" w:hAnsi="Arial"/>
                <w:b/>
                <w:spacing w:val="40"/>
                <w:sz w:val="10"/>
              </w:rPr>
              <w:t> </w:t>
            </w:r>
            <w:r>
              <w:rPr>
                <w:rFonts w:ascii="Arial" w:hAnsi="Arial"/>
                <w:b/>
                <w:spacing w:val="-2"/>
                <w:sz w:val="10"/>
              </w:rPr>
              <w:t>insumo</w:t>
            </w:r>
          </w:p>
        </w:tc>
        <w:tc>
          <w:tcPr>
            <w:tcW w:w="1125" w:type="dxa"/>
          </w:tcPr>
          <w:p>
            <w:pPr>
              <w:pStyle w:val="TableParagraph"/>
              <w:rPr>
                <w:rFonts w:ascii="Times New Roman"/>
                <w:b/>
                <w:sz w:val="10"/>
              </w:rPr>
            </w:pPr>
          </w:p>
          <w:p>
            <w:pPr>
              <w:pStyle w:val="TableParagraph"/>
              <w:spacing w:before="111"/>
              <w:rPr>
                <w:rFonts w:ascii="Times New Roman"/>
                <w:b/>
                <w:sz w:val="10"/>
              </w:rPr>
            </w:pPr>
          </w:p>
          <w:p>
            <w:pPr>
              <w:pStyle w:val="TableParagraph"/>
              <w:ind w:left="78"/>
              <w:rPr>
                <w:rFonts w:ascii="Arial" w:hAnsi="Arial"/>
                <w:b/>
                <w:sz w:val="10"/>
              </w:rPr>
            </w:pPr>
            <w:r>
              <w:rPr>
                <w:rFonts w:ascii="Arial" w:hAnsi="Arial"/>
                <w:b/>
                <w:spacing w:val="-2"/>
                <w:sz w:val="10"/>
              </w:rPr>
              <w:t>Características</w:t>
            </w:r>
          </w:p>
        </w:tc>
        <w:tc>
          <w:tcPr>
            <w:tcW w:w="810" w:type="dxa"/>
          </w:tcPr>
          <w:p>
            <w:pPr>
              <w:pStyle w:val="TableParagraph"/>
              <w:rPr>
                <w:rFonts w:ascii="Times New Roman"/>
                <w:b/>
                <w:sz w:val="10"/>
              </w:rPr>
            </w:pPr>
          </w:p>
          <w:p>
            <w:pPr>
              <w:pStyle w:val="TableParagraph"/>
              <w:spacing w:before="111"/>
              <w:rPr>
                <w:rFonts w:ascii="Times New Roman"/>
                <w:b/>
                <w:sz w:val="10"/>
              </w:rPr>
            </w:pPr>
          </w:p>
          <w:p>
            <w:pPr>
              <w:pStyle w:val="TableParagraph"/>
              <w:ind w:left="85"/>
              <w:rPr>
                <w:rFonts w:ascii="Arial"/>
                <w:b/>
                <w:sz w:val="10"/>
              </w:rPr>
            </w:pPr>
            <w:r>
              <w:rPr>
                <w:rFonts w:ascii="Arial"/>
                <w:b/>
                <w:spacing w:val="-2"/>
                <w:sz w:val="10"/>
              </w:rPr>
              <w:t>Cantidad</w:t>
            </w:r>
          </w:p>
        </w:tc>
        <w:tc>
          <w:tcPr>
            <w:tcW w:w="645" w:type="dxa"/>
          </w:tcPr>
          <w:p>
            <w:pPr>
              <w:pStyle w:val="TableParagraph"/>
              <w:rPr>
                <w:rFonts w:ascii="Times New Roman"/>
                <w:b/>
                <w:sz w:val="10"/>
              </w:rPr>
            </w:pPr>
          </w:p>
          <w:p>
            <w:pPr>
              <w:pStyle w:val="TableParagraph"/>
              <w:spacing w:before="111"/>
              <w:rPr>
                <w:rFonts w:ascii="Times New Roman"/>
                <w:b/>
                <w:sz w:val="10"/>
              </w:rPr>
            </w:pPr>
          </w:p>
          <w:p>
            <w:pPr>
              <w:pStyle w:val="TableParagraph"/>
              <w:ind w:left="80"/>
              <w:rPr>
                <w:rFonts w:ascii="Arial"/>
                <w:b/>
                <w:sz w:val="10"/>
              </w:rPr>
            </w:pPr>
            <w:r>
              <w:rPr>
                <w:rFonts w:ascii="Arial"/>
                <w:b/>
                <w:spacing w:val="-2"/>
                <w:sz w:val="10"/>
              </w:rPr>
              <w:t>Precio</w:t>
            </w:r>
          </w:p>
        </w:tc>
        <w:tc>
          <w:tcPr>
            <w:tcW w:w="660" w:type="dxa"/>
          </w:tcPr>
          <w:p>
            <w:pPr>
              <w:pStyle w:val="TableParagraph"/>
              <w:rPr>
                <w:rFonts w:ascii="Times New Roman"/>
                <w:b/>
                <w:sz w:val="10"/>
              </w:rPr>
            </w:pPr>
          </w:p>
          <w:p>
            <w:pPr>
              <w:pStyle w:val="TableParagraph"/>
              <w:spacing w:before="59"/>
              <w:rPr>
                <w:rFonts w:ascii="Times New Roman"/>
                <w:b/>
                <w:sz w:val="10"/>
              </w:rPr>
            </w:pPr>
          </w:p>
          <w:p>
            <w:pPr>
              <w:pStyle w:val="TableParagraph"/>
              <w:spacing w:line="218" w:lineRule="auto"/>
              <w:ind w:left="85" w:right="71"/>
              <w:rPr>
                <w:rFonts w:ascii="Arial"/>
                <w:b/>
                <w:sz w:val="10"/>
              </w:rPr>
            </w:pPr>
            <w:r>
              <w:rPr>
                <w:rFonts w:ascii="Arial"/>
                <w:b/>
                <w:spacing w:val="-4"/>
                <w:sz w:val="10"/>
              </w:rPr>
              <w:t>Monto</w:t>
            </w:r>
            <w:r>
              <w:rPr>
                <w:rFonts w:ascii="Arial"/>
                <w:b/>
                <w:spacing w:val="40"/>
                <w:sz w:val="10"/>
              </w:rPr>
              <w:t> </w:t>
            </w:r>
            <w:r>
              <w:rPr>
                <w:rFonts w:ascii="Arial"/>
                <w:b/>
                <w:spacing w:val="-2"/>
                <w:sz w:val="10"/>
              </w:rPr>
              <w:t>Total</w:t>
            </w:r>
          </w:p>
        </w:tc>
        <w:tc>
          <w:tcPr>
            <w:tcW w:w="424" w:type="dxa"/>
            <w:vMerge/>
            <w:tcBorders>
              <w:top w:val="nil"/>
              <w:right w:val="nil"/>
            </w:tcBorders>
          </w:tcPr>
          <w:p>
            <w:pPr>
              <w:rPr>
                <w:sz w:val="2"/>
                <w:szCs w:val="2"/>
              </w:rPr>
            </w:pPr>
          </w:p>
        </w:tc>
        <w:tc>
          <w:tcPr>
            <w:tcW w:w="237" w:type="dxa"/>
            <w:vMerge/>
            <w:tcBorders>
              <w:top w:val="nil"/>
              <w:left w:val="nil"/>
            </w:tcBorders>
          </w:tcPr>
          <w:p>
            <w:pPr>
              <w:rPr>
                <w:sz w:val="2"/>
                <w:szCs w:val="2"/>
              </w:rPr>
            </w:pPr>
          </w:p>
        </w:tc>
        <w:tc>
          <w:tcPr>
            <w:tcW w:w="652" w:type="dxa"/>
            <w:vMerge/>
            <w:tcBorders>
              <w:top w:val="nil"/>
              <w:right w:val="nil"/>
            </w:tcBorders>
          </w:tcPr>
          <w:p>
            <w:pPr>
              <w:rPr>
                <w:sz w:val="2"/>
                <w:szCs w:val="2"/>
              </w:rPr>
            </w:pPr>
          </w:p>
        </w:tc>
        <w:tc>
          <w:tcPr>
            <w:tcW w:w="249" w:type="dxa"/>
            <w:vMerge/>
            <w:tcBorders>
              <w:top w:val="nil"/>
              <w:left w:val="nil"/>
            </w:tcBorders>
          </w:tcPr>
          <w:p>
            <w:pPr>
              <w:rPr>
                <w:sz w:val="2"/>
                <w:szCs w:val="2"/>
              </w:rPr>
            </w:pPr>
          </w:p>
        </w:tc>
      </w:tr>
      <w:tr>
        <w:trPr>
          <w:trHeight w:val="494" w:hRule="atLeast"/>
        </w:trPr>
        <w:tc>
          <w:tcPr>
            <w:tcW w:w="1050" w:type="dxa"/>
          </w:tcPr>
          <w:p>
            <w:pPr>
              <w:pStyle w:val="TableParagraph"/>
              <w:rPr>
                <w:rFonts w:ascii="Times New Roman"/>
                <w:sz w:val="16"/>
              </w:rPr>
            </w:pPr>
          </w:p>
        </w:tc>
        <w:tc>
          <w:tcPr>
            <w:tcW w:w="810" w:type="dxa"/>
          </w:tcPr>
          <w:p>
            <w:pPr>
              <w:pStyle w:val="TableParagraph"/>
              <w:rPr>
                <w:rFonts w:ascii="Times New Roman"/>
                <w:sz w:val="16"/>
              </w:rPr>
            </w:pPr>
          </w:p>
        </w:tc>
        <w:tc>
          <w:tcPr>
            <w:tcW w:w="975" w:type="dxa"/>
          </w:tcPr>
          <w:p>
            <w:pPr>
              <w:pStyle w:val="TableParagraph"/>
              <w:rPr>
                <w:rFonts w:ascii="Times New Roman"/>
                <w:sz w:val="16"/>
              </w:rPr>
            </w:pPr>
          </w:p>
        </w:tc>
        <w:tc>
          <w:tcPr>
            <w:tcW w:w="944" w:type="dxa"/>
            <w:gridSpan w:val="2"/>
          </w:tcPr>
          <w:p>
            <w:pPr>
              <w:pStyle w:val="TableParagraph"/>
              <w:rPr>
                <w:rFonts w:ascii="Times New Roman"/>
                <w:sz w:val="16"/>
              </w:rPr>
            </w:pPr>
          </w:p>
        </w:tc>
        <w:tc>
          <w:tcPr>
            <w:tcW w:w="809" w:type="dxa"/>
            <w:gridSpan w:val="2"/>
          </w:tcPr>
          <w:p>
            <w:pPr>
              <w:pStyle w:val="TableParagraph"/>
              <w:rPr>
                <w:rFonts w:ascii="Times New Roman"/>
                <w:sz w:val="16"/>
              </w:rPr>
            </w:pPr>
          </w:p>
        </w:tc>
        <w:tc>
          <w:tcPr>
            <w:tcW w:w="945" w:type="dxa"/>
          </w:tcPr>
          <w:p>
            <w:pPr>
              <w:pStyle w:val="TableParagraph"/>
              <w:rPr>
                <w:rFonts w:ascii="Times New Roman"/>
                <w:sz w:val="16"/>
              </w:rPr>
            </w:pPr>
          </w:p>
        </w:tc>
        <w:tc>
          <w:tcPr>
            <w:tcW w:w="1125" w:type="dxa"/>
          </w:tcPr>
          <w:p>
            <w:pPr>
              <w:pStyle w:val="TableParagraph"/>
              <w:rPr>
                <w:rFonts w:ascii="Times New Roman"/>
                <w:sz w:val="16"/>
              </w:rPr>
            </w:pPr>
          </w:p>
        </w:tc>
        <w:tc>
          <w:tcPr>
            <w:tcW w:w="810" w:type="dxa"/>
          </w:tcPr>
          <w:p>
            <w:pPr>
              <w:pStyle w:val="TableParagraph"/>
              <w:rPr>
                <w:rFonts w:ascii="Times New Roman"/>
                <w:sz w:val="16"/>
              </w:rPr>
            </w:pPr>
          </w:p>
        </w:tc>
        <w:tc>
          <w:tcPr>
            <w:tcW w:w="645" w:type="dxa"/>
          </w:tcPr>
          <w:p>
            <w:pPr>
              <w:pStyle w:val="TableParagraph"/>
              <w:rPr>
                <w:rFonts w:ascii="Times New Roman"/>
                <w:sz w:val="16"/>
              </w:rPr>
            </w:pPr>
          </w:p>
        </w:tc>
        <w:tc>
          <w:tcPr>
            <w:tcW w:w="660" w:type="dxa"/>
          </w:tcPr>
          <w:p>
            <w:pPr>
              <w:pStyle w:val="TableParagraph"/>
              <w:rPr>
                <w:rFonts w:ascii="Times New Roman"/>
                <w:sz w:val="16"/>
              </w:rPr>
            </w:pPr>
          </w:p>
        </w:tc>
        <w:tc>
          <w:tcPr>
            <w:tcW w:w="661" w:type="dxa"/>
            <w:gridSpan w:val="2"/>
          </w:tcPr>
          <w:p>
            <w:pPr>
              <w:pStyle w:val="TableParagraph"/>
              <w:rPr>
                <w:rFonts w:ascii="Times New Roman"/>
                <w:sz w:val="16"/>
              </w:rPr>
            </w:pPr>
          </w:p>
        </w:tc>
        <w:tc>
          <w:tcPr>
            <w:tcW w:w="901" w:type="dxa"/>
            <w:gridSpan w:val="2"/>
          </w:tcPr>
          <w:p>
            <w:pPr>
              <w:pStyle w:val="TableParagraph"/>
              <w:rPr>
                <w:rFonts w:ascii="Times New Roman"/>
                <w:sz w:val="16"/>
              </w:rPr>
            </w:pPr>
          </w:p>
        </w:tc>
      </w:tr>
      <w:tr>
        <w:trPr>
          <w:trHeight w:val="479" w:hRule="atLeast"/>
        </w:trPr>
        <w:tc>
          <w:tcPr>
            <w:tcW w:w="1050" w:type="dxa"/>
          </w:tcPr>
          <w:p>
            <w:pPr>
              <w:pStyle w:val="TableParagraph"/>
              <w:rPr>
                <w:rFonts w:ascii="Times New Roman"/>
                <w:sz w:val="16"/>
              </w:rPr>
            </w:pPr>
          </w:p>
        </w:tc>
        <w:tc>
          <w:tcPr>
            <w:tcW w:w="810" w:type="dxa"/>
          </w:tcPr>
          <w:p>
            <w:pPr>
              <w:pStyle w:val="TableParagraph"/>
              <w:rPr>
                <w:rFonts w:ascii="Times New Roman"/>
                <w:sz w:val="16"/>
              </w:rPr>
            </w:pPr>
          </w:p>
        </w:tc>
        <w:tc>
          <w:tcPr>
            <w:tcW w:w="975" w:type="dxa"/>
          </w:tcPr>
          <w:p>
            <w:pPr>
              <w:pStyle w:val="TableParagraph"/>
              <w:rPr>
                <w:rFonts w:ascii="Times New Roman"/>
                <w:sz w:val="16"/>
              </w:rPr>
            </w:pPr>
          </w:p>
        </w:tc>
        <w:tc>
          <w:tcPr>
            <w:tcW w:w="944" w:type="dxa"/>
            <w:gridSpan w:val="2"/>
          </w:tcPr>
          <w:p>
            <w:pPr>
              <w:pStyle w:val="TableParagraph"/>
              <w:rPr>
                <w:rFonts w:ascii="Times New Roman"/>
                <w:sz w:val="16"/>
              </w:rPr>
            </w:pPr>
          </w:p>
        </w:tc>
        <w:tc>
          <w:tcPr>
            <w:tcW w:w="809" w:type="dxa"/>
            <w:gridSpan w:val="2"/>
          </w:tcPr>
          <w:p>
            <w:pPr>
              <w:pStyle w:val="TableParagraph"/>
              <w:rPr>
                <w:rFonts w:ascii="Times New Roman"/>
                <w:sz w:val="16"/>
              </w:rPr>
            </w:pPr>
          </w:p>
        </w:tc>
        <w:tc>
          <w:tcPr>
            <w:tcW w:w="945" w:type="dxa"/>
          </w:tcPr>
          <w:p>
            <w:pPr>
              <w:pStyle w:val="TableParagraph"/>
              <w:rPr>
                <w:rFonts w:ascii="Times New Roman"/>
                <w:sz w:val="16"/>
              </w:rPr>
            </w:pPr>
          </w:p>
        </w:tc>
        <w:tc>
          <w:tcPr>
            <w:tcW w:w="1125" w:type="dxa"/>
          </w:tcPr>
          <w:p>
            <w:pPr>
              <w:pStyle w:val="TableParagraph"/>
              <w:rPr>
                <w:rFonts w:ascii="Times New Roman"/>
                <w:sz w:val="16"/>
              </w:rPr>
            </w:pPr>
          </w:p>
        </w:tc>
        <w:tc>
          <w:tcPr>
            <w:tcW w:w="810" w:type="dxa"/>
          </w:tcPr>
          <w:p>
            <w:pPr>
              <w:pStyle w:val="TableParagraph"/>
              <w:rPr>
                <w:rFonts w:ascii="Times New Roman"/>
                <w:sz w:val="16"/>
              </w:rPr>
            </w:pPr>
          </w:p>
        </w:tc>
        <w:tc>
          <w:tcPr>
            <w:tcW w:w="645" w:type="dxa"/>
          </w:tcPr>
          <w:p>
            <w:pPr>
              <w:pStyle w:val="TableParagraph"/>
              <w:rPr>
                <w:rFonts w:ascii="Times New Roman"/>
                <w:sz w:val="16"/>
              </w:rPr>
            </w:pPr>
          </w:p>
        </w:tc>
        <w:tc>
          <w:tcPr>
            <w:tcW w:w="660" w:type="dxa"/>
          </w:tcPr>
          <w:p>
            <w:pPr>
              <w:pStyle w:val="TableParagraph"/>
              <w:rPr>
                <w:rFonts w:ascii="Times New Roman"/>
                <w:sz w:val="16"/>
              </w:rPr>
            </w:pPr>
          </w:p>
        </w:tc>
        <w:tc>
          <w:tcPr>
            <w:tcW w:w="661" w:type="dxa"/>
            <w:gridSpan w:val="2"/>
          </w:tcPr>
          <w:p>
            <w:pPr>
              <w:pStyle w:val="TableParagraph"/>
              <w:rPr>
                <w:rFonts w:ascii="Times New Roman"/>
                <w:sz w:val="16"/>
              </w:rPr>
            </w:pPr>
          </w:p>
        </w:tc>
        <w:tc>
          <w:tcPr>
            <w:tcW w:w="901" w:type="dxa"/>
            <w:gridSpan w:val="2"/>
          </w:tcPr>
          <w:p>
            <w:pPr>
              <w:pStyle w:val="TableParagraph"/>
              <w:rPr>
                <w:rFonts w:ascii="Times New Roman"/>
                <w:sz w:val="16"/>
              </w:rPr>
            </w:pPr>
          </w:p>
        </w:tc>
      </w:tr>
      <w:tr>
        <w:trPr>
          <w:trHeight w:val="314" w:hRule="atLeast"/>
        </w:trPr>
        <w:tc>
          <w:tcPr>
            <w:tcW w:w="1050" w:type="dxa"/>
            <w:tcBorders>
              <w:bottom w:val="nil"/>
            </w:tcBorders>
          </w:tcPr>
          <w:p>
            <w:pPr>
              <w:pStyle w:val="TableParagraph"/>
              <w:rPr>
                <w:rFonts w:ascii="Times New Roman"/>
                <w:sz w:val="16"/>
              </w:rPr>
            </w:pPr>
          </w:p>
        </w:tc>
        <w:tc>
          <w:tcPr>
            <w:tcW w:w="810" w:type="dxa"/>
            <w:tcBorders>
              <w:bottom w:val="nil"/>
            </w:tcBorders>
          </w:tcPr>
          <w:p>
            <w:pPr>
              <w:pStyle w:val="TableParagraph"/>
              <w:rPr>
                <w:rFonts w:ascii="Times New Roman"/>
                <w:sz w:val="16"/>
              </w:rPr>
            </w:pPr>
          </w:p>
        </w:tc>
        <w:tc>
          <w:tcPr>
            <w:tcW w:w="975" w:type="dxa"/>
            <w:tcBorders>
              <w:bottom w:val="nil"/>
            </w:tcBorders>
          </w:tcPr>
          <w:p>
            <w:pPr>
              <w:pStyle w:val="TableParagraph"/>
              <w:rPr>
                <w:rFonts w:ascii="Times New Roman"/>
                <w:sz w:val="16"/>
              </w:rPr>
            </w:pPr>
          </w:p>
        </w:tc>
        <w:tc>
          <w:tcPr>
            <w:tcW w:w="944" w:type="dxa"/>
            <w:gridSpan w:val="2"/>
            <w:tcBorders>
              <w:bottom w:val="nil"/>
            </w:tcBorders>
          </w:tcPr>
          <w:p>
            <w:pPr>
              <w:pStyle w:val="TableParagraph"/>
              <w:rPr>
                <w:rFonts w:ascii="Times New Roman"/>
                <w:sz w:val="16"/>
              </w:rPr>
            </w:pPr>
          </w:p>
        </w:tc>
        <w:tc>
          <w:tcPr>
            <w:tcW w:w="809" w:type="dxa"/>
            <w:gridSpan w:val="2"/>
            <w:tcBorders>
              <w:bottom w:val="nil"/>
            </w:tcBorders>
          </w:tcPr>
          <w:p>
            <w:pPr>
              <w:pStyle w:val="TableParagraph"/>
              <w:rPr>
                <w:rFonts w:ascii="Times New Roman"/>
                <w:sz w:val="16"/>
              </w:rPr>
            </w:pPr>
          </w:p>
        </w:tc>
        <w:tc>
          <w:tcPr>
            <w:tcW w:w="945" w:type="dxa"/>
            <w:tcBorders>
              <w:bottom w:val="nil"/>
            </w:tcBorders>
          </w:tcPr>
          <w:p>
            <w:pPr>
              <w:pStyle w:val="TableParagraph"/>
              <w:rPr>
                <w:rFonts w:ascii="Times New Roman"/>
                <w:sz w:val="16"/>
              </w:rPr>
            </w:pPr>
          </w:p>
        </w:tc>
        <w:tc>
          <w:tcPr>
            <w:tcW w:w="1125" w:type="dxa"/>
            <w:tcBorders>
              <w:bottom w:val="nil"/>
            </w:tcBorders>
          </w:tcPr>
          <w:p>
            <w:pPr>
              <w:pStyle w:val="TableParagraph"/>
              <w:rPr>
                <w:rFonts w:ascii="Times New Roman"/>
                <w:sz w:val="16"/>
              </w:rPr>
            </w:pPr>
          </w:p>
        </w:tc>
        <w:tc>
          <w:tcPr>
            <w:tcW w:w="810" w:type="dxa"/>
            <w:tcBorders>
              <w:bottom w:val="nil"/>
            </w:tcBorders>
          </w:tcPr>
          <w:p>
            <w:pPr>
              <w:pStyle w:val="TableParagraph"/>
              <w:rPr>
                <w:rFonts w:ascii="Times New Roman"/>
                <w:sz w:val="16"/>
              </w:rPr>
            </w:pPr>
          </w:p>
        </w:tc>
        <w:tc>
          <w:tcPr>
            <w:tcW w:w="645" w:type="dxa"/>
            <w:tcBorders>
              <w:bottom w:val="nil"/>
            </w:tcBorders>
          </w:tcPr>
          <w:p>
            <w:pPr>
              <w:pStyle w:val="TableParagraph"/>
              <w:rPr>
                <w:rFonts w:ascii="Times New Roman"/>
                <w:sz w:val="16"/>
              </w:rPr>
            </w:pPr>
          </w:p>
        </w:tc>
        <w:tc>
          <w:tcPr>
            <w:tcW w:w="660" w:type="dxa"/>
            <w:tcBorders>
              <w:bottom w:val="nil"/>
            </w:tcBorders>
          </w:tcPr>
          <w:p>
            <w:pPr>
              <w:pStyle w:val="TableParagraph"/>
              <w:rPr>
                <w:rFonts w:ascii="Times New Roman"/>
                <w:sz w:val="16"/>
              </w:rPr>
            </w:pPr>
          </w:p>
        </w:tc>
        <w:tc>
          <w:tcPr>
            <w:tcW w:w="661" w:type="dxa"/>
            <w:gridSpan w:val="2"/>
            <w:tcBorders>
              <w:bottom w:val="nil"/>
            </w:tcBorders>
          </w:tcPr>
          <w:p>
            <w:pPr>
              <w:pStyle w:val="TableParagraph"/>
              <w:rPr>
                <w:rFonts w:ascii="Times New Roman"/>
                <w:sz w:val="16"/>
              </w:rPr>
            </w:pPr>
          </w:p>
        </w:tc>
        <w:tc>
          <w:tcPr>
            <w:tcW w:w="901" w:type="dxa"/>
            <w:gridSpan w:val="2"/>
            <w:tcBorders>
              <w:bottom w:val="nil"/>
            </w:tcBorders>
          </w:tcPr>
          <w:p>
            <w:pPr>
              <w:pStyle w:val="TableParagraph"/>
              <w:rPr>
                <w:rFonts w:ascii="Times New Roman"/>
                <w:sz w:val="16"/>
              </w:rPr>
            </w:pPr>
          </w:p>
        </w:tc>
      </w:tr>
    </w:tbl>
    <w:p>
      <w:pPr>
        <w:spacing w:after="0"/>
        <w:rPr>
          <w:rFonts w:ascii="Times New Roman"/>
          <w:sz w:val="16"/>
        </w:rPr>
        <w:sectPr>
          <w:type w:val="continuous"/>
          <w:pgSz w:w="12240" w:h="15840"/>
          <w:pgMar w:header="269" w:footer="260" w:top="460" w:bottom="440" w:left="860" w:right="720"/>
        </w:sectPr>
      </w:pPr>
    </w:p>
    <w:p>
      <w:pPr>
        <w:pStyle w:val="BodyText"/>
        <w:spacing w:before="9"/>
        <w:ind w:left="0" w:right="0" w:firstLine="0"/>
        <w:jc w:val="left"/>
        <w:rPr>
          <w:rFonts w:ascii="Times New Roman"/>
          <w:b/>
          <w:sz w:val="6"/>
        </w:rPr>
      </w:pPr>
    </w:p>
    <w:tbl>
      <w:tblPr>
        <w:tblW w:w="0" w:type="auto"/>
        <w:jc w:val="left"/>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0"/>
        <w:gridCol w:w="810"/>
        <w:gridCol w:w="975"/>
        <w:gridCol w:w="945"/>
        <w:gridCol w:w="810"/>
        <w:gridCol w:w="945"/>
        <w:gridCol w:w="1125"/>
        <w:gridCol w:w="810"/>
        <w:gridCol w:w="645"/>
        <w:gridCol w:w="660"/>
        <w:gridCol w:w="660"/>
        <w:gridCol w:w="900"/>
      </w:tblGrid>
      <w:tr>
        <w:trPr>
          <w:trHeight w:val="179" w:hRule="atLeast"/>
        </w:trPr>
        <w:tc>
          <w:tcPr>
            <w:tcW w:w="1050" w:type="dxa"/>
            <w:tcBorders>
              <w:top w:val="nil"/>
            </w:tcBorders>
          </w:tcPr>
          <w:p>
            <w:pPr>
              <w:pStyle w:val="TableParagraph"/>
              <w:rPr>
                <w:rFonts w:ascii="Times New Roman"/>
                <w:sz w:val="12"/>
              </w:rPr>
            </w:pPr>
          </w:p>
        </w:tc>
        <w:tc>
          <w:tcPr>
            <w:tcW w:w="810" w:type="dxa"/>
            <w:tcBorders>
              <w:top w:val="nil"/>
            </w:tcBorders>
          </w:tcPr>
          <w:p>
            <w:pPr>
              <w:pStyle w:val="TableParagraph"/>
              <w:rPr>
                <w:rFonts w:ascii="Times New Roman"/>
                <w:sz w:val="12"/>
              </w:rPr>
            </w:pPr>
          </w:p>
        </w:tc>
        <w:tc>
          <w:tcPr>
            <w:tcW w:w="975" w:type="dxa"/>
            <w:tcBorders>
              <w:top w:val="nil"/>
            </w:tcBorders>
          </w:tcPr>
          <w:p>
            <w:pPr>
              <w:pStyle w:val="TableParagraph"/>
              <w:rPr>
                <w:rFonts w:ascii="Times New Roman"/>
                <w:sz w:val="12"/>
              </w:rPr>
            </w:pPr>
          </w:p>
        </w:tc>
        <w:tc>
          <w:tcPr>
            <w:tcW w:w="945" w:type="dxa"/>
            <w:tcBorders>
              <w:top w:val="nil"/>
            </w:tcBorders>
          </w:tcPr>
          <w:p>
            <w:pPr>
              <w:pStyle w:val="TableParagraph"/>
              <w:rPr>
                <w:rFonts w:ascii="Times New Roman"/>
                <w:sz w:val="12"/>
              </w:rPr>
            </w:pPr>
          </w:p>
        </w:tc>
        <w:tc>
          <w:tcPr>
            <w:tcW w:w="810" w:type="dxa"/>
            <w:tcBorders>
              <w:top w:val="nil"/>
            </w:tcBorders>
          </w:tcPr>
          <w:p>
            <w:pPr>
              <w:pStyle w:val="TableParagraph"/>
              <w:rPr>
                <w:rFonts w:ascii="Times New Roman"/>
                <w:sz w:val="12"/>
              </w:rPr>
            </w:pPr>
          </w:p>
        </w:tc>
        <w:tc>
          <w:tcPr>
            <w:tcW w:w="945" w:type="dxa"/>
            <w:tcBorders>
              <w:top w:val="nil"/>
            </w:tcBorders>
          </w:tcPr>
          <w:p>
            <w:pPr>
              <w:pStyle w:val="TableParagraph"/>
              <w:rPr>
                <w:rFonts w:ascii="Times New Roman"/>
                <w:sz w:val="12"/>
              </w:rPr>
            </w:pPr>
          </w:p>
        </w:tc>
        <w:tc>
          <w:tcPr>
            <w:tcW w:w="1125" w:type="dxa"/>
            <w:tcBorders>
              <w:top w:val="nil"/>
            </w:tcBorders>
          </w:tcPr>
          <w:p>
            <w:pPr>
              <w:pStyle w:val="TableParagraph"/>
              <w:rPr>
                <w:rFonts w:ascii="Times New Roman"/>
                <w:sz w:val="12"/>
              </w:rPr>
            </w:pPr>
          </w:p>
        </w:tc>
        <w:tc>
          <w:tcPr>
            <w:tcW w:w="810" w:type="dxa"/>
            <w:tcBorders>
              <w:top w:val="nil"/>
            </w:tcBorders>
          </w:tcPr>
          <w:p>
            <w:pPr>
              <w:pStyle w:val="TableParagraph"/>
              <w:rPr>
                <w:rFonts w:ascii="Times New Roman"/>
                <w:sz w:val="12"/>
              </w:rPr>
            </w:pPr>
          </w:p>
        </w:tc>
        <w:tc>
          <w:tcPr>
            <w:tcW w:w="645" w:type="dxa"/>
            <w:tcBorders>
              <w:top w:val="nil"/>
            </w:tcBorders>
          </w:tcPr>
          <w:p>
            <w:pPr>
              <w:pStyle w:val="TableParagraph"/>
              <w:rPr>
                <w:rFonts w:ascii="Times New Roman"/>
                <w:sz w:val="12"/>
              </w:rPr>
            </w:pPr>
          </w:p>
        </w:tc>
        <w:tc>
          <w:tcPr>
            <w:tcW w:w="660" w:type="dxa"/>
            <w:tcBorders>
              <w:top w:val="nil"/>
            </w:tcBorders>
          </w:tcPr>
          <w:p>
            <w:pPr>
              <w:pStyle w:val="TableParagraph"/>
              <w:rPr>
                <w:rFonts w:ascii="Times New Roman"/>
                <w:sz w:val="12"/>
              </w:rPr>
            </w:pPr>
          </w:p>
        </w:tc>
        <w:tc>
          <w:tcPr>
            <w:tcW w:w="660" w:type="dxa"/>
            <w:tcBorders>
              <w:top w:val="nil"/>
            </w:tcBorders>
          </w:tcPr>
          <w:p>
            <w:pPr>
              <w:pStyle w:val="TableParagraph"/>
              <w:rPr>
                <w:rFonts w:ascii="Times New Roman"/>
                <w:sz w:val="12"/>
              </w:rPr>
            </w:pPr>
          </w:p>
        </w:tc>
        <w:tc>
          <w:tcPr>
            <w:tcW w:w="900" w:type="dxa"/>
            <w:tcBorders>
              <w:top w:val="nil"/>
            </w:tcBorders>
          </w:tcPr>
          <w:p>
            <w:pPr>
              <w:pStyle w:val="TableParagraph"/>
              <w:rPr>
                <w:rFonts w:ascii="Times New Roman"/>
                <w:sz w:val="12"/>
              </w:rPr>
            </w:pPr>
          </w:p>
        </w:tc>
      </w:tr>
      <w:tr>
        <w:trPr>
          <w:trHeight w:val="479" w:hRule="atLeast"/>
        </w:trPr>
        <w:tc>
          <w:tcPr>
            <w:tcW w:w="1050" w:type="dxa"/>
          </w:tcPr>
          <w:p>
            <w:pPr>
              <w:pStyle w:val="TableParagraph"/>
              <w:rPr>
                <w:rFonts w:ascii="Times New Roman"/>
                <w:sz w:val="16"/>
              </w:rPr>
            </w:pPr>
          </w:p>
        </w:tc>
        <w:tc>
          <w:tcPr>
            <w:tcW w:w="810" w:type="dxa"/>
          </w:tcPr>
          <w:p>
            <w:pPr>
              <w:pStyle w:val="TableParagraph"/>
              <w:rPr>
                <w:rFonts w:ascii="Times New Roman"/>
                <w:sz w:val="16"/>
              </w:rPr>
            </w:pPr>
          </w:p>
        </w:tc>
        <w:tc>
          <w:tcPr>
            <w:tcW w:w="975" w:type="dxa"/>
          </w:tcPr>
          <w:p>
            <w:pPr>
              <w:pStyle w:val="TableParagraph"/>
              <w:rPr>
                <w:rFonts w:ascii="Times New Roman"/>
                <w:sz w:val="16"/>
              </w:rPr>
            </w:pPr>
          </w:p>
        </w:tc>
        <w:tc>
          <w:tcPr>
            <w:tcW w:w="945" w:type="dxa"/>
          </w:tcPr>
          <w:p>
            <w:pPr>
              <w:pStyle w:val="TableParagraph"/>
              <w:rPr>
                <w:rFonts w:ascii="Times New Roman"/>
                <w:sz w:val="16"/>
              </w:rPr>
            </w:pPr>
          </w:p>
        </w:tc>
        <w:tc>
          <w:tcPr>
            <w:tcW w:w="810" w:type="dxa"/>
          </w:tcPr>
          <w:p>
            <w:pPr>
              <w:pStyle w:val="TableParagraph"/>
              <w:rPr>
                <w:rFonts w:ascii="Times New Roman"/>
                <w:sz w:val="16"/>
              </w:rPr>
            </w:pPr>
          </w:p>
        </w:tc>
        <w:tc>
          <w:tcPr>
            <w:tcW w:w="945" w:type="dxa"/>
          </w:tcPr>
          <w:p>
            <w:pPr>
              <w:pStyle w:val="TableParagraph"/>
              <w:rPr>
                <w:rFonts w:ascii="Times New Roman"/>
                <w:sz w:val="16"/>
              </w:rPr>
            </w:pPr>
          </w:p>
        </w:tc>
        <w:tc>
          <w:tcPr>
            <w:tcW w:w="1125" w:type="dxa"/>
          </w:tcPr>
          <w:p>
            <w:pPr>
              <w:pStyle w:val="TableParagraph"/>
              <w:rPr>
                <w:rFonts w:ascii="Times New Roman"/>
                <w:sz w:val="16"/>
              </w:rPr>
            </w:pPr>
          </w:p>
        </w:tc>
        <w:tc>
          <w:tcPr>
            <w:tcW w:w="810" w:type="dxa"/>
          </w:tcPr>
          <w:p>
            <w:pPr>
              <w:pStyle w:val="TableParagraph"/>
              <w:rPr>
                <w:rFonts w:ascii="Times New Roman"/>
                <w:sz w:val="16"/>
              </w:rPr>
            </w:pPr>
          </w:p>
        </w:tc>
        <w:tc>
          <w:tcPr>
            <w:tcW w:w="645" w:type="dxa"/>
          </w:tcPr>
          <w:p>
            <w:pPr>
              <w:pStyle w:val="TableParagraph"/>
              <w:rPr>
                <w:rFonts w:ascii="Times New Roman"/>
                <w:sz w:val="16"/>
              </w:rPr>
            </w:pPr>
          </w:p>
        </w:tc>
        <w:tc>
          <w:tcPr>
            <w:tcW w:w="660" w:type="dxa"/>
          </w:tcPr>
          <w:p>
            <w:pPr>
              <w:pStyle w:val="TableParagraph"/>
              <w:rPr>
                <w:rFonts w:ascii="Times New Roman"/>
                <w:sz w:val="16"/>
              </w:rPr>
            </w:pPr>
          </w:p>
        </w:tc>
        <w:tc>
          <w:tcPr>
            <w:tcW w:w="660" w:type="dxa"/>
          </w:tcPr>
          <w:p>
            <w:pPr>
              <w:pStyle w:val="TableParagraph"/>
              <w:rPr>
                <w:rFonts w:ascii="Times New Roman"/>
                <w:sz w:val="16"/>
              </w:rPr>
            </w:pPr>
          </w:p>
        </w:tc>
        <w:tc>
          <w:tcPr>
            <w:tcW w:w="900" w:type="dxa"/>
          </w:tcPr>
          <w:p>
            <w:pPr>
              <w:pStyle w:val="TableParagraph"/>
              <w:rPr>
                <w:rFonts w:ascii="Times New Roman"/>
                <w:sz w:val="16"/>
              </w:rPr>
            </w:pPr>
          </w:p>
        </w:tc>
      </w:tr>
      <w:tr>
        <w:trPr>
          <w:trHeight w:val="1004" w:hRule="atLeast"/>
        </w:trPr>
        <w:tc>
          <w:tcPr>
            <w:tcW w:w="1050" w:type="dxa"/>
          </w:tcPr>
          <w:p>
            <w:pPr>
              <w:pStyle w:val="TableParagraph"/>
              <w:rPr>
                <w:rFonts w:ascii="Times New Roman"/>
                <w:sz w:val="16"/>
              </w:rPr>
            </w:pPr>
          </w:p>
        </w:tc>
        <w:tc>
          <w:tcPr>
            <w:tcW w:w="810" w:type="dxa"/>
          </w:tcPr>
          <w:p>
            <w:pPr>
              <w:pStyle w:val="TableParagraph"/>
              <w:spacing w:before="16"/>
              <w:rPr>
                <w:rFonts w:ascii="Times New Roman"/>
                <w:b/>
                <w:sz w:val="10"/>
              </w:rPr>
            </w:pPr>
          </w:p>
          <w:p>
            <w:pPr>
              <w:pStyle w:val="TableParagraph"/>
              <w:ind w:left="80"/>
              <w:rPr>
                <w:rFonts w:ascii="Arial"/>
                <w:b/>
                <w:sz w:val="10"/>
              </w:rPr>
            </w:pPr>
            <w:r>
              <w:rPr>
                <w:rFonts w:ascii="Arial"/>
                <w:b/>
                <w:spacing w:val="-2"/>
                <w:sz w:val="10"/>
              </w:rPr>
              <w:t>Total</w:t>
            </w:r>
            <w:r>
              <w:rPr>
                <w:rFonts w:ascii="Arial"/>
                <w:b/>
                <w:spacing w:val="1"/>
                <w:sz w:val="10"/>
              </w:rPr>
              <w:t> </w:t>
            </w:r>
            <w:r>
              <w:rPr>
                <w:rFonts w:ascii="Arial"/>
                <w:b/>
                <w:spacing w:val="-5"/>
                <w:sz w:val="10"/>
              </w:rPr>
              <w:t>CCT</w:t>
            </w:r>
          </w:p>
        </w:tc>
        <w:tc>
          <w:tcPr>
            <w:tcW w:w="975" w:type="dxa"/>
          </w:tcPr>
          <w:p>
            <w:pPr>
              <w:pStyle w:val="TableParagraph"/>
              <w:rPr>
                <w:rFonts w:ascii="Times New Roman"/>
                <w:sz w:val="16"/>
              </w:rPr>
            </w:pPr>
          </w:p>
        </w:tc>
        <w:tc>
          <w:tcPr>
            <w:tcW w:w="945" w:type="dxa"/>
          </w:tcPr>
          <w:p>
            <w:pPr>
              <w:pStyle w:val="TableParagraph"/>
              <w:rPr>
                <w:rFonts w:ascii="Times New Roman"/>
                <w:sz w:val="16"/>
              </w:rPr>
            </w:pPr>
          </w:p>
        </w:tc>
        <w:tc>
          <w:tcPr>
            <w:tcW w:w="810" w:type="dxa"/>
          </w:tcPr>
          <w:p>
            <w:pPr>
              <w:pStyle w:val="TableParagraph"/>
              <w:rPr>
                <w:rFonts w:ascii="Times New Roman"/>
                <w:sz w:val="16"/>
              </w:rPr>
            </w:pPr>
          </w:p>
        </w:tc>
        <w:tc>
          <w:tcPr>
            <w:tcW w:w="945" w:type="dxa"/>
          </w:tcPr>
          <w:p>
            <w:pPr>
              <w:pStyle w:val="TableParagraph"/>
              <w:rPr>
                <w:rFonts w:ascii="Times New Roman"/>
                <w:sz w:val="16"/>
              </w:rPr>
            </w:pPr>
          </w:p>
        </w:tc>
        <w:tc>
          <w:tcPr>
            <w:tcW w:w="1125" w:type="dxa"/>
          </w:tcPr>
          <w:p>
            <w:pPr>
              <w:pStyle w:val="TableParagraph"/>
              <w:rPr>
                <w:rFonts w:ascii="Times New Roman"/>
                <w:sz w:val="16"/>
              </w:rPr>
            </w:pPr>
          </w:p>
        </w:tc>
        <w:tc>
          <w:tcPr>
            <w:tcW w:w="810" w:type="dxa"/>
          </w:tcPr>
          <w:p>
            <w:pPr>
              <w:pStyle w:val="TableParagraph"/>
              <w:rPr>
                <w:rFonts w:ascii="Times New Roman"/>
                <w:sz w:val="16"/>
              </w:rPr>
            </w:pPr>
          </w:p>
        </w:tc>
        <w:tc>
          <w:tcPr>
            <w:tcW w:w="645" w:type="dxa"/>
          </w:tcPr>
          <w:p>
            <w:pPr>
              <w:pStyle w:val="TableParagraph"/>
              <w:rPr>
                <w:rFonts w:ascii="Times New Roman"/>
                <w:sz w:val="16"/>
              </w:rPr>
            </w:pPr>
          </w:p>
        </w:tc>
        <w:tc>
          <w:tcPr>
            <w:tcW w:w="660" w:type="dxa"/>
          </w:tcPr>
          <w:p>
            <w:pPr>
              <w:pStyle w:val="TableParagraph"/>
              <w:spacing w:before="16"/>
              <w:rPr>
                <w:rFonts w:ascii="Times New Roman"/>
                <w:b/>
                <w:sz w:val="10"/>
              </w:rPr>
            </w:pPr>
          </w:p>
          <w:p>
            <w:pPr>
              <w:pStyle w:val="TableParagraph"/>
              <w:ind w:left="83"/>
              <w:rPr>
                <w:rFonts w:ascii="Arial"/>
                <w:b/>
                <w:sz w:val="10"/>
              </w:rPr>
            </w:pPr>
            <w:r>
              <w:rPr>
                <w:rFonts w:ascii="Arial"/>
                <w:b/>
                <w:spacing w:val="-4"/>
                <w:sz w:val="10"/>
              </w:rPr>
              <w:t>0.00</w:t>
            </w:r>
          </w:p>
        </w:tc>
        <w:tc>
          <w:tcPr>
            <w:tcW w:w="660" w:type="dxa"/>
          </w:tcPr>
          <w:p>
            <w:pPr>
              <w:pStyle w:val="TableParagraph"/>
              <w:rPr>
                <w:rFonts w:ascii="Times New Roman"/>
                <w:sz w:val="16"/>
              </w:rPr>
            </w:pPr>
          </w:p>
        </w:tc>
        <w:tc>
          <w:tcPr>
            <w:tcW w:w="900" w:type="dxa"/>
          </w:tcPr>
          <w:p>
            <w:pPr>
              <w:pStyle w:val="TableParagraph"/>
              <w:rPr>
                <w:rFonts w:ascii="Times New Roman"/>
                <w:sz w:val="16"/>
              </w:rPr>
            </w:pPr>
          </w:p>
        </w:tc>
      </w:tr>
    </w:tbl>
    <w:p>
      <w:pPr>
        <w:pStyle w:val="BodyText"/>
        <w:spacing w:before="130"/>
        <w:ind w:left="0" w:right="0" w:firstLine="0"/>
        <w:jc w:val="left"/>
        <w:rPr>
          <w:rFonts w:ascii="Times New Roman"/>
          <w:b/>
          <w:sz w:val="16"/>
        </w:rPr>
      </w:pPr>
    </w:p>
    <w:p>
      <w:pPr>
        <w:spacing w:line="235" w:lineRule="auto" w:before="0"/>
        <w:ind w:left="114" w:right="117" w:firstLine="287"/>
        <w:jc w:val="both"/>
        <w:rPr>
          <w:sz w:val="16"/>
        </w:rPr>
      </w:pPr>
      <w:r>
        <w:rPr>
          <w:sz w:val="16"/>
        </w:rPr>
        <w:t>ÚLTIMA HOJA DEL ANEXO QUE FORMA PARTE INTEGRANTE DEL CONVENIO DE COLABORACIÓN PARA LA OPERACIÓN </w:t>
      </w:r>
      <w:r>
        <w:rPr>
          <w:sz w:val="16"/>
        </w:rPr>
        <w:t>DEL PROGRAMA</w:t>
      </w:r>
      <w:r>
        <w:rPr>
          <w:spacing w:val="-6"/>
          <w:sz w:val="16"/>
        </w:rPr>
        <w:t> </w:t>
      </w:r>
      <w:r>
        <w:rPr>
          <w:sz w:val="16"/>
        </w:rPr>
        <w:t>ATENCIÓN DE PLANTELES PÚBLICOS DE EDUCACIÓN MEDIA SUPERIOR CON ESTUDIANTES CON DISCAPACIDAD PARA EL EJERCICIO FISCAL 2024, CELEBRADO ENTRE EL GOBIERNO FEDERAL, POR CONDUCTO DE LA SECRETARÍA DE EDUCACIÓN PÚBLICA, Y EL ESTADO LIBRE Y SOBERANO DE (NOMBRE DEL ESTADO), DE FECHA</w:t>
      </w:r>
      <w:r>
        <w:rPr>
          <w:spacing w:val="-4"/>
          <w:sz w:val="16"/>
        </w:rPr>
        <w:t> </w:t>
      </w:r>
      <w:r>
        <w:rPr>
          <w:sz w:val="16"/>
        </w:rPr>
        <w:t>(DÍA) DE (MES) DE 2024.</w:t>
      </w:r>
    </w:p>
    <w:p>
      <w:pPr>
        <w:spacing w:before="97"/>
        <w:ind w:left="402" w:right="0" w:firstLine="0"/>
        <w:jc w:val="left"/>
        <w:rPr>
          <w:rFonts w:ascii="Arial"/>
          <w:b/>
          <w:sz w:val="18"/>
        </w:rPr>
      </w:pPr>
      <w:r>
        <w:rPr>
          <w:rFonts w:ascii="Arial"/>
          <w:b/>
          <w:sz w:val="18"/>
        </w:rPr>
        <w:t>Anexo 1d Diagrama de </w:t>
      </w:r>
      <w:r>
        <w:rPr>
          <w:rFonts w:ascii="Arial"/>
          <w:b/>
          <w:spacing w:val="-2"/>
          <w:sz w:val="18"/>
        </w:rPr>
        <w:t>Flujo</w:t>
      </w:r>
    </w:p>
    <w:p>
      <w:pPr>
        <w:pStyle w:val="BodyText"/>
        <w:spacing w:before="10"/>
        <w:ind w:left="0" w:right="0" w:firstLine="0"/>
        <w:jc w:val="left"/>
        <w:rPr>
          <w:rFonts w:ascii="Arial"/>
          <w:b/>
          <w:sz w:val="8"/>
        </w:rPr>
      </w:pPr>
      <w:r>
        <w:rPr/>
        <w:drawing>
          <wp:anchor distT="0" distB="0" distL="0" distR="0" allowOverlap="1" layoutInCell="1" locked="0" behindDoc="1" simplePos="0" relativeHeight="487592960">
            <wp:simplePos x="0" y="0"/>
            <wp:positionH relativeFrom="page">
              <wp:posOffset>1143000</wp:posOffset>
            </wp:positionH>
            <wp:positionV relativeFrom="paragraph">
              <wp:posOffset>80588</wp:posOffset>
            </wp:positionV>
            <wp:extent cx="5581365" cy="5724525"/>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5581365" cy="5724525"/>
                    </a:xfrm>
                    <a:prstGeom prst="rect">
                      <a:avLst/>
                    </a:prstGeom>
                  </pic:spPr>
                </pic:pic>
              </a:graphicData>
            </a:graphic>
          </wp:anchor>
        </w:drawing>
      </w:r>
    </w:p>
    <w:p>
      <w:pPr>
        <w:spacing w:before="116"/>
        <w:ind w:left="402" w:right="0" w:firstLine="0"/>
        <w:jc w:val="left"/>
        <w:rPr>
          <w:rFonts w:ascii="Arial" w:hAnsi="Arial"/>
          <w:b/>
          <w:sz w:val="18"/>
        </w:rPr>
      </w:pPr>
      <w:r>
        <w:rPr>
          <w:rFonts w:ascii="Arial" w:hAnsi="Arial"/>
          <w:b/>
          <w:sz w:val="18"/>
        </w:rPr>
        <w:t>Anexo 1e Modelo de Informe de avances trimestrales físico-</w:t>
      </w:r>
      <w:r>
        <w:rPr>
          <w:rFonts w:ascii="Arial" w:hAnsi="Arial"/>
          <w:b/>
          <w:spacing w:val="-2"/>
          <w:sz w:val="18"/>
        </w:rPr>
        <w:t>presupuestarios</w:t>
      </w:r>
    </w:p>
    <w:p>
      <w:pPr>
        <w:spacing w:after="0"/>
        <w:jc w:val="left"/>
        <w:rPr>
          <w:rFonts w:ascii="Arial" w:hAnsi="Arial"/>
          <w:sz w:val="18"/>
        </w:rPr>
        <w:sectPr>
          <w:pgSz w:w="12240" w:h="15840"/>
          <w:pgMar w:header="269" w:footer="260" w:top="460" w:bottom="440" w:left="860" w:right="720"/>
        </w:sectPr>
      </w:pPr>
    </w:p>
    <w:p>
      <w:pPr>
        <w:pStyle w:val="BodyText"/>
        <w:spacing w:before="1"/>
        <w:ind w:left="0" w:right="0" w:firstLine="0"/>
        <w:jc w:val="left"/>
        <w:rPr>
          <w:rFonts w:ascii="Arial"/>
          <w:b/>
          <w:sz w:val="10"/>
        </w:rPr>
      </w:pPr>
    </w:p>
    <w:p>
      <w:pPr>
        <w:pStyle w:val="BodyText"/>
        <w:spacing w:before="0"/>
        <w:ind w:left="1960" w:right="0" w:firstLine="0"/>
        <w:jc w:val="left"/>
        <w:rPr>
          <w:rFonts w:ascii="Arial"/>
          <w:sz w:val="20"/>
        </w:rPr>
      </w:pPr>
      <w:r>
        <w:rPr>
          <w:rFonts w:ascii="Arial"/>
          <w:sz w:val="20"/>
        </w:rPr>
        <w:drawing>
          <wp:inline distT="0" distB="0" distL="0" distR="0">
            <wp:extent cx="4381500" cy="596265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7" cstate="print"/>
                    <a:stretch>
                      <a:fillRect/>
                    </a:stretch>
                  </pic:blipFill>
                  <pic:spPr>
                    <a:xfrm>
                      <a:off x="0" y="0"/>
                      <a:ext cx="4381500" cy="5962650"/>
                    </a:xfrm>
                    <a:prstGeom prst="rect">
                      <a:avLst/>
                    </a:prstGeom>
                  </pic:spPr>
                </pic:pic>
              </a:graphicData>
            </a:graphic>
          </wp:inline>
        </w:drawing>
      </w:r>
      <w:r>
        <w:rPr>
          <w:rFonts w:ascii="Arial"/>
          <w:sz w:val="20"/>
        </w:rPr>
      </w:r>
    </w:p>
    <w:p>
      <w:pPr>
        <w:pStyle w:val="BodyText"/>
        <w:spacing w:before="0"/>
        <w:ind w:left="0" w:right="0" w:firstLine="0"/>
        <w:jc w:val="left"/>
        <w:rPr>
          <w:rFonts w:ascii="Arial"/>
          <w:b/>
          <w:sz w:val="20"/>
        </w:rPr>
      </w:pPr>
    </w:p>
    <w:p>
      <w:pPr>
        <w:pStyle w:val="BodyText"/>
        <w:spacing w:before="146"/>
        <w:ind w:left="0" w:right="0" w:firstLine="0"/>
        <w:jc w:val="left"/>
        <w:rPr>
          <w:rFonts w:ascii="Arial"/>
          <w:b/>
          <w:sz w:val="20"/>
        </w:rPr>
      </w:pPr>
      <w:r>
        <w:rPr/>
        <w:drawing>
          <wp:anchor distT="0" distB="0" distL="0" distR="0" allowOverlap="1" layoutInCell="1" locked="0" behindDoc="1" simplePos="0" relativeHeight="487593472">
            <wp:simplePos x="0" y="0"/>
            <wp:positionH relativeFrom="page">
              <wp:posOffset>1647825</wp:posOffset>
            </wp:positionH>
            <wp:positionV relativeFrom="paragraph">
              <wp:posOffset>254012</wp:posOffset>
            </wp:positionV>
            <wp:extent cx="4543424" cy="1685925"/>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8" cstate="print"/>
                    <a:stretch>
                      <a:fillRect/>
                    </a:stretch>
                  </pic:blipFill>
                  <pic:spPr>
                    <a:xfrm>
                      <a:off x="0" y="0"/>
                      <a:ext cx="4543424" cy="1685925"/>
                    </a:xfrm>
                    <a:prstGeom prst="rect">
                      <a:avLst/>
                    </a:prstGeom>
                  </pic:spPr>
                </pic:pic>
              </a:graphicData>
            </a:graphic>
          </wp:anchor>
        </w:drawing>
      </w:r>
      <w:r>
        <w:rPr/>
        <mc:AlternateContent>
          <mc:Choice Requires="wps">
            <w:drawing>
              <wp:anchor distT="0" distB="0" distL="0" distR="0" allowOverlap="1" layoutInCell="1" locked="0" behindDoc="1" simplePos="0" relativeHeight="487593984">
                <wp:simplePos x="0" y="0"/>
                <wp:positionH relativeFrom="page">
                  <wp:posOffset>2721173</wp:posOffset>
                </wp:positionH>
                <wp:positionV relativeFrom="paragraph">
                  <wp:posOffset>2197120</wp:posOffset>
                </wp:positionV>
                <wp:extent cx="241617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2416175" cy="1270"/>
                        </a:xfrm>
                        <a:custGeom>
                          <a:avLst/>
                          <a:gdLst/>
                          <a:ahLst/>
                          <a:cxnLst/>
                          <a:rect l="l" t="t" r="r" b="b"/>
                          <a:pathLst>
                            <a:path w="2416175" h="0">
                              <a:moveTo>
                                <a:pt x="0" y="0"/>
                              </a:moveTo>
                              <a:lnTo>
                                <a:pt x="2415591" y="0"/>
                              </a:lnTo>
                            </a:path>
                          </a:pathLst>
                        </a:custGeom>
                        <a:ln w="7256">
                          <a:solidFill>
                            <a:srgbClr val="2D2D2D"/>
                          </a:solidFill>
                          <a:prstDash val="solid"/>
                        </a:ln>
                      </wps:spPr>
                      <wps:bodyPr wrap="square" lIns="0" tIns="0" rIns="0" bIns="0" rtlCol="0">
                        <a:prstTxWarp prst="textNoShape">
                          <a:avLst/>
                        </a:prstTxWarp>
                        <a:noAutofit/>
                      </wps:bodyPr>
                    </wps:wsp>
                  </a:graphicData>
                </a:graphic>
              </wp:anchor>
            </w:drawing>
          </mc:Choice>
          <mc:Fallback>
            <w:pict>
              <v:shape style="position:absolute;margin-left:214.26561pt;margin-top:173.001633pt;width:190.25pt;height:.1pt;mso-position-horizontal-relative:page;mso-position-vertical-relative:paragraph;z-index:-15722496;mso-wrap-distance-left:0;mso-wrap-distance-right:0" id="docshape19" coordorigin="4285,3460" coordsize="3805,0" path="m4285,3460l8089,3460e" filled="false" stroked="true" strokeweight=".571359pt" strokecolor="#2d2d2d">
                <v:path arrowok="t"/>
                <v:stroke dashstyle="solid"/>
                <w10:wrap type="topAndBottom"/>
              </v:shape>
            </w:pict>
          </mc:Fallback>
        </mc:AlternateContent>
      </w:r>
    </w:p>
    <w:p>
      <w:pPr>
        <w:pStyle w:val="BodyText"/>
        <w:spacing w:before="151"/>
        <w:ind w:left="0" w:right="0" w:firstLine="0"/>
        <w:jc w:val="left"/>
        <w:rPr>
          <w:rFonts w:ascii="Arial"/>
          <w:b/>
          <w:sz w:val="20"/>
        </w:rPr>
      </w:pPr>
    </w:p>
    <w:sectPr>
      <w:pgSz w:w="12240" w:h="15840"/>
      <w:pgMar w:header="269" w:footer="260" w:top="460" w:bottom="440" w:left="8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mc:AlternateContent>
        <mc:Choice Requires="wps">
          <w:drawing>
            <wp:anchor distT="0" distB="0" distL="0" distR="0" allowOverlap="1" layoutInCell="1" locked="0" behindDoc="1" simplePos="0" relativeHeight="486718464">
              <wp:simplePos x="0" y="0"/>
              <wp:positionH relativeFrom="page">
                <wp:posOffset>311298</wp:posOffset>
              </wp:positionH>
              <wp:positionV relativeFrom="page">
                <wp:posOffset>9753756</wp:posOffset>
              </wp:positionV>
              <wp:extent cx="404812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48125" cy="139065"/>
                      </a:xfrm>
                      <a:prstGeom prst="rect">
                        <a:avLst/>
                      </a:prstGeom>
                    </wps:spPr>
                    <wps:txbx>
                      <w:txbxContent>
                        <w:p>
                          <w:pPr>
                            <w:spacing w:before="14"/>
                            <w:ind w:left="20" w:right="0" w:firstLine="0"/>
                            <w:jc w:val="left"/>
                            <w:rPr>
                              <w:sz w:val="16"/>
                            </w:rPr>
                          </w:pPr>
                          <w:r>
                            <w:rPr>
                              <w:spacing w:val="-2"/>
                              <w:sz w:val="16"/>
                            </w:rPr>
                            <w:t>https://</w:t>
                          </w:r>
                          <w:hyperlink r:id="rId1">
                            <w:r>
                              <w:rPr>
                                <w:spacing w:val="-2"/>
                                <w:sz w:val="16"/>
                              </w:rPr>
                              <w:t>www.dof.gob.mx/nota_detalle.php?codigo=5712645&amp;fecha=27/12/2023&amp;print=true</w:t>
                            </w:r>
                          </w:hyperlink>
                        </w:p>
                      </w:txbxContent>
                    </wps:txbx>
                    <wps:bodyPr wrap="square" lIns="0" tIns="0" rIns="0" bIns="0" rtlCol="0">
                      <a:noAutofit/>
                    </wps:bodyPr>
                  </wps:wsp>
                </a:graphicData>
              </a:graphic>
            </wp:anchor>
          </w:drawing>
        </mc:Choice>
        <mc:Fallback>
          <w:pict>
            <v:shape style="position:absolute;margin-left:24.511717pt;margin-top:768.012329pt;width:318.75pt;height:10.95pt;mso-position-horizontal-relative:page;mso-position-vertical-relative:page;z-index:-16598016" type="#_x0000_t202" id="docshape3" filled="false" stroked="false">
              <v:textbox inset="0,0,0,0">
                <w:txbxContent>
                  <w:p>
                    <w:pPr>
                      <w:spacing w:before="14"/>
                      <w:ind w:left="20" w:right="0" w:firstLine="0"/>
                      <w:jc w:val="left"/>
                      <w:rPr>
                        <w:sz w:val="16"/>
                      </w:rPr>
                    </w:pPr>
                    <w:r>
                      <w:rPr>
                        <w:spacing w:val="-2"/>
                        <w:sz w:val="16"/>
                      </w:rPr>
                      <w:t>https://</w:t>
                    </w:r>
                    <w:hyperlink r:id="rId1">
                      <w:r>
                        <w:rPr>
                          <w:spacing w:val="-2"/>
                          <w:sz w:val="16"/>
                        </w:rPr>
                        <w:t>www.dof.gob.mx/nota_detalle.php?codigo=5712645&amp;fecha=27/12/2023&amp;print=true</w:t>
                      </w:r>
                    </w:hyperlink>
                  </w:p>
                </w:txbxContent>
              </v:textbox>
              <w10:wrap type="none"/>
            </v:shape>
          </w:pict>
        </mc:Fallback>
      </mc:AlternateContent>
    </w:r>
    <w:r>
      <w:rPr/>
      <mc:AlternateContent>
        <mc:Choice Requires="wps">
          <w:drawing>
            <wp:anchor distT="0" distB="0" distL="0" distR="0" allowOverlap="1" layoutInCell="1" locked="0" behindDoc="1" simplePos="0" relativeHeight="486718976">
              <wp:simplePos x="0" y="0"/>
              <wp:positionH relativeFrom="page">
                <wp:posOffset>7156102</wp:posOffset>
              </wp:positionH>
              <wp:positionV relativeFrom="page">
                <wp:posOffset>9753756</wp:posOffset>
              </wp:positionV>
              <wp:extent cx="305435"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NUMPAGES </w:instrText>
                          </w:r>
                          <w:r>
                            <w:rPr>
                              <w:spacing w:val="-2"/>
                              <w:sz w:val="16"/>
                            </w:rPr>
                            <w:fldChar w:fldCharType="separate"/>
                          </w:r>
                          <w:r>
                            <w:rPr>
                              <w:spacing w:val="-2"/>
                              <w:sz w:val="16"/>
                            </w:rPr>
                            <w:t>29</w:t>
                          </w:r>
                          <w:r>
                            <w:rPr>
                              <w:spacing w:val="-2"/>
                              <w:sz w:val="16"/>
                            </w:rPr>
                            <w:fldChar w:fldCharType="end"/>
                          </w:r>
                        </w:p>
                      </w:txbxContent>
                    </wps:txbx>
                    <wps:bodyPr wrap="square" lIns="0" tIns="0" rIns="0" bIns="0" rtlCol="0">
                      <a:noAutofit/>
                    </wps:bodyPr>
                  </wps:wsp>
                </a:graphicData>
              </a:graphic>
            </wp:anchor>
          </w:drawing>
        </mc:Choice>
        <mc:Fallback>
          <w:pict>
            <v:shape style="position:absolute;margin-left:563.472656pt;margin-top:768.012329pt;width:24.05pt;height:10.95pt;mso-position-horizontal-relative:page;mso-position-vertical-relative:page;z-index:-16597504" type="#_x0000_t202" id="docshape4"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NUMPAGES </w:instrText>
                    </w:r>
                    <w:r>
                      <w:rPr>
                        <w:spacing w:val="-2"/>
                        <w:sz w:val="16"/>
                      </w:rPr>
                      <w:fldChar w:fldCharType="separate"/>
                    </w:r>
                    <w:r>
                      <w:rPr>
                        <w:spacing w:val="-2"/>
                        <w:sz w:val="16"/>
                      </w:rPr>
                      <w:t>29</w:t>
                    </w:r>
                    <w:r>
                      <w:rPr>
                        <w:spacing w:val="-2"/>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mc:AlternateContent>
        <mc:Choice Requires="wps">
          <w:drawing>
            <wp:anchor distT="0" distB="0" distL="0" distR="0" allowOverlap="1" layoutInCell="1" locked="0" behindDoc="1" simplePos="0" relativeHeight="486717440">
              <wp:simplePos x="0" y="0"/>
              <wp:positionH relativeFrom="page">
                <wp:posOffset>311298</wp:posOffset>
              </wp:positionH>
              <wp:positionV relativeFrom="page">
                <wp:posOffset>171606</wp:posOffset>
              </wp:positionV>
              <wp:extent cx="67500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5005" cy="139065"/>
                      </a:xfrm>
                      <a:prstGeom prst="rect">
                        <a:avLst/>
                      </a:prstGeom>
                    </wps:spPr>
                    <wps:txbx>
                      <w:txbxContent>
                        <w:p>
                          <w:pPr>
                            <w:spacing w:before="14"/>
                            <w:ind w:left="20" w:right="0" w:firstLine="0"/>
                            <w:jc w:val="left"/>
                            <w:rPr>
                              <w:sz w:val="16"/>
                            </w:rPr>
                          </w:pPr>
                          <w:r>
                            <w:rPr>
                              <w:sz w:val="16"/>
                            </w:rPr>
                            <w:t>22/1/24,</w:t>
                          </w:r>
                          <w:r>
                            <w:rPr>
                              <w:spacing w:val="-1"/>
                              <w:sz w:val="16"/>
                            </w:rPr>
                            <w:t> </w:t>
                          </w:r>
                          <w:r>
                            <w:rPr>
                              <w:spacing w:val="-2"/>
                              <w:sz w:val="16"/>
                            </w:rPr>
                            <w:t>14:58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511717pt;margin-top:13.512339pt;width:53.15pt;height:10.95pt;mso-position-horizontal-relative:page;mso-position-vertical-relative:page;z-index:-16599040" type="#_x0000_t202" id="docshape1" filled="false" stroked="false">
              <v:textbox inset="0,0,0,0">
                <w:txbxContent>
                  <w:p>
                    <w:pPr>
                      <w:spacing w:before="14"/>
                      <w:ind w:left="20" w:right="0" w:firstLine="0"/>
                      <w:jc w:val="left"/>
                      <w:rPr>
                        <w:sz w:val="16"/>
                      </w:rPr>
                    </w:pPr>
                    <w:r>
                      <w:rPr>
                        <w:sz w:val="16"/>
                      </w:rPr>
                      <w:t>22/1/24,</w:t>
                    </w:r>
                    <w:r>
                      <w:rPr>
                        <w:spacing w:val="-1"/>
                        <w:sz w:val="16"/>
                      </w:rPr>
                      <w:t> </w:t>
                    </w:r>
                    <w:r>
                      <w:rPr>
                        <w:spacing w:val="-2"/>
                        <w:sz w:val="16"/>
                      </w:rPr>
                      <w:t>14:58</w:t>
                    </w:r>
                  </w:p>
                </w:txbxContent>
              </v:textbox>
              <w10:wrap type="none"/>
            </v:shape>
          </w:pict>
        </mc:Fallback>
      </mc:AlternateContent>
    </w:r>
    <w:r>
      <w:rPr/>
      <mc:AlternateContent>
        <mc:Choice Requires="wps">
          <w:drawing>
            <wp:anchor distT="0" distB="0" distL="0" distR="0" allowOverlap="1" layoutInCell="1" locked="0" behindDoc="1" simplePos="0" relativeHeight="486717952">
              <wp:simplePos x="0" y="0"/>
              <wp:positionH relativeFrom="page">
                <wp:posOffset>3563788</wp:posOffset>
              </wp:positionH>
              <wp:positionV relativeFrom="page">
                <wp:posOffset>171606</wp:posOffset>
              </wp:positionV>
              <wp:extent cx="169037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90370" cy="139065"/>
                      </a:xfrm>
                      <a:prstGeom prst="rect">
                        <a:avLst/>
                      </a:prstGeom>
                    </wps:spPr>
                    <wps:txbx>
                      <w:txbxContent>
                        <w:p>
                          <w:pPr>
                            <w:spacing w:before="14"/>
                            <w:ind w:left="20" w:right="0" w:firstLine="0"/>
                            <w:jc w:val="left"/>
                            <w:rPr>
                              <w:sz w:val="16"/>
                            </w:rPr>
                          </w:pPr>
                          <w:r>
                            <w:rPr>
                              <w:sz w:val="16"/>
                            </w:rPr>
                            <w:t>DOF</w:t>
                          </w:r>
                          <w:r>
                            <w:rPr>
                              <w:spacing w:val="-1"/>
                              <w:sz w:val="16"/>
                            </w:rPr>
                            <w:t> </w:t>
                          </w:r>
                          <w:r>
                            <w:rPr>
                              <w:sz w:val="16"/>
                            </w:rPr>
                            <w:t>-</w:t>
                          </w:r>
                          <w:r>
                            <w:rPr>
                              <w:spacing w:val="-1"/>
                              <w:sz w:val="16"/>
                            </w:rPr>
                            <w:t> </w:t>
                          </w:r>
                          <w:r>
                            <w:rPr>
                              <w:sz w:val="16"/>
                            </w:rPr>
                            <w:t>Diario</w:t>
                          </w:r>
                          <w:r>
                            <w:rPr>
                              <w:spacing w:val="-1"/>
                              <w:sz w:val="16"/>
                            </w:rPr>
                            <w:t> </w:t>
                          </w:r>
                          <w:r>
                            <w:rPr>
                              <w:sz w:val="16"/>
                            </w:rPr>
                            <w:t>Oficial</w:t>
                          </w:r>
                          <w:r>
                            <w:rPr>
                              <w:spacing w:val="-1"/>
                              <w:sz w:val="16"/>
                            </w:rPr>
                            <w:t> </w:t>
                          </w:r>
                          <w:r>
                            <w:rPr>
                              <w:sz w:val="16"/>
                            </w:rPr>
                            <w:t>de</w:t>
                          </w:r>
                          <w:r>
                            <w:rPr>
                              <w:spacing w:val="-1"/>
                              <w:sz w:val="16"/>
                            </w:rPr>
                            <w:t> </w:t>
                          </w:r>
                          <w:r>
                            <w:rPr>
                              <w:sz w:val="16"/>
                            </w:rPr>
                            <w:t>la</w:t>
                          </w:r>
                          <w:r>
                            <w:rPr>
                              <w:spacing w:val="-1"/>
                              <w:sz w:val="16"/>
                            </w:rPr>
                            <w:t> </w:t>
                          </w:r>
                          <w:r>
                            <w:rPr>
                              <w:spacing w:val="-2"/>
                              <w:sz w:val="16"/>
                            </w:rPr>
                            <w:t>Federación</w:t>
                          </w:r>
                        </w:p>
                      </w:txbxContent>
                    </wps:txbx>
                    <wps:bodyPr wrap="square" lIns="0" tIns="0" rIns="0" bIns="0" rtlCol="0">
                      <a:noAutofit/>
                    </wps:bodyPr>
                  </wps:wsp>
                </a:graphicData>
              </a:graphic>
            </wp:anchor>
          </w:drawing>
        </mc:Choice>
        <mc:Fallback>
          <w:pict>
            <v:shape style="position:absolute;margin-left:280.613281pt;margin-top:13.512339pt;width:133.1pt;height:10.95pt;mso-position-horizontal-relative:page;mso-position-vertical-relative:page;z-index:-16598528" type="#_x0000_t202" id="docshape2" filled="false" stroked="false">
              <v:textbox inset="0,0,0,0">
                <w:txbxContent>
                  <w:p>
                    <w:pPr>
                      <w:spacing w:before="14"/>
                      <w:ind w:left="20" w:right="0" w:firstLine="0"/>
                      <w:jc w:val="left"/>
                      <w:rPr>
                        <w:sz w:val="16"/>
                      </w:rPr>
                    </w:pPr>
                    <w:r>
                      <w:rPr>
                        <w:sz w:val="16"/>
                      </w:rPr>
                      <w:t>DOF</w:t>
                    </w:r>
                    <w:r>
                      <w:rPr>
                        <w:spacing w:val="-1"/>
                        <w:sz w:val="16"/>
                      </w:rPr>
                      <w:t> </w:t>
                    </w:r>
                    <w:r>
                      <w:rPr>
                        <w:sz w:val="16"/>
                      </w:rPr>
                      <w:t>-</w:t>
                    </w:r>
                    <w:r>
                      <w:rPr>
                        <w:spacing w:val="-1"/>
                        <w:sz w:val="16"/>
                      </w:rPr>
                      <w:t> </w:t>
                    </w:r>
                    <w:r>
                      <w:rPr>
                        <w:sz w:val="16"/>
                      </w:rPr>
                      <w:t>Diario</w:t>
                    </w:r>
                    <w:r>
                      <w:rPr>
                        <w:spacing w:val="-1"/>
                        <w:sz w:val="16"/>
                      </w:rPr>
                      <w:t> </w:t>
                    </w:r>
                    <w:r>
                      <w:rPr>
                        <w:sz w:val="16"/>
                      </w:rPr>
                      <w:t>Oficial</w:t>
                    </w:r>
                    <w:r>
                      <w:rPr>
                        <w:spacing w:val="-1"/>
                        <w:sz w:val="16"/>
                      </w:rPr>
                      <w:t> </w:t>
                    </w:r>
                    <w:r>
                      <w:rPr>
                        <w:sz w:val="16"/>
                      </w:rPr>
                      <w:t>de</w:t>
                    </w:r>
                    <w:r>
                      <w:rPr>
                        <w:spacing w:val="-1"/>
                        <w:sz w:val="16"/>
                      </w:rPr>
                      <w:t> </w:t>
                    </w:r>
                    <w:r>
                      <w:rPr>
                        <w:sz w:val="16"/>
                      </w:rPr>
                      <w:t>la</w:t>
                    </w:r>
                    <w:r>
                      <w:rPr>
                        <w:spacing w:val="-1"/>
                        <w:sz w:val="16"/>
                      </w:rPr>
                      <w:t> </w:t>
                    </w:r>
                    <w:r>
                      <w:rPr>
                        <w:spacing w:val="-2"/>
                        <w:sz w:val="16"/>
                      </w:rPr>
                      <w:t>Federación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0"/>
      <w:numFmt w:val="bullet"/>
      <w:lvlText w:val="o"/>
      <w:lvlJc w:val="left"/>
      <w:pPr>
        <w:ind w:left="762" w:hanging="2170"/>
      </w:pPr>
      <w:rPr>
        <w:rFonts w:hint="default" w:ascii="Courier New" w:hAnsi="Courier New" w:eastAsia="Courier New" w:cs="Courier New"/>
        <w:b w:val="0"/>
        <w:bCs w:val="0"/>
        <w:i w:val="0"/>
        <w:iCs w:val="0"/>
        <w:color w:val="2E2E2E"/>
        <w:spacing w:val="0"/>
        <w:w w:val="100"/>
        <w:sz w:val="20"/>
        <w:szCs w:val="20"/>
        <w:lang w:val="es-ES" w:eastAsia="en-US" w:bidi="ar-SA"/>
      </w:rPr>
    </w:lvl>
    <w:lvl w:ilvl="1">
      <w:start w:val="0"/>
      <w:numFmt w:val="bullet"/>
      <w:lvlText w:val="•"/>
      <w:lvlJc w:val="left"/>
      <w:pPr>
        <w:ind w:left="1750" w:hanging="2170"/>
      </w:pPr>
      <w:rPr>
        <w:rFonts w:hint="default"/>
        <w:lang w:val="es-ES" w:eastAsia="en-US" w:bidi="ar-SA"/>
      </w:rPr>
    </w:lvl>
    <w:lvl w:ilvl="2">
      <w:start w:val="0"/>
      <w:numFmt w:val="bullet"/>
      <w:lvlText w:val="•"/>
      <w:lvlJc w:val="left"/>
      <w:pPr>
        <w:ind w:left="2740" w:hanging="2170"/>
      </w:pPr>
      <w:rPr>
        <w:rFonts w:hint="default"/>
        <w:lang w:val="es-ES" w:eastAsia="en-US" w:bidi="ar-SA"/>
      </w:rPr>
    </w:lvl>
    <w:lvl w:ilvl="3">
      <w:start w:val="0"/>
      <w:numFmt w:val="bullet"/>
      <w:lvlText w:val="•"/>
      <w:lvlJc w:val="left"/>
      <w:pPr>
        <w:ind w:left="3730" w:hanging="2170"/>
      </w:pPr>
      <w:rPr>
        <w:rFonts w:hint="default"/>
        <w:lang w:val="es-ES" w:eastAsia="en-US" w:bidi="ar-SA"/>
      </w:rPr>
    </w:lvl>
    <w:lvl w:ilvl="4">
      <w:start w:val="0"/>
      <w:numFmt w:val="bullet"/>
      <w:lvlText w:val="•"/>
      <w:lvlJc w:val="left"/>
      <w:pPr>
        <w:ind w:left="4720" w:hanging="2170"/>
      </w:pPr>
      <w:rPr>
        <w:rFonts w:hint="default"/>
        <w:lang w:val="es-ES" w:eastAsia="en-US" w:bidi="ar-SA"/>
      </w:rPr>
    </w:lvl>
    <w:lvl w:ilvl="5">
      <w:start w:val="0"/>
      <w:numFmt w:val="bullet"/>
      <w:lvlText w:val="•"/>
      <w:lvlJc w:val="left"/>
      <w:pPr>
        <w:ind w:left="5710" w:hanging="2170"/>
      </w:pPr>
      <w:rPr>
        <w:rFonts w:hint="default"/>
        <w:lang w:val="es-ES" w:eastAsia="en-US" w:bidi="ar-SA"/>
      </w:rPr>
    </w:lvl>
    <w:lvl w:ilvl="6">
      <w:start w:val="0"/>
      <w:numFmt w:val="bullet"/>
      <w:lvlText w:val="•"/>
      <w:lvlJc w:val="left"/>
      <w:pPr>
        <w:ind w:left="6700" w:hanging="2170"/>
      </w:pPr>
      <w:rPr>
        <w:rFonts w:hint="default"/>
        <w:lang w:val="es-ES" w:eastAsia="en-US" w:bidi="ar-SA"/>
      </w:rPr>
    </w:lvl>
    <w:lvl w:ilvl="7">
      <w:start w:val="0"/>
      <w:numFmt w:val="bullet"/>
      <w:lvlText w:val="•"/>
      <w:lvlJc w:val="left"/>
      <w:pPr>
        <w:ind w:left="7690" w:hanging="2170"/>
      </w:pPr>
      <w:rPr>
        <w:rFonts w:hint="default"/>
        <w:lang w:val="es-ES" w:eastAsia="en-US" w:bidi="ar-SA"/>
      </w:rPr>
    </w:lvl>
    <w:lvl w:ilvl="8">
      <w:start w:val="0"/>
      <w:numFmt w:val="bullet"/>
      <w:lvlText w:val="•"/>
      <w:lvlJc w:val="left"/>
      <w:pPr>
        <w:ind w:left="8680" w:hanging="2170"/>
      </w:pPr>
      <w:rPr>
        <w:rFonts w:hint="default"/>
        <w:lang w:val="es-ES" w:eastAsia="en-US" w:bidi="ar-SA"/>
      </w:rPr>
    </w:lvl>
  </w:abstractNum>
  <w:abstractNum w:abstractNumId="21">
    <w:multiLevelType w:val="hybridMultilevel"/>
    <w:lvl w:ilvl="0">
      <w:start w:val="1"/>
      <w:numFmt w:val="upperLetter"/>
      <w:lvlText w:val="%1)"/>
      <w:lvlJc w:val="left"/>
      <w:pPr>
        <w:ind w:left="115" w:hanging="268"/>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174" w:hanging="268"/>
      </w:pPr>
      <w:rPr>
        <w:rFonts w:hint="default"/>
        <w:lang w:val="es-ES" w:eastAsia="en-US" w:bidi="ar-SA"/>
      </w:rPr>
    </w:lvl>
    <w:lvl w:ilvl="2">
      <w:start w:val="0"/>
      <w:numFmt w:val="bullet"/>
      <w:lvlText w:val="•"/>
      <w:lvlJc w:val="left"/>
      <w:pPr>
        <w:ind w:left="2228" w:hanging="268"/>
      </w:pPr>
      <w:rPr>
        <w:rFonts w:hint="default"/>
        <w:lang w:val="es-ES" w:eastAsia="en-US" w:bidi="ar-SA"/>
      </w:rPr>
    </w:lvl>
    <w:lvl w:ilvl="3">
      <w:start w:val="0"/>
      <w:numFmt w:val="bullet"/>
      <w:lvlText w:val="•"/>
      <w:lvlJc w:val="left"/>
      <w:pPr>
        <w:ind w:left="3282" w:hanging="268"/>
      </w:pPr>
      <w:rPr>
        <w:rFonts w:hint="default"/>
        <w:lang w:val="es-ES" w:eastAsia="en-US" w:bidi="ar-SA"/>
      </w:rPr>
    </w:lvl>
    <w:lvl w:ilvl="4">
      <w:start w:val="0"/>
      <w:numFmt w:val="bullet"/>
      <w:lvlText w:val="•"/>
      <w:lvlJc w:val="left"/>
      <w:pPr>
        <w:ind w:left="4336" w:hanging="268"/>
      </w:pPr>
      <w:rPr>
        <w:rFonts w:hint="default"/>
        <w:lang w:val="es-ES" w:eastAsia="en-US" w:bidi="ar-SA"/>
      </w:rPr>
    </w:lvl>
    <w:lvl w:ilvl="5">
      <w:start w:val="0"/>
      <w:numFmt w:val="bullet"/>
      <w:lvlText w:val="•"/>
      <w:lvlJc w:val="left"/>
      <w:pPr>
        <w:ind w:left="5390" w:hanging="268"/>
      </w:pPr>
      <w:rPr>
        <w:rFonts w:hint="default"/>
        <w:lang w:val="es-ES" w:eastAsia="en-US" w:bidi="ar-SA"/>
      </w:rPr>
    </w:lvl>
    <w:lvl w:ilvl="6">
      <w:start w:val="0"/>
      <w:numFmt w:val="bullet"/>
      <w:lvlText w:val="•"/>
      <w:lvlJc w:val="left"/>
      <w:pPr>
        <w:ind w:left="6444" w:hanging="268"/>
      </w:pPr>
      <w:rPr>
        <w:rFonts w:hint="default"/>
        <w:lang w:val="es-ES" w:eastAsia="en-US" w:bidi="ar-SA"/>
      </w:rPr>
    </w:lvl>
    <w:lvl w:ilvl="7">
      <w:start w:val="0"/>
      <w:numFmt w:val="bullet"/>
      <w:lvlText w:val="•"/>
      <w:lvlJc w:val="left"/>
      <w:pPr>
        <w:ind w:left="7498" w:hanging="268"/>
      </w:pPr>
      <w:rPr>
        <w:rFonts w:hint="default"/>
        <w:lang w:val="es-ES" w:eastAsia="en-US" w:bidi="ar-SA"/>
      </w:rPr>
    </w:lvl>
    <w:lvl w:ilvl="8">
      <w:start w:val="0"/>
      <w:numFmt w:val="bullet"/>
      <w:lvlText w:val="•"/>
      <w:lvlJc w:val="left"/>
      <w:pPr>
        <w:ind w:left="8552" w:hanging="268"/>
      </w:pPr>
      <w:rPr>
        <w:rFonts w:hint="default"/>
        <w:lang w:val="es-ES" w:eastAsia="en-US" w:bidi="ar-SA"/>
      </w:rPr>
    </w:lvl>
  </w:abstractNum>
  <w:abstractNum w:abstractNumId="20">
    <w:multiLevelType w:val="hybridMultilevel"/>
    <w:lvl w:ilvl="0">
      <w:start w:val="0"/>
      <w:numFmt w:val="bullet"/>
      <w:lvlText w:val="o"/>
      <w:lvlJc w:val="left"/>
      <w:pPr>
        <w:ind w:left="762" w:hanging="373"/>
      </w:pPr>
      <w:rPr>
        <w:rFonts w:hint="default" w:ascii="Courier New" w:hAnsi="Courier New" w:eastAsia="Courier New" w:cs="Courier New"/>
        <w:b w:val="0"/>
        <w:bCs w:val="0"/>
        <w:i w:val="0"/>
        <w:iCs w:val="0"/>
        <w:color w:val="2E2E2E"/>
        <w:spacing w:val="0"/>
        <w:w w:val="100"/>
        <w:sz w:val="20"/>
        <w:szCs w:val="20"/>
        <w:lang w:val="es-ES" w:eastAsia="en-US" w:bidi="ar-SA"/>
      </w:rPr>
    </w:lvl>
    <w:lvl w:ilvl="1">
      <w:start w:val="0"/>
      <w:numFmt w:val="bullet"/>
      <w:lvlText w:val="•"/>
      <w:lvlJc w:val="left"/>
      <w:pPr>
        <w:ind w:left="1750" w:hanging="373"/>
      </w:pPr>
      <w:rPr>
        <w:rFonts w:hint="default"/>
        <w:lang w:val="es-ES" w:eastAsia="en-US" w:bidi="ar-SA"/>
      </w:rPr>
    </w:lvl>
    <w:lvl w:ilvl="2">
      <w:start w:val="0"/>
      <w:numFmt w:val="bullet"/>
      <w:lvlText w:val="•"/>
      <w:lvlJc w:val="left"/>
      <w:pPr>
        <w:ind w:left="2740" w:hanging="373"/>
      </w:pPr>
      <w:rPr>
        <w:rFonts w:hint="default"/>
        <w:lang w:val="es-ES" w:eastAsia="en-US" w:bidi="ar-SA"/>
      </w:rPr>
    </w:lvl>
    <w:lvl w:ilvl="3">
      <w:start w:val="0"/>
      <w:numFmt w:val="bullet"/>
      <w:lvlText w:val="•"/>
      <w:lvlJc w:val="left"/>
      <w:pPr>
        <w:ind w:left="3730" w:hanging="373"/>
      </w:pPr>
      <w:rPr>
        <w:rFonts w:hint="default"/>
        <w:lang w:val="es-ES" w:eastAsia="en-US" w:bidi="ar-SA"/>
      </w:rPr>
    </w:lvl>
    <w:lvl w:ilvl="4">
      <w:start w:val="0"/>
      <w:numFmt w:val="bullet"/>
      <w:lvlText w:val="•"/>
      <w:lvlJc w:val="left"/>
      <w:pPr>
        <w:ind w:left="4720" w:hanging="373"/>
      </w:pPr>
      <w:rPr>
        <w:rFonts w:hint="default"/>
        <w:lang w:val="es-ES" w:eastAsia="en-US" w:bidi="ar-SA"/>
      </w:rPr>
    </w:lvl>
    <w:lvl w:ilvl="5">
      <w:start w:val="0"/>
      <w:numFmt w:val="bullet"/>
      <w:lvlText w:val="•"/>
      <w:lvlJc w:val="left"/>
      <w:pPr>
        <w:ind w:left="5710" w:hanging="373"/>
      </w:pPr>
      <w:rPr>
        <w:rFonts w:hint="default"/>
        <w:lang w:val="es-ES" w:eastAsia="en-US" w:bidi="ar-SA"/>
      </w:rPr>
    </w:lvl>
    <w:lvl w:ilvl="6">
      <w:start w:val="0"/>
      <w:numFmt w:val="bullet"/>
      <w:lvlText w:val="•"/>
      <w:lvlJc w:val="left"/>
      <w:pPr>
        <w:ind w:left="6700" w:hanging="373"/>
      </w:pPr>
      <w:rPr>
        <w:rFonts w:hint="default"/>
        <w:lang w:val="es-ES" w:eastAsia="en-US" w:bidi="ar-SA"/>
      </w:rPr>
    </w:lvl>
    <w:lvl w:ilvl="7">
      <w:start w:val="0"/>
      <w:numFmt w:val="bullet"/>
      <w:lvlText w:val="•"/>
      <w:lvlJc w:val="left"/>
      <w:pPr>
        <w:ind w:left="7690" w:hanging="373"/>
      </w:pPr>
      <w:rPr>
        <w:rFonts w:hint="default"/>
        <w:lang w:val="es-ES" w:eastAsia="en-US" w:bidi="ar-SA"/>
      </w:rPr>
    </w:lvl>
    <w:lvl w:ilvl="8">
      <w:start w:val="0"/>
      <w:numFmt w:val="bullet"/>
      <w:lvlText w:val="•"/>
      <w:lvlJc w:val="left"/>
      <w:pPr>
        <w:ind w:left="8680" w:hanging="373"/>
      </w:pPr>
      <w:rPr>
        <w:rFonts w:hint="default"/>
        <w:lang w:val="es-ES" w:eastAsia="en-US" w:bidi="ar-SA"/>
      </w:rPr>
    </w:lvl>
  </w:abstractNum>
  <w:abstractNum w:abstractNumId="19">
    <w:multiLevelType w:val="hybridMultilevel"/>
    <w:lvl w:ilvl="0">
      <w:start w:val="1"/>
      <w:numFmt w:val="decimal"/>
      <w:lvlText w:val="%1."/>
      <w:lvlJc w:val="left"/>
      <w:pPr>
        <w:ind w:left="603" w:hanging="201"/>
        <w:jc w:val="left"/>
      </w:pPr>
      <w:rPr>
        <w:rFonts w:hint="default" w:ascii="Arial MT" w:hAnsi="Arial MT" w:eastAsia="Arial MT" w:cs="Arial MT"/>
        <w:b w:val="0"/>
        <w:bCs w:val="0"/>
        <w:i w:val="0"/>
        <w:iCs w:val="0"/>
        <w:spacing w:val="0"/>
        <w:w w:val="100"/>
        <w:sz w:val="18"/>
        <w:szCs w:val="18"/>
        <w:lang w:val="es-ES" w:eastAsia="en-US" w:bidi="ar-SA"/>
      </w:rPr>
    </w:lvl>
    <w:lvl w:ilvl="1">
      <w:start w:val="1"/>
      <w:numFmt w:val="lowerLetter"/>
      <w:lvlText w:val="%2)"/>
      <w:lvlJc w:val="left"/>
      <w:pPr>
        <w:ind w:left="115" w:hanging="248"/>
        <w:jc w:val="left"/>
      </w:pPr>
      <w:rPr>
        <w:rFonts w:hint="default"/>
        <w:spacing w:val="0"/>
        <w:w w:val="100"/>
        <w:lang w:val="es-ES" w:eastAsia="en-US" w:bidi="ar-SA"/>
      </w:rPr>
    </w:lvl>
    <w:lvl w:ilvl="2">
      <w:start w:val="1"/>
      <w:numFmt w:val="upperRoman"/>
      <w:lvlText w:val="%3."/>
      <w:lvlJc w:val="left"/>
      <w:pPr>
        <w:ind w:left="835" w:hanging="405"/>
        <w:jc w:val="left"/>
      </w:pPr>
      <w:rPr>
        <w:rFonts w:hint="default" w:ascii="Arial MT" w:hAnsi="Arial MT" w:eastAsia="Arial MT" w:cs="Arial MT"/>
        <w:b w:val="0"/>
        <w:bCs w:val="0"/>
        <w:i w:val="0"/>
        <w:iCs w:val="0"/>
        <w:color w:val="2E2E2E"/>
        <w:spacing w:val="0"/>
        <w:w w:val="100"/>
        <w:sz w:val="18"/>
        <w:szCs w:val="18"/>
        <w:lang w:val="es-ES" w:eastAsia="en-US" w:bidi="ar-SA"/>
      </w:rPr>
    </w:lvl>
    <w:lvl w:ilvl="3">
      <w:start w:val="1"/>
      <w:numFmt w:val="lowerLetter"/>
      <w:lvlText w:val="%4)"/>
      <w:lvlJc w:val="left"/>
      <w:pPr>
        <w:ind w:left="609" w:hanging="207"/>
        <w:jc w:val="left"/>
      </w:pPr>
      <w:rPr>
        <w:rFonts w:hint="default" w:ascii="Arial MT" w:hAnsi="Arial MT" w:eastAsia="Arial MT" w:cs="Arial MT"/>
        <w:b w:val="0"/>
        <w:bCs w:val="0"/>
        <w:i w:val="0"/>
        <w:iCs w:val="0"/>
        <w:spacing w:val="0"/>
        <w:w w:val="100"/>
        <w:sz w:val="18"/>
        <w:szCs w:val="18"/>
        <w:lang w:val="es-ES" w:eastAsia="en-US" w:bidi="ar-SA"/>
      </w:rPr>
    </w:lvl>
    <w:lvl w:ilvl="4">
      <w:start w:val="1"/>
      <w:numFmt w:val="upperRoman"/>
      <w:lvlText w:val="%5."/>
      <w:lvlJc w:val="left"/>
      <w:pPr>
        <w:ind w:left="835" w:hanging="617"/>
        <w:jc w:val="left"/>
      </w:pPr>
      <w:rPr>
        <w:rFonts w:hint="default" w:ascii="Arial" w:hAnsi="Arial" w:eastAsia="Arial" w:cs="Arial"/>
        <w:b/>
        <w:bCs/>
        <w:i w:val="0"/>
        <w:iCs w:val="0"/>
        <w:color w:val="2E2E2E"/>
        <w:spacing w:val="0"/>
        <w:w w:val="100"/>
        <w:sz w:val="18"/>
        <w:szCs w:val="18"/>
        <w:lang w:val="es-ES" w:eastAsia="en-US" w:bidi="ar-SA"/>
      </w:rPr>
    </w:lvl>
    <w:lvl w:ilvl="5">
      <w:start w:val="1"/>
      <w:numFmt w:val="lowerLetter"/>
      <w:lvlText w:val="%6)"/>
      <w:lvlJc w:val="left"/>
      <w:pPr>
        <w:ind w:left="115" w:hanging="211"/>
        <w:jc w:val="left"/>
      </w:pPr>
      <w:rPr>
        <w:rFonts w:hint="default" w:ascii="Arial MT" w:hAnsi="Arial MT" w:eastAsia="Arial MT" w:cs="Arial MT"/>
        <w:b w:val="0"/>
        <w:bCs w:val="0"/>
        <w:i w:val="0"/>
        <w:iCs w:val="0"/>
        <w:spacing w:val="0"/>
        <w:w w:val="100"/>
        <w:sz w:val="18"/>
        <w:szCs w:val="18"/>
        <w:lang w:val="es-ES" w:eastAsia="en-US" w:bidi="ar-SA"/>
      </w:rPr>
    </w:lvl>
    <w:lvl w:ilvl="6">
      <w:start w:val="1"/>
      <w:numFmt w:val="upperLetter"/>
      <w:lvlText w:val="%7)"/>
      <w:lvlJc w:val="left"/>
      <w:pPr>
        <w:ind w:left="115" w:hanging="232"/>
        <w:jc w:val="left"/>
      </w:pPr>
      <w:rPr>
        <w:rFonts w:hint="default" w:ascii="Arial MT" w:hAnsi="Arial MT" w:eastAsia="Arial MT" w:cs="Arial MT"/>
        <w:b w:val="0"/>
        <w:bCs w:val="0"/>
        <w:i w:val="0"/>
        <w:iCs w:val="0"/>
        <w:spacing w:val="0"/>
        <w:w w:val="100"/>
        <w:sz w:val="18"/>
        <w:szCs w:val="18"/>
        <w:lang w:val="es-ES" w:eastAsia="en-US" w:bidi="ar-SA"/>
      </w:rPr>
    </w:lvl>
    <w:lvl w:ilvl="7">
      <w:start w:val="9"/>
      <w:numFmt w:val="upperLetter"/>
      <w:lvlText w:val="%8)"/>
      <w:lvlJc w:val="left"/>
      <w:pPr>
        <w:ind w:left="115" w:hanging="194"/>
        <w:jc w:val="left"/>
      </w:pPr>
      <w:rPr>
        <w:rFonts w:hint="default" w:ascii="Arial MT" w:hAnsi="Arial MT" w:eastAsia="Arial MT" w:cs="Arial MT"/>
        <w:b w:val="0"/>
        <w:bCs w:val="0"/>
        <w:i w:val="0"/>
        <w:iCs w:val="0"/>
        <w:spacing w:val="0"/>
        <w:w w:val="100"/>
        <w:sz w:val="18"/>
        <w:szCs w:val="18"/>
        <w:lang w:val="es-ES" w:eastAsia="en-US" w:bidi="ar-SA"/>
      </w:rPr>
    </w:lvl>
    <w:lvl w:ilvl="8">
      <w:start w:val="0"/>
      <w:numFmt w:val="bullet"/>
      <w:lvlText w:val="•"/>
      <w:lvlJc w:val="left"/>
      <w:pPr>
        <w:ind w:left="8205" w:hanging="194"/>
      </w:pPr>
      <w:rPr>
        <w:rFonts w:hint="default"/>
        <w:lang w:val="es-ES" w:eastAsia="en-US" w:bidi="ar-SA"/>
      </w:rPr>
    </w:lvl>
  </w:abstractNum>
  <w:abstractNum w:abstractNumId="18">
    <w:multiLevelType w:val="hybridMultilevel"/>
    <w:lvl w:ilvl="0">
      <w:start w:val="0"/>
      <w:numFmt w:val="bullet"/>
      <w:lvlText w:val=""/>
      <w:lvlJc w:val="left"/>
      <w:pPr>
        <w:ind w:left="762" w:hanging="277"/>
      </w:pPr>
      <w:rPr>
        <w:rFonts w:hint="default" w:ascii="Symbol" w:hAnsi="Symbol" w:eastAsia="Symbol" w:cs="Symbol"/>
        <w:b w:val="0"/>
        <w:bCs w:val="0"/>
        <w:i w:val="0"/>
        <w:iCs w:val="0"/>
        <w:color w:val="2E2E2E"/>
        <w:spacing w:val="0"/>
        <w:w w:val="100"/>
        <w:sz w:val="20"/>
        <w:szCs w:val="20"/>
        <w:lang w:val="es-ES" w:eastAsia="en-US" w:bidi="ar-SA"/>
      </w:rPr>
    </w:lvl>
    <w:lvl w:ilvl="1">
      <w:start w:val="0"/>
      <w:numFmt w:val="bullet"/>
      <w:lvlText w:val="•"/>
      <w:lvlJc w:val="left"/>
      <w:pPr>
        <w:ind w:left="1750" w:hanging="277"/>
      </w:pPr>
      <w:rPr>
        <w:rFonts w:hint="default"/>
        <w:lang w:val="es-ES" w:eastAsia="en-US" w:bidi="ar-SA"/>
      </w:rPr>
    </w:lvl>
    <w:lvl w:ilvl="2">
      <w:start w:val="0"/>
      <w:numFmt w:val="bullet"/>
      <w:lvlText w:val="•"/>
      <w:lvlJc w:val="left"/>
      <w:pPr>
        <w:ind w:left="2740" w:hanging="277"/>
      </w:pPr>
      <w:rPr>
        <w:rFonts w:hint="default"/>
        <w:lang w:val="es-ES" w:eastAsia="en-US" w:bidi="ar-SA"/>
      </w:rPr>
    </w:lvl>
    <w:lvl w:ilvl="3">
      <w:start w:val="0"/>
      <w:numFmt w:val="bullet"/>
      <w:lvlText w:val="•"/>
      <w:lvlJc w:val="left"/>
      <w:pPr>
        <w:ind w:left="3730" w:hanging="277"/>
      </w:pPr>
      <w:rPr>
        <w:rFonts w:hint="default"/>
        <w:lang w:val="es-ES" w:eastAsia="en-US" w:bidi="ar-SA"/>
      </w:rPr>
    </w:lvl>
    <w:lvl w:ilvl="4">
      <w:start w:val="0"/>
      <w:numFmt w:val="bullet"/>
      <w:lvlText w:val="•"/>
      <w:lvlJc w:val="left"/>
      <w:pPr>
        <w:ind w:left="4720" w:hanging="277"/>
      </w:pPr>
      <w:rPr>
        <w:rFonts w:hint="default"/>
        <w:lang w:val="es-ES" w:eastAsia="en-US" w:bidi="ar-SA"/>
      </w:rPr>
    </w:lvl>
    <w:lvl w:ilvl="5">
      <w:start w:val="0"/>
      <w:numFmt w:val="bullet"/>
      <w:lvlText w:val="•"/>
      <w:lvlJc w:val="left"/>
      <w:pPr>
        <w:ind w:left="5710" w:hanging="277"/>
      </w:pPr>
      <w:rPr>
        <w:rFonts w:hint="default"/>
        <w:lang w:val="es-ES" w:eastAsia="en-US" w:bidi="ar-SA"/>
      </w:rPr>
    </w:lvl>
    <w:lvl w:ilvl="6">
      <w:start w:val="0"/>
      <w:numFmt w:val="bullet"/>
      <w:lvlText w:val="•"/>
      <w:lvlJc w:val="left"/>
      <w:pPr>
        <w:ind w:left="6700" w:hanging="277"/>
      </w:pPr>
      <w:rPr>
        <w:rFonts w:hint="default"/>
        <w:lang w:val="es-ES" w:eastAsia="en-US" w:bidi="ar-SA"/>
      </w:rPr>
    </w:lvl>
    <w:lvl w:ilvl="7">
      <w:start w:val="0"/>
      <w:numFmt w:val="bullet"/>
      <w:lvlText w:val="•"/>
      <w:lvlJc w:val="left"/>
      <w:pPr>
        <w:ind w:left="7690" w:hanging="277"/>
      </w:pPr>
      <w:rPr>
        <w:rFonts w:hint="default"/>
        <w:lang w:val="es-ES" w:eastAsia="en-US" w:bidi="ar-SA"/>
      </w:rPr>
    </w:lvl>
    <w:lvl w:ilvl="8">
      <w:start w:val="0"/>
      <w:numFmt w:val="bullet"/>
      <w:lvlText w:val="•"/>
      <w:lvlJc w:val="left"/>
      <w:pPr>
        <w:ind w:left="8680" w:hanging="277"/>
      </w:pPr>
      <w:rPr>
        <w:rFonts w:hint="default"/>
        <w:lang w:val="es-ES" w:eastAsia="en-US" w:bidi="ar-SA"/>
      </w:rPr>
    </w:lvl>
  </w:abstractNum>
  <w:abstractNum w:abstractNumId="16">
    <w:multiLevelType w:val="hybridMultilevel"/>
    <w:lvl w:ilvl="0">
      <w:start w:val="0"/>
      <w:numFmt w:val="bullet"/>
      <w:lvlText w:val=""/>
      <w:lvlJc w:val="left"/>
      <w:pPr>
        <w:ind w:left="721" w:hanging="204"/>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65" w:hanging="204"/>
      </w:pPr>
      <w:rPr>
        <w:rFonts w:hint="default"/>
        <w:lang w:val="es-ES" w:eastAsia="en-US" w:bidi="ar-SA"/>
      </w:rPr>
    </w:lvl>
    <w:lvl w:ilvl="2">
      <w:start w:val="0"/>
      <w:numFmt w:val="bullet"/>
      <w:lvlText w:val="•"/>
      <w:lvlJc w:val="left"/>
      <w:pPr>
        <w:ind w:left="2010" w:hanging="204"/>
      </w:pPr>
      <w:rPr>
        <w:rFonts w:hint="default"/>
        <w:lang w:val="es-ES" w:eastAsia="en-US" w:bidi="ar-SA"/>
      </w:rPr>
    </w:lvl>
    <w:lvl w:ilvl="3">
      <w:start w:val="0"/>
      <w:numFmt w:val="bullet"/>
      <w:lvlText w:val="•"/>
      <w:lvlJc w:val="left"/>
      <w:pPr>
        <w:ind w:left="2655" w:hanging="204"/>
      </w:pPr>
      <w:rPr>
        <w:rFonts w:hint="default"/>
        <w:lang w:val="es-ES" w:eastAsia="en-US" w:bidi="ar-SA"/>
      </w:rPr>
    </w:lvl>
    <w:lvl w:ilvl="4">
      <w:start w:val="0"/>
      <w:numFmt w:val="bullet"/>
      <w:lvlText w:val="•"/>
      <w:lvlJc w:val="left"/>
      <w:pPr>
        <w:ind w:left="3300" w:hanging="204"/>
      </w:pPr>
      <w:rPr>
        <w:rFonts w:hint="default"/>
        <w:lang w:val="es-ES" w:eastAsia="en-US" w:bidi="ar-SA"/>
      </w:rPr>
    </w:lvl>
    <w:lvl w:ilvl="5">
      <w:start w:val="0"/>
      <w:numFmt w:val="bullet"/>
      <w:lvlText w:val="•"/>
      <w:lvlJc w:val="left"/>
      <w:pPr>
        <w:ind w:left="3945" w:hanging="204"/>
      </w:pPr>
      <w:rPr>
        <w:rFonts w:hint="default"/>
        <w:lang w:val="es-ES" w:eastAsia="en-US" w:bidi="ar-SA"/>
      </w:rPr>
    </w:lvl>
    <w:lvl w:ilvl="6">
      <w:start w:val="0"/>
      <w:numFmt w:val="bullet"/>
      <w:lvlText w:val="•"/>
      <w:lvlJc w:val="left"/>
      <w:pPr>
        <w:ind w:left="4590" w:hanging="204"/>
      </w:pPr>
      <w:rPr>
        <w:rFonts w:hint="default"/>
        <w:lang w:val="es-ES" w:eastAsia="en-US" w:bidi="ar-SA"/>
      </w:rPr>
    </w:lvl>
    <w:lvl w:ilvl="7">
      <w:start w:val="0"/>
      <w:numFmt w:val="bullet"/>
      <w:lvlText w:val="•"/>
      <w:lvlJc w:val="left"/>
      <w:pPr>
        <w:ind w:left="5235" w:hanging="204"/>
      </w:pPr>
      <w:rPr>
        <w:rFonts w:hint="default"/>
        <w:lang w:val="es-ES" w:eastAsia="en-US" w:bidi="ar-SA"/>
      </w:rPr>
    </w:lvl>
    <w:lvl w:ilvl="8">
      <w:start w:val="0"/>
      <w:numFmt w:val="bullet"/>
      <w:lvlText w:val="•"/>
      <w:lvlJc w:val="left"/>
      <w:pPr>
        <w:ind w:left="5880" w:hanging="204"/>
      </w:pPr>
      <w:rPr>
        <w:rFonts w:hint="default"/>
        <w:lang w:val="es-ES" w:eastAsia="en-US" w:bidi="ar-SA"/>
      </w:rPr>
    </w:lvl>
  </w:abstractNum>
  <w:abstractNum w:abstractNumId="15">
    <w:multiLevelType w:val="hybridMultilevel"/>
    <w:lvl w:ilvl="0">
      <w:start w:val="0"/>
      <w:numFmt w:val="bullet"/>
      <w:lvlText w:val=""/>
      <w:lvlJc w:val="left"/>
      <w:pPr>
        <w:ind w:left="721" w:hanging="204"/>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65" w:hanging="204"/>
      </w:pPr>
      <w:rPr>
        <w:rFonts w:hint="default"/>
        <w:lang w:val="es-ES" w:eastAsia="en-US" w:bidi="ar-SA"/>
      </w:rPr>
    </w:lvl>
    <w:lvl w:ilvl="2">
      <w:start w:val="0"/>
      <w:numFmt w:val="bullet"/>
      <w:lvlText w:val="•"/>
      <w:lvlJc w:val="left"/>
      <w:pPr>
        <w:ind w:left="2010" w:hanging="204"/>
      </w:pPr>
      <w:rPr>
        <w:rFonts w:hint="default"/>
        <w:lang w:val="es-ES" w:eastAsia="en-US" w:bidi="ar-SA"/>
      </w:rPr>
    </w:lvl>
    <w:lvl w:ilvl="3">
      <w:start w:val="0"/>
      <w:numFmt w:val="bullet"/>
      <w:lvlText w:val="•"/>
      <w:lvlJc w:val="left"/>
      <w:pPr>
        <w:ind w:left="2655" w:hanging="204"/>
      </w:pPr>
      <w:rPr>
        <w:rFonts w:hint="default"/>
        <w:lang w:val="es-ES" w:eastAsia="en-US" w:bidi="ar-SA"/>
      </w:rPr>
    </w:lvl>
    <w:lvl w:ilvl="4">
      <w:start w:val="0"/>
      <w:numFmt w:val="bullet"/>
      <w:lvlText w:val="•"/>
      <w:lvlJc w:val="left"/>
      <w:pPr>
        <w:ind w:left="3300" w:hanging="204"/>
      </w:pPr>
      <w:rPr>
        <w:rFonts w:hint="default"/>
        <w:lang w:val="es-ES" w:eastAsia="en-US" w:bidi="ar-SA"/>
      </w:rPr>
    </w:lvl>
    <w:lvl w:ilvl="5">
      <w:start w:val="0"/>
      <w:numFmt w:val="bullet"/>
      <w:lvlText w:val="•"/>
      <w:lvlJc w:val="left"/>
      <w:pPr>
        <w:ind w:left="3945" w:hanging="204"/>
      </w:pPr>
      <w:rPr>
        <w:rFonts w:hint="default"/>
        <w:lang w:val="es-ES" w:eastAsia="en-US" w:bidi="ar-SA"/>
      </w:rPr>
    </w:lvl>
    <w:lvl w:ilvl="6">
      <w:start w:val="0"/>
      <w:numFmt w:val="bullet"/>
      <w:lvlText w:val="•"/>
      <w:lvlJc w:val="left"/>
      <w:pPr>
        <w:ind w:left="4590" w:hanging="204"/>
      </w:pPr>
      <w:rPr>
        <w:rFonts w:hint="default"/>
        <w:lang w:val="es-ES" w:eastAsia="en-US" w:bidi="ar-SA"/>
      </w:rPr>
    </w:lvl>
    <w:lvl w:ilvl="7">
      <w:start w:val="0"/>
      <w:numFmt w:val="bullet"/>
      <w:lvlText w:val="•"/>
      <w:lvlJc w:val="left"/>
      <w:pPr>
        <w:ind w:left="5235" w:hanging="204"/>
      </w:pPr>
      <w:rPr>
        <w:rFonts w:hint="default"/>
        <w:lang w:val="es-ES" w:eastAsia="en-US" w:bidi="ar-SA"/>
      </w:rPr>
    </w:lvl>
    <w:lvl w:ilvl="8">
      <w:start w:val="0"/>
      <w:numFmt w:val="bullet"/>
      <w:lvlText w:val="•"/>
      <w:lvlJc w:val="left"/>
      <w:pPr>
        <w:ind w:left="5880" w:hanging="204"/>
      </w:pPr>
      <w:rPr>
        <w:rFonts w:hint="default"/>
        <w:lang w:val="es-ES" w:eastAsia="en-US" w:bidi="ar-SA"/>
      </w:rPr>
    </w:lvl>
  </w:abstractNum>
  <w:abstractNum w:abstractNumId="14">
    <w:multiLevelType w:val="hybridMultilevel"/>
    <w:lvl w:ilvl="0">
      <w:start w:val="0"/>
      <w:numFmt w:val="bullet"/>
      <w:lvlText w:val=""/>
      <w:lvlJc w:val="left"/>
      <w:pPr>
        <w:ind w:left="721" w:hanging="204"/>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65" w:hanging="204"/>
      </w:pPr>
      <w:rPr>
        <w:rFonts w:hint="default"/>
        <w:lang w:val="es-ES" w:eastAsia="en-US" w:bidi="ar-SA"/>
      </w:rPr>
    </w:lvl>
    <w:lvl w:ilvl="2">
      <w:start w:val="0"/>
      <w:numFmt w:val="bullet"/>
      <w:lvlText w:val="•"/>
      <w:lvlJc w:val="left"/>
      <w:pPr>
        <w:ind w:left="2010" w:hanging="204"/>
      </w:pPr>
      <w:rPr>
        <w:rFonts w:hint="default"/>
        <w:lang w:val="es-ES" w:eastAsia="en-US" w:bidi="ar-SA"/>
      </w:rPr>
    </w:lvl>
    <w:lvl w:ilvl="3">
      <w:start w:val="0"/>
      <w:numFmt w:val="bullet"/>
      <w:lvlText w:val="•"/>
      <w:lvlJc w:val="left"/>
      <w:pPr>
        <w:ind w:left="2655" w:hanging="204"/>
      </w:pPr>
      <w:rPr>
        <w:rFonts w:hint="default"/>
        <w:lang w:val="es-ES" w:eastAsia="en-US" w:bidi="ar-SA"/>
      </w:rPr>
    </w:lvl>
    <w:lvl w:ilvl="4">
      <w:start w:val="0"/>
      <w:numFmt w:val="bullet"/>
      <w:lvlText w:val="•"/>
      <w:lvlJc w:val="left"/>
      <w:pPr>
        <w:ind w:left="3300" w:hanging="204"/>
      </w:pPr>
      <w:rPr>
        <w:rFonts w:hint="default"/>
        <w:lang w:val="es-ES" w:eastAsia="en-US" w:bidi="ar-SA"/>
      </w:rPr>
    </w:lvl>
    <w:lvl w:ilvl="5">
      <w:start w:val="0"/>
      <w:numFmt w:val="bullet"/>
      <w:lvlText w:val="•"/>
      <w:lvlJc w:val="left"/>
      <w:pPr>
        <w:ind w:left="3945" w:hanging="204"/>
      </w:pPr>
      <w:rPr>
        <w:rFonts w:hint="default"/>
        <w:lang w:val="es-ES" w:eastAsia="en-US" w:bidi="ar-SA"/>
      </w:rPr>
    </w:lvl>
    <w:lvl w:ilvl="6">
      <w:start w:val="0"/>
      <w:numFmt w:val="bullet"/>
      <w:lvlText w:val="•"/>
      <w:lvlJc w:val="left"/>
      <w:pPr>
        <w:ind w:left="4590" w:hanging="204"/>
      </w:pPr>
      <w:rPr>
        <w:rFonts w:hint="default"/>
        <w:lang w:val="es-ES" w:eastAsia="en-US" w:bidi="ar-SA"/>
      </w:rPr>
    </w:lvl>
    <w:lvl w:ilvl="7">
      <w:start w:val="0"/>
      <w:numFmt w:val="bullet"/>
      <w:lvlText w:val="•"/>
      <w:lvlJc w:val="left"/>
      <w:pPr>
        <w:ind w:left="5235" w:hanging="204"/>
      </w:pPr>
      <w:rPr>
        <w:rFonts w:hint="default"/>
        <w:lang w:val="es-ES" w:eastAsia="en-US" w:bidi="ar-SA"/>
      </w:rPr>
    </w:lvl>
    <w:lvl w:ilvl="8">
      <w:start w:val="0"/>
      <w:numFmt w:val="bullet"/>
      <w:lvlText w:val="•"/>
      <w:lvlJc w:val="left"/>
      <w:pPr>
        <w:ind w:left="5880" w:hanging="204"/>
      </w:pPr>
      <w:rPr>
        <w:rFonts w:hint="default"/>
        <w:lang w:val="es-ES" w:eastAsia="en-US" w:bidi="ar-SA"/>
      </w:rPr>
    </w:lvl>
  </w:abstractNum>
  <w:abstractNum w:abstractNumId="13">
    <w:multiLevelType w:val="hybridMultilevel"/>
    <w:lvl w:ilvl="0">
      <w:start w:val="0"/>
      <w:numFmt w:val="bullet"/>
      <w:lvlText w:val="o"/>
      <w:lvlJc w:val="left"/>
      <w:pPr>
        <w:ind w:left="1182" w:hanging="494"/>
      </w:pPr>
      <w:rPr>
        <w:rFonts w:hint="default" w:ascii="Courier New" w:hAnsi="Courier New" w:eastAsia="Courier New" w:cs="Courier New"/>
        <w:b w:val="0"/>
        <w:bCs w:val="0"/>
        <w:i w:val="0"/>
        <w:iCs w:val="0"/>
        <w:color w:val="2E2E2E"/>
        <w:spacing w:val="0"/>
        <w:w w:val="100"/>
        <w:sz w:val="20"/>
        <w:szCs w:val="20"/>
        <w:lang w:val="es-ES" w:eastAsia="en-US" w:bidi="ar-SA"/>
      </w:rPr>
    </w:lvl>
    <w:lvl w:ilvl="1">
      <w:start w:val="0"/>
      <w:numFmt w:val="bullet"/>
      <w:lvlText w:val="•"/>
      <w:lvlJc w:val="left"/>
      <w:pPr>
        <w:ind w:left="2128" w:hanging="494"/>
      </w:pPr>
      <w:rPr>
        <w:rFonts w:hint="default"/>
        <w:lang w:val="es-ES" w:eastAsia="en-US" w:bidi="ar-SA"/>
      </w:rPr>
    </w:lvl>
    <w:lvl w:ilvl="2">
      <w:start w:val="0"/>
      <w:numFmt w:val="bullet"/>
      <w:lvlText w:val="•"/>
      <w:lvlJc w:val="left"/>
      <w:pPr>
        <w:ind w:left="3076" w:hanging="494"/>
      </w:pPr>
      <w:rPr>
        <w:rFonts w:hint="default"/>
        <w:lang w:val="es-ES" w:eastAsia="en-US" w:bidi="ar-SA"/>
      </w:rPr>
    </w:lvl>
    <w:lvl w:ilvl="3">
      <w:start w:val="0"/>
      <w:numFmt w:val="bullet"/>
      <w:lvlText w:val="•"/>
      <w:lvlJc w:val="left"/>
      <w:pPr>
        <w:ind w:left="4024" w:hanging="494"/>
      </w:pPr>
      <w:rPr>
        <w:rFonts w:hint="default"/>
        <w:lang w:val="es-ES" w:eastAsia="en-US" w:bidi="ar-SA"/>
      </w:rPr>
    </w:lvl>
    <w:lvl w:ilvl="4">
      <w:start w:val="0"/>
      <w:numFmt w:val="bullet"/>
      <w:lvlText w:val="•"/>
      <w:lvlJc w:val="left"/>
      <w:pPr>
        <w:ind w:left="4972" w:hanging="494"/>
      </w:pPr>
      <w:rPr>
        <w:rFonts w:hint="default"/>
        <w:lang w:val="es-ES" w:eastAsia="en-US" w:bidi="ar-SA"/>
      </w:rPr>
    </w:lvl>
    <w:lvl w:ilvl="5">
      <w:start w:val="0"/>
      <w:numFmt w:val="bullet"/>
      <w:lvlText w:val="•"/>
      <w:lvlJc w:val="left"/>
      <w:pPr>
        <w:ind w:left="5920" w:hanging="494"/>
      </w:pPr>
      <w:rPr>
        <w:rFonts w:hint="default"/>
        <w:lang w:val="es-ES" w:eastAsia="en-US" w:bidi="ar-SA"/>
      </w:rPr>
    </w:lvl>
    <w:lvl w:ilvl="6">
      <w:start w:val="0"/>
      <w:numFmt w:val="bullet"/>
      <w:lvlText w:val="•"/>
      <w:lvlJc w:val="left"/>
      <w:pPr>
        <w:ind w:left="6868" w:hanging="494"/>
      </w:pPr>
      <w:rPr>
        <w:rFonts w:hint="default"/>
        <w:lang w:val="es-ES" w:eastAsia="en-US" w:bidi="ar-SA"/>
      </w:rPr>
    </w:lvl>
    <w:lvl w:ilvl="7">
      <w:start w:val="0"/>
      <w:numFmt w:val="bullet"/>
      <w:lvlText w:val="•"/>
      <w:lvlJc w:val="left"/>
      <w:pPr>
        <w:ind w:left="7816" w:hanging="494"/>
      </w:pPr>
      <w:rPr>
        <w:rFonts w:hint="default"/>
        <w:lang w:val="es-ES" w:eastAsia="en-US" w:bidi="ar-SA"/>
      </w:rPr>
    </w:lvl>
    <w:lvl w:ilvl="8">
      <w:start w:val="0"/>
      <w:numFmt w:val="bullet"/>
      <w:lvlText w:val="•"/>
      <w:lvlJc w:val="left"/>
      <w:pPr>
        <w:ind w:left="8764" w:hanging="494"/>
      </w:pPr>
      <w:rPr>
        <w:rFonts w:hint="default"/>
        <w:lang w:val="es-ES" w:eastAsia="en-US" w:bidi="ar-SA"/>
      </w:rPr>
    </w:lvl>
  </w:abstractNum>
  <w:abstractNum w:abstractNumId="12">
    <w:multiLevelType w:val="hybridMultilevel"/>
    <w:lvl w:ilvl="0">
      <w:start w:val="0"/>
      <w:numFmt w:val="bullet"/>
      <w:lvlText w:val=""/>
      <w:lvlJc w:val="left"/>
      <w:pPr>
        <w:ind w:left="439" w:hanging="239"/>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09" w:hanging="239"/>
      </w:pPr>
      <w:rPr>
        <w:rFonts w:hint="default"/>
        <w:lang w:val="es-ES" w:eastAsia="en-US" w:bidi="ar-SA"/>
      </w:rPr>
    </w:lvl>
    <w:lvl w:ilvl="2">
      <w:start w:val="0"/>
      <w:numFmt w:val="bullet"/>
      <w:lvlText w:val="•"/>
      <w:lvlJc w:val="left"/>
      <w:pPr>
        <w:ind w:left="2179" w:hanging="239"/>
      </w:pPr>
      <w:rPr>
        <w:rFonts w:hint="default"/>
        <w:lang w:val="es-ES" w:eastAsia="en-US" w:bidi="ar-SA"/>
      </w:rPr>
    </w:lvl>
    <w:lvl w:ilvl="3">
      <w:start w:val="0"/>
      <w:numFmt w:val="bullet"/>
      <w:lvlText w:val="•"/>
      <w:lvlJc w:val="left"/>
      <w:pPr>
        <w:ind w:left="3048" w:hanging="239"/>
      </w:pPr>
      <w:rPr>
        <w:rFonts w:hint="default"/>
        <w:lang w:val="es-ES" w:eastAsia="en-US" w:bidi="ar-SA"/>
      </w:rPr>
    </w:lvl>
    <w:lvl w:ilvl="4">
      <w:start w:val="0"/>
      <w:numFmt w:val="bullet"/>
      <w:lvlText w:val="•"/>
      <w:lvlJc w:val="left"/>
      <w:pPr>
        <w:ind w:left="3918" w:hanging="239"/>
      </w:pPr>
      <w:rPr>
        <w:rFonts w:hint="default"/>
        <w:lang w:val="es-ES" w:eastAsia="en-US" w:bidi="ar-SA"/>
      </w:rPr>
    </w:lvl>
    <w:lvl w:ilvl="5">
      <w:start w:val="0"/>
      <w:numFmt w:val="bullet"/>
      <w:lvlText w:val="•"/>
      <w:lvlJc w:val="left"/>
      <w:pPr>
        <w:ind w:left="4787" w:hanging="239"/>
      </w:pPr>
      <w:rPr>
        <w:rFonts w:hint="default"/>
        <w:lang w:val="es-ES" w:eastAsia="en-US" w:bidi="ar-SA"/>
      </w:rPr>
    </w:lvl>
    <w:lvl w:ilvl="6">
      <w:start w:val="0"/>
      <w:numFmt w:val="bullet"/>
      <w:lvlText w:val="•"/>
      <w:lvlJc w:val="left"/>
      <w:pPr>
        <w:ind w:left="5657" w:hanging="239"/>
      </w:pPr>
      <w:rPr>
        <w:rFonts w:hint="default"/>
        <w:lang w:val="es-ES" w:eastAsia="en-US" w:bidi="ar-SA"/>
      </w:rPr>
    </w:lvl>
    <w:lvl w:ilvl="7">
      <w:start w:val="0"/>
      <w:numFmt w:val="bullet"/>
      <w:lvlText w:val="•"/>
      <w:lvlJc w:val="left"/>
      <w:pPr>
        <w:ind w:left="6526" w:hanging="239"/>
      </w:pPr>
      <w:rPr>
        <w:rFonts w:hint="default"/>
        <w:lang w:val="es-ES" w:eastAsia="en-US" w:bidi="ar-SA"/>
      </w:rPr>
    </w:lvl>
    <w:lvl w:ilvl="8">
      <w:start w:val="0"/>
      <w:numFmt w:val="bullet"/>
      <w:lvlText w:val="•"/>
      <w:lvlJc w:val="left"/>
      <w:pPr>
        <w:ind w:left="7396" w:hanging="239"/>
      </w:pPr>
      <w:rPr>
        <w:rFonts w:hint="default"/>
        <w:lang w:val="es-ES" w:eastAsia="en-US" w:bidi="ar-SA"/>
      </w:rPr>
    </w:lvl>
  </w:abstractNum>
  <w:abstractNum w:abstractNumId="11">
    <w:multiLevelType w:val="hybridMultilevel"/>
    <w:lvl w:ilvl="0">
      <w:start w:val="0"/>
      <w:numFmt w:val="bullet"/>
      <w:lvlText w:val=""/>
      <w:lvlJc w:val="left"/>
      <w:pPr>
        <w:ind w:left="439" w:hanging="241"/>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09" w:hanging="241"/>
      </w:pPr>
      <w:rPr>
        <w:rFonts w:hint="default"/>
        <w:lang w:val="es-ES" w:eastAsia="en-US" w:bidi="ar-SA"/>
      </w:rPr>
    </w:lvl>
    <w:lvl w:ilvl="2">
      <w:start w:val="0"/>
      <w:numFmt w:val="bullet"/>
      <w:lvlText w:val="•"/>
      <w:lvlJc w:val="left"/>
      <w:pPr>
        <w:ind w:left="2179" w:hanging="241"/>
      </w:pPr>
      <w:rPr>
        <w:rFonts w:hint="default"/>
        <w:lang w:val="es-ES" w:eastAsia="en-US" w:bidi="ar-SA"/>
      </w:rPr>
    </w:lvl>
    <w:lvl w:ilvl="3">
      <w:start w:val="0"/>
      <w:numFmt w:val="bullet"/>
      <w:lvlText w:val="•"/>
      <w:lvlJc w:val="left"/>
      <w:pPr>
        <w:ind w:left="3048" w:hanging="241"/>
      </w:pPr>
      <w:rPr>
        <w:rFonts w:hint="default"/>
        <w:lang w:val="es-ES" w:eastAsia="en-US" w:bidi="ar-SA"/>
      </w:rPr>
    </w:lvl>
    <w:lvl w:ilvl="4">
      <w:start w:val="0"/>
      <w:numFmt w:val="bullet"/>
      <w:lvlText w:val="•"/>
      <w:lvlJc w:val="left"/>
      <w:pPr>
        <w:ind w:left="3918" w:hanging="241"/>
      </w:pPr>
      <w:rPr>
        <w:rFonts w:hint="default"/>
        <w:lang w:val="es-ES" w:eastAsia="en-US" w:bidi="ar-SA"/>
      </w:rPr>
    </w:lvl>
    <w:lvl w:ilvl="5">
      <w:start w:val="0"/>
      <w:numFmt w:val="bullet"/>
      <w:lvlText w:val="•"/>
      <w:lvlJc w:val="left"/>
      <w:pPr>
        <w:ind w:left="4787" w:hanging="241"/>
      </w:pPr>
      <w:rPr>
        <w:rFonts w:hint="default"/>
        <w:lang w:val="es-ES" w:eastAsia="en-US" w:bidi="ar-SA"/>
      </w:rPr>
    </w:lvl>
    <w:lvl w:ilvl="6">
      <w:start w:val="0"/>
      <w:numFmt w:val="bullet"/>
      <w:lvlText w:val="•"/>
      <w:lvlJc w:val="left"/>
      <w:pPr>
        <w:ind w:left="5657" w:hanging="241"/>
      </w:pPr>
      <w:rPr>
        <w:rFonts w:hint="default"/>
        <w:lang w:val="es-ES" w:eastAsia="en-US" w:bidi="ar-SA"/>
      </w:rPr>
    </w:lvl>
    <w:lvl w:ilvl="7">
      <w:start w:val="0"/>
      <w:numFmt w:val="bullet"/>
      <w:lvlText w:val="•"/>
      <w:lvlJc w:val="left"/>
      <w:pPr>
        <w:ind w:left="6526" w:hanging="241"/>
      </w:pPr>
      <w:rPr>
        <w:rFonts w:hint="default"/>
        <w:lang w:val="es-ES" w:eastAsia="en-US" w:bidi="ar-SA"/>
      </w:rPr>
    </w:lvl>
    <w:lvl w:ilvl="8">
      <w:start w:val="0"/>
      <w:numFmt w:val="bullet"/>
      <w:lvlText w:val="•"/>
      <w:lvlJc w:val="left"/>
      <w:pPr>
        <w:ind w:left="7396" w:hanging="241"/>
      </w:pPr>
      <w:rPr>
        <w:rFonts w:hint="default"/>
        <w:lang w:val="es-ES" w:eastAsia="en-US" w:bidi="ar-SA"/>
      </w:rPr>
    </w:lvl>
  </w:abstractNum>
  <w:abstractNum w:abstractNumId="10">
    <w:multiLevelType w:val="hybridMultilevel"/>
    <w:lvl w:ilvl="0">
      <w:start w:val="0"/>
      <w:numFmt w:val="bullet"/>
      <w:lvlText w:val=""/>
      <w:lvlJc w:val="left"/>
      <w:pPr>
        <w:ind w:left="439" w:hanging="241"/>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09" w:hanging="241"/>
      </w:pPr>
      <w:rPr>
        <w:rFonts w:hint="default"/>
        <w:lang w:val="es-ES" w:eastAsia="en-US" w:bidi="ar-SA"/>
      </w:rPr>
    </w:lvl>
    <w:lvl w:ilvl="2">
      <w:start w:val="0"/>
      <w:numFmt w:val="bullet"/>
      <w:lvlText w:val="•"/>
      <w:lvlJc w:val="left"/>
      <w:pPr>
        <w:ind w:left="2179" w:hanging="241"/>
      </w:pPr>
      <w:rPr>
        <w:rFonts w:hint="default"/>
        <w:lang w:val="es-ES" w:eastAsia="en-US" w:bidi="ar-SA"/>
      </w:rPr>
    </w:lvl>
    <w:lvl w:ilvl="3">
      <w:start w:val="0"/>
      <w:numFmt w:val="bullet"/>
      <w:lvlText w:val="•"/>
      <w:lvlJc w:val="left"/>
      <w:pPr>
        <w:ind w:left="3048" w:hanging="241"/>
      </w:pPr>
      <w:rPr>
        <w:rFonts w:hint="default"/>
        <w:lang w:val="es-ES" w:eastAsia="en-US" w:bidi="ar-SA"/>
      </w:rPr>
    </w:lvl>
    <w:lvl w:ilvl="4">
      <w:start w:val="0"/>
      <w:numFmt w:val="bullet"/>
      <w:lvlText w:val="•"/>
      <w:lvlJc w:val="left"/>
      <w:pPr>
        <w:ind w:left="3918" w:hanging="241"/>
      </w:pPr>
      <w:rPr>
        <w:rFonts w:hint="default"/>
        <w:lang w:val="es-ES" w:eastAsia="en-US" w:bidi="ar-SA"/>
      </w:rPr>
    </w:lvl>
    <w:lvl w:ilvl="5">
      <w:start w:val="0"/>
      <w:numFmt w:val="bullet"/>
      <w:lvlText w:val="•"/>
      <w:lvlJc w:val="left"/>
      <w:pPr>
        <w:ind w:left="4787" w:hanging="241"/>
      </w:pPr>
      <w:rPr>
        <w:rFonts w:hint="default"/>
        <w:lang w:val="es-ES" w:eastAsia="en-US" w:bidi="ar-SA"/>
      </w:rPr>
    </w:lvl>
    <w:lvl w:ilvl="6">
      <w:start w:val="0"/>
      <w:numFmt w:val="bullet"/>
      <w:lvlText w:val="•"/>
      <w:lvlJc w:val="left"/>
      <w:pPr>
        <w:ind w:left="5657" w:hanging="241"/>
      </w:pPr>
      <w:rPr>
        <w:rFonts w:hint="default"/>
        <w:lang w:val="es-ES" w:eastAsia="en-US" w:bidi="ar-SA"/>
      </w:rPr>
    </w:lvl>
    <w:lvl w:ilvl="7">
      <w:start w:val="0"/>
      <w:numFmt w:val="bullet"/>
      <w:lvlText w:val="•"/>
      <w:lvlJc w:val="left"/>
      <w:pPr>
        <w:ind w:left="6526" w:hanging="241"/>
      </w:pPr>
      <w:rPr>
        <w:rFonts w:hint="default"/>
        <w:lang w:val="es-ES" w:eastAsia="en-US" w:bidi="ar-SA"/>
      </w:rPr>
    </w:lvl>
    <w:lvl w:ilvl="8">
      <w:start w:val="0"/>
      <w:numFmt w:val="bullet"/>
      <w:lvlText w:val="•"/>
      <w:lvlJc w:val="left"/>
      <w:pPr>
        <w:ind w:left="7396" w:hanging="241"/>
      </w:pPr>
      <w:rPr>
        <w:rFonts w:hint="default"/>
        <w:lang w:val="es-ES" w:eastAsia="en-US" w:bidi="ar-SA"/>
      </w:rPr>
    </w:lvl>
  </w:abstractNum>
  <w:abstractNum w:abstractNumId="9">
    <w:multiLevelType w:val="hybridMultilevel"/>
    <w:lvl w:ilvl="0">
      <w:start w:val="0"/>
      <w:numFmt w:val="bullet"/>
      <w:lvlText w:val=""/>
      <w:lvlJc w:val="left"/>
      <w:pPr>
        <w:ind w:left="439" w:hanging="243"/>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09" w:hanging="243"/>
      </w:pPr>
      <w:rPr>
        <w:rFonts w:hint="default"/>
        <w:lang w:val="es-ES" w:eastAsia="en-US" w:bidi="ar-SA"/>
      </w:rPr>
    </w:lvl>
    <w:lvl w:ilvl="2">
      <w:start w:val="0"/>
      <w:numFmt w:val="bullet"/>
      <w:lvlText w:val="•"/>
      <w:lvlJc w:val="left"/>
      <w:pPr>
        <w:ind w:left="2179" w:hanging="243"/>
      </w:pPr>
      <w:rPr>
        <w:rFonts w:hint="default"/>
        <w:lang w:val="es-ES" w:eastAsia="en-US" w:bidi="ar-SA"/>
      </w:rPr>
    </w:lvl>
    <w:lvl w:ilvl="3">
      <w:start w:val="0"/>
      <w:numFmt w:val="bullet"/>
      <w:lvlText w:val="•"/>
      <w:lvlJc w:val="left"/>
      <w:pPr>
        <w:ind w:left="3048" w:hanging="243"/>
      </w:pPr>
      <w:rPr>
        <w:rFonts w:hint="default"/>
        <w:lang w:val="es-ES" w:eastAsia="en-US" w:bidi="ar-SA"/>
      </w:rPr>
    </w:lvl>
    <w:lvl w:ilvl="4">
      <w:start w:val="0"/>
      <w:numFmt w:val="bullet"/>
      <w:lvlText w:val="•"/>
      <w:lvlJc w:val="left"/>
      <w:pPr>
        <w:ind w:left="3918" w:hanging="243"/>
      </w:pPr>
      <w:rPr>
        <w:rFonts w:hint="default"/>
        <w:lang w:val="es-ES" w:eastAsia="en-US" w:bidi="ar-SA"/>
      </w:rPr>
    </w:lvl>
    <w:lvl w:ilvl="5">
      <w:start w:val="0"/>
      <w:numFmt w:val="bullet"/>
      <w:lvlText w:val="•"/>
      <w:lvlJc w:val="left"/>
      <w:pPr>
        <w:ind w:left="4787" w:hanging="243"/>
      </w:pPr>
      <w:rPr>
        <w:rFonts w:hint="default"/>
        <w:lang w:val="es-ES" w:eastAsia="en-US" w:bidi="ar-SA"/>
      </w:rPr>
    </w:lvl>
    <w:lvl w:ilvl="6">
      <w:start w:val="0"/>
      <w:numFmt w:val="bullet"/>
      <w:lvlText w:val="•"/>
      <w:lvlJc w:val="left"/>
      <w:pPr>
        <w:ind w:left="5657" w:hanging="243"/>
      </w:pPr>
      <w:rPr>
        <w:rFonts w:hint="default"/>
        <w:lang w:val="es-ES" w:eastAsia="en-US" w:bidi="ar-SA"/>
      </w:rPr>
    </w:lvl>
    <w:lvl w:ilvl="7">
      <w:start w:val="0"/>
      <w:numFmt w:val="bullet"/>
      <w:lvlText w:val="•"/>
      <w:lvlJc w:val="left"/>
      <w:pPr>
        <w:ind w:left="6526" w:hanging="243"/>
      </w:pPr>
      <w:rPr>
        <w:rFonts w:hint="default"/>
        <w:lang w:val="es-ES" w:eastAsia="en-US" w:bidi="ar-SA"/>
      </w:rPr>
    </w:lvl>
    <w:lvl w:ilvl="8">
      <w:start w:val="0"/>
      <w:numFmt w:val="bullet"/>
      <w:lvlText w:val="•"/>
      <w:lvlJc w:val="left"/>
      <w:pPr>
        <w:ind w:left="7396" w:hanging="243"/>
      </w:pPr>
      <w:rPr>
        <w:rFonts w:hint="default"/>
        <w:lang w:val="es-ES" w:eastAsia="en-US" w:bidi="ar-SA"/>
      </w:rPr>
    </w:lvl>
  </w:abstractNum>
  <w:abstractNum w:abstractNumId="8">
    <w:multiLevelType w:val="hybridMultilevel"/>
    <w:lvl w:ilvl="0">
      <w:start w:val="0"/>
      <w:numFmt w:val="bullet"/>
      <w:lvlText w:val=""/>
      <w:lvlJc w:val="left"/>
      <w:pPr>
        <w:ind w:left="439" w:hanging="218"/>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09" w:hanging="218"/>
      </w:pPr>
      <w:rPr>
        <w:rFonts w:hint="default"/>
        <w:lang w:val="es-ES" w:eastAsia="en-US" w:bidi="ar-SA"/>
      </w:rPr>
    </w:lvl>
    <w:lvl w:ilvl="2">
      <w:start w:val="0"/>
      <w:numFmt w:val="bullet"/>
      <w:lvlText w:val="•"/>
      <w:lvlJc w:val="left"/>
      <w:pPr>
        <w:ind w:left="2179" w:hanging="218"/>
      </w:pPr>
      <w:rPr>
        <w:rFonts w:hint="default"/>
        <w:lang w:val="es-ES" w:eastAsia="en-US" w:bidi="ar-SA"/>
      </w:rPr>
    </w:lvl>
    <w:lvl w:ilvl="3">
      <w:start w:val="0"/>
      <w:numFmt w:val="bullet"/>
      <w:lvlText w:val="•"/>
      <w:lvlJc w:val="left"/>
      <w:pPr>
        <w:ind w:left="3048" w:hanging="218"/>
      </w:pPr>
      <w:rPr>
        <w:rFonts w:hint="default"/>
        <w:lang w:val="es-ES" w:eastAsia="en-US" w:bidi="ar-SA"/>
      </w:rPr>
    </w:lvl>
    <w:lvl w:ilvl="4">
      <w:start w:val="0"/>
      <w:numFmt w:val="bullet"/>
      <w:lvlText w:val="•"/>
      <w:lvlJc w:val="left"/>
      <w:pPr>
        <w:ind w:left="3918" w:hanging="218"/>
      </w:pPr>
      <w:rPr>
        <w:rFonts w:hint="default"/>
        <w:lang w:val="es-ES" w:eastAsia="en-US" w:bidi="ar-SA"/>
      </w:rPr>
    </w:lvl>
    <w:lvl w:ilvl="5">
      <w:start w:val="0"/>
      <w:numFmt w:val="bullet"/>
      <w:lvlText w:val="•"/>
      <w:lvlJc w:val="left"/>
      <w:pPr>
        <w:ind w:left="4787" w:hanging="218"/>
      </w:pPr>
      <w:rPr>
        <w:rFonts w:hint="default"/>
        <w:lang w:val="es-ES" w:eastAsia="en-US" w:bidi="ar-SA"/>
      </w:rPr>
    </w:lvl>
    <w:lvl w:ilvl="6">
      <w:start w:val="0"/>
      <w:numFmt w:val="bullet"/>
      <w:lvlText w:val="•"/>
      <w:lvlJc w:val="left"/>
      <w:pPr>
        <w:ind w:left="5657" w:hanging="218"/>
      </w:pPr>
      <w:rPr>
        <w:rFonts w:hint="default"/>
        <w:lang w:val="es-ES" w:eastAsia="en-US" w:bidi="ar-SA"/>
      </w:rPr>
    </w:lvl>
    <w:lvl w:ilvl="7">
      <w:start w:val="0"/>
      <w:numFmt w:val="bullet"/>
      <w:lvlText w:val="•"/>
      <w:lvlJc w:val="left"/>
      <w:pPr>
        <w:ind w:left="6526" w:hanging="218"/>
      </w:pPr>
      <w:rPr>
        <w:rFonts w:hint="default"/>
        <w:lang w:val="es-ES" w:eastAsia="en-US" w:bidi="ar-SA"/>
      </w:rPr>
    </w:lvl>
    <w:lvl w:ilvl="8">
      <w:start w:val="0"/>
      <w:numFmt w:val="bullet"/>
      <w:lvlText w:val="•"/>
      <w:lvlJc w:val="left"/>
      <w:pPr>
        <w:ind w:left="7396" w:hanging="218"/>
      </w:pPr>
      <w:rPr>
        <w:rFonts w:hint="default"/>
        <w:lang w:val="es-ES" w:eastAsia="en-US" w:bidi="ar-SA"/>
      </w:rPr>
    </w:lvl>
  </w:abstractNum>
  <w:abstractNum w:abstractNumId="7">
    <w:multiLevelType w:val="hybridMultilevel"/>
    <w:lvl w:ilvl="0">
      <w:start w:val="0"/>
      <w:numFmt w:val="bullet"/>
      <w:lvlText w:val=""/>
      <w:lvlJc w:val="left"/>
      <w:pPr>
        <w:ind w:left="439" w:hanging="211"/>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09" w:hanging="211"/>
      </w:pPr>
      <w:rPr>
        <w:rFonts w:hint="default"/>
        <w:lang w:val="es-ES" w:eastAsia="en-US" w:bidi="ar-SA"/>
      </w:rPr>
    </w:lvl>
    <w:lvl w:ilvl="2">
      <w:start w:val="0"/>
      <w:numFmt w:val="bullet"/>
      <w:lvlText w:val="•"/>
      <w:lvlJc w:val="left"/>
      <w:pPr>
        <w:ind w:left="2179" w:hanging="211"/>
      </w:pPr>
      <w:rPr>
        <w:rFonts w:hint="default"/>
        <w:lang w:val="es-ES" w:eastAsia="en-US" w:bidi="ar-SA"/>
      </w:rPr>
    </w:lvl>
    <w:lvl w:ilvl="3">
      <w:start w:val="0"/>
      <w:numFmt w:val="bullet"/>
      <w:lvlText w:val="•"/>
      <w:lvlJc w:val="left"/>
      <w:pPr>
        <w:ind w:left="3048" w:hanging="211"/>
      </w:pPr>
      <w:rPr>
        <w:rFonts w:hint="default"/>
        <w:lang w:val="es-ES" w:eastAsia="en-US" w:bidi="ar-SA"/>
      </w:rPr>
    </w:lvl>
    <w:lvl w:ilvl="4">
      <w:start w:val="0"/>
      <w:numFmt w:val="bullet"/>
      <w:lvlText w:val="•"/>
      <w:lvlJc w:val="left"/>
      <w:pPr>
        <w:ind w:left="3918" w:hanging="211"/>
      </w:pPr>
      <w:rPr>
        <w:rFonts w:hint="default"/>
        <w:lang w:val="es-ES" w:eastAsia="en-US" w:bidi="ar-SA"/>
      </w:rPr>
    </w:lvl>
    <w:lvl w:ilvl="5">
      <w:start w:val="0"/>
      <w:numFmt w:val="bullet"/>
      <w:lvlText w:val="•"/>
      <w:lvlJc w:val="left"/>
      <w:pPr>
        <w:ind w:left="4787" w:hanging="211"/>
      </w:pPr>
      <w:rPr>
        <w:rFonts w:hint="default"/>
        <w:lang w:val="es-ES" w:eastAsia="en-US" w:bidi="ar-SA"/>
      </w:rPr>
    </w:lvl>
    <w:lvl w:ilvl="6">
      <w:start w:val="0"/>
      <w:numFmt w:val="bullet"/>
      <w:lvlText w:val="•"/>
      <w:lvlJc w:val="left"/>
      <w:pPr>
        <w:ind w:left="5657" w:hanging="211"/>
      </w:pPr>
      <w:rPr>
        <w:rFonts w:hint="default"/>
        <w:lang w:val="es-ES" w:eastAsia="en-US" w:bidi="ar-SA"/>
      </w:rPr>
    </w:lvl>
    <w:lvl w:ilvl="7">
      <w:start w:val="0"/>
      <w:numFmt w:val="bullet"/>
      <w:lvlText w:val="•"/>
      <w:lvlJc w:val="left"/>
      <w:pPr>
        <w:ind w:left="6526" w:hanging="211"/>
      </w:pPr>
      <w:rPr>
        <w:rFonts w:hint="default"/>
        <w:lang w:val="es-ES" w:eastAsia="en-US" w:bidi="ar-SA"/>
      </w:rPr>
    </w:lvl>
    <w:lvl w:ilvl="8">
      <w:start w:val="0"/>
      <w:numFmt w:val="bullet"/>
      <w:lvlText w:val="•"/>
      <w:lvlJc w:val="left"/>
      <w:pPr>
        <w:ind w:left="7396" w:hanging="211"/>
      </w:pPr>
      <w:rPr>
        <w:rFonts w:hint="default"/>
        <w:lang w:val="es-ES" w:eastAsia="en-US" w:bidi="ar-SA"/>
      </w:rPr>
    </w:lvl>
  </w:abstractNum>
  <w:abstractNum w:abstractNumId="6">
    <w:multiLevelType w:val="hybridMultilevel"/>
    <w:lvl w:ilvl="0">
      <w:start w:val="0"/>
      <w:numFmt w:val="bullet"/>
      <w:lvlText w:val=""/>
      <w:lvlJc w:val="left"/>
      <w:pPr>
        <w:ind w:left="439" w:hanging="235"/>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09" w:hanging="235"/>
      </w:pPr>
      <w:rPr>
        <w:rFonts w:hint="default"/>
        <w:lang w:val="es-ES" w:eastAsia="en-US" w:bidi="ar-SA"/>
      </w:rPr>
    </w:lvl>
    <w:lvl w:ilvl="2">
      <w:start w:val="0"/>
      <w:numFmt w:val="bullet"/>
      <w:lvlText w:val="•"/>
      <w:lvlJc w:val="left"/>
      <w:pPr>
        <w:ind w:left="2179" w:hanging="235"/>
      </w:pPr>
      <w:rPr>
        <w:rFonts w:hint="default"/>
        <w:lang w:val="es-ES" w:eastAsia="en-US" w:bidi="ar-SA"/>
      </w:rPr>
    </w:lvl>
    <w:lvl w:ilvl="3">
      <w:start w:val="0"/>
      <w:numFmt w:val="bullet"/>
      <w:lvlText w:val="•"/>
      <w:lvlJc w:val="left"/>
      <w:pPr>
        <w:ind w:left="3048" w:hanging="235"/>
      </w:pPr>
      <w:rPr>
        <w:rFonts w:hint="default"/>
        <w:lang w:val="es-ES" w:eastAsia="en-US" w:bidi="ar-SA"/>
      </w:rPr>
    </w:lvl>
    <w:lvl w:ilvl="4">
      <w:start w:val="0"/>
      <w:numFmt w:val="bullet"/>
      <w:lvlText w:val="•"/>
      <w:lvlJc w:val="left"/>
      <w:pPr>
        <w:ind w:left="3918" w:hanging="235"/>
      </w:pPr>
      <w:rPr>
        <w:rFonts w:hint="default"/>
        <w:lang w:val="es-ES" w:eastAsia="en-US" w:bidi="ar-SA"/>
      </w:rPr>
    </w:lvl>
    <w:lvl w:ilvl="5">
      <w:start w:val="0"/>
      <w:numFmt w:val="bullet"/>
      <w:lvlText w:val="•"/>
      <w:lvlJc w:val="left"/>
      <w:pPr>
        <w:ind w:left="4787" w:hanging="235"/>
      </w:pPr>
      <w:rPr>
        <w:rFonts w:hint="default"/>
        <w:lang w:val="es-ES" w:eastAsia="en-US" w:bidi="ar-SA"/>
      </w:rPr>
    </w:lvl>
    <w:lvl w:ilvl="6">
      <w:start w:val="0"/>
      <w:numFmt w:val="bullet"/>
      <w:lvlText w:val="•"/>
      <w:lvlJc w:val="left"/>
      <w:pPr>
        <w:ind w:left="5657" w:hanging="235"/>
      </w:pPr>
      <w:rPr>
        <w:rFonts w:hint="default"/>
        <w:lang w:val="es-ES" w:eastAsia="en-US" w:bidi="ar-SA"/>
      </w:rPr>
    </w:lvl>
    <w:lvl w:ilvl="7">
      <w:start w:val="0"/>
      <w:numFmt w:val="bullet"/>
      <w:lvlText w:val="•"/>
      <w:lvlJc w:val="left"/>
      <w:pPr>
        <w:ind w:left="6526" w:hanging="235"/>
      </w:pPr>
      <w:rPr>
        <w:rFonts w:hint="default"/>
        <w:lang w:val="es-ES" w:eastAsia="en-US" w:bidi="ar-SA"/>
      </w:rPr>
    </w:lvl>
    <w:lvl w:ilvl="8">
      <w:start w:val="0"/>
      <w:numFmt w:val="bullet"/>
      <w:lvlText w:val="•"/>
      <w:lvlJc w:val="left"/>
      <w:pPr>
        <w:ind w:left="7396" w:hanging="235"/>
      </w:pPr>
      <w:rPr>
        <w:rFonts w:hint="default"/>
        <w:lang w:val="es-ES" w:eastAsia="en-US" w:bidi="ar-SA"/>
      </w:rPr>
    </w:lvl>
  </w:abstractNum>
  <w:abstractNum w:abstractNumId="5">
    <w:multiLevelType w:val="hybridMultilevel"/>
    <w:lvl w:ilvl="0">
      <w:start w:val="0"/>
      <w:numFmt w:val="bullet"/>
      <w:lvlText w:val=""/>
      <w:lvlJc w:val="left"/>
      <w:pPr>
        <w:ind w:left="439" w:hanging="283"/>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309" w:hanging="283"/>
      </w:pPr>
      <w:rPr>
        <w:rFonts w:hint="default"/>
        <w:lang w:val="es-ES" w:eastAsia="en-US" w:bidi="ar-SA"/>
      </w:rPr>
    </w:lvl>
    <w:lvl w:ilvl="2">
      <w:start w:val="0"/>
      <w:numFmt w:val="bullet"/>
      <w:lvlText w:val="•"/>
      <w:lvlJc w:val="left"/>
      <w:pPr>
        <w:ind w:left="2179" w:hanging="283"/>
      </w:pPr>
      <w:rPr>
        <w:rFonts w:hint="default"/>
        <w:lang w:val="es-ES" w:eastAsia="en-US" w:bidi="ar-SA"/>
      </w:rPr>
    </w:lvl>
    <w:lvl w:ilvl="3">
      <w:start w:val="0"/>
      <w:numFmt w:val="bullet"/>
      <w:lvlText w:val="•"/>
      <w:lvlJc w:val="left"/>
      <w:pPr>
        <w:ind w:left="3048" w:hanging="283"/>
      </w:pPr>
      <w:rPr>
        <w:rFonts w:hint="default"/>
        <w:lang w:val="es-ES" w:eastAsia="en-US" w:bidi="ar-SA"/>
      </w:rPr>
    </w:lvl>
    <w:lvl w:ilvl="4">
      <w:start w:val="0"/>
      <w:numFmt w:val="bullet"/>
      <w:lvlText w:val="•"/>
      <w:lvlJc w:val="left"/>
      <w:pPr>
        <w:ind w:left="3918" w:hanging="283"/>
      </w:pPr>
      <w:rPr>
        <w:rFonts w:hint="default"/>
        <w:lang w:val="es-ES" w:eastAsia="en-US" w:bidi="ar-SA"/>
      </w:rPr>
    </w:lvl>
    <w:lvl w:ilvl="5">
      <w:start w:val="0"/>
      <w:numFmt w:val="bullet"/>
      <w:lvlText w:val="•"/>
      <w:lvlJc w:val="left"/>
      <w:pPr>
        <w:ind w:left="4787" w:hanging="283"/>
      </w:pPr>
      <w:rPr>
        <w:rFonts w:hint="default"/>
        <w:lang w:val="es-ES" w:eastAsia="en-US" w:bidi="ar-SA"/>
      </w:rPr>
    </w:lvl>
    <w:lvl w:ilvl="6">
      <w:start w:val="0"/>
      <w:numFmt w:val="bullet"/>
      <w:lvlText w:val="•"/>
      <w:lvlJc w:val="left"/>
      <w:pPr>
        <w:ind w:left="5657" w:hanging="283"/>
      </w:pPr>
      <w:rPr>
        <w:rFonts w:hint="default"/>
        <w:lang w:val="es-ES" w:eastAsia="en-US" w:bidi="ar-SA"/>
      </w:rPr>
    </w:lvl>
    <w:lvl w:ilvl="7">
      <w:start w:val="0"/>
      <w:numFmt w:val="bullet"/>
      <w:lvlText w:val="•"/>
      <w:lvlJc w:val="left"/>
      <w:pPr>
        <w:ind w:left="6526" w:hanging="283"/>
      </w:pPr>
      <w:rPr>
        <w:rFonts w:hint="default"/>
        <w:lang w:val="es-ES" w:eastAsia="en-US" w:bidi="ar-SA"/>
      </w:rPr>
    </w:lvl>
    <w:lvl w:ilvl="8">
      <w:start w:val="0"/>
      <w:numFmt w:val="bullet"/>
      <w:lvlText w:val="•"/>
      <w:lvlJc w:val="left"/>
      <w:pPr>
        <w:ind w:left="7396" w:hanging="283"/>
      </w:pPr>
      <w:rPr>
        <w:rFonts w:hint="default"/>
        <w:lang w:val="es-ES" w:eastAsia="en-US" w:bidi="ar-SA"/>
      </w:rPr>
    </w:lvl>
  </w:abstractNum>
  <w:abstractNum w:abstractNumId="4">
    <w:multiLevelType w:val="hybridMultilevel"/>
    <w:lvl w:ilvl="0">
      <w:start w:val="0"/>
      <w:numFmt w:val="bullet"/>
      <w:lvlText w:val="o"/>
      <w:lvlJc w:val="left"/>
      <w:pPr>
        <w:ind w:left="475" w:hanging="455"/>
      </w:pPr>
      <w:rPr>
        <w:rFonts w:hint="default" w:ascii="Courier New" w:hAnsi="Courier New" w:eastAsia="Courier New" w:cs="Courier New"/>
        <w:b w:val="0"/>
        <w:bCs w:val="0"/>
        <w:i w:val="0"/>
        <w:iCs w:val="0"/>
        <w:color w:val="2E2E2E"/>
        <w:spacing w:val="0"/>
        <w:w w:val="100"/>
        <w:sz w:val="20"/>
        <w:szCs w:val="20"/>
        <w:lang w:val="es-ES" w:eastAsia="en-US" w:bidi="ar-SA"/>
      </w:rPr>
    </w:lvl>
    <w:lvl w:ilvl="1">
      <w:start w:val="1"/>
      <w:numFmt w:val="decimal"/>
      <w:lvlText w:val="%2."/>
      <w:lvlJc w:val="left"/>
      <w:pPr>
        <w:ind w:left="115" w:hanging="202"/>
        <w:jc w:val="left"/>
      </w:pPr>
      <w:rPr>
        <w:rFonts w:hint="default" w:ascii="Arial MT" w:hAnsi="Arial MT" w:eastAsia="Arial MT" w:cs="Arial MT"/>
        <w:b w:val="0"/>
        <w:bCs w:val="0"/>
        <w:i w:val="0"/>
        <w:iCs w:val="0"/>
        <w:spacing w:val="0"/>
        <w:w w:val="100"/>
        <w:sz w:val="18"/>
        <w:szCs w:val="18"/>
        <w:lang w:val="es-ES" w:eastAsia="en-US" w:bidi="ar-SA"/>
      </w:rPr>
    </w:lvl>
    <w:lvl w:ilvl="2">
      <w:start w:val="0"/>
      <w:numFmt w:val="bullet"/>
      <w:lvlText w:val="•"/>
      <w:lvlJc w:val="left"/>
      <w:pPr>
        <w:ind w:left="1611" w:hanging="202"/>
      </w:pPr>
      <w:rPr>
        <w:rFonts w:hint="default"/>
        <w:lang w:val="es-ES" w:eastAsia="en-US" w:bidi="ar-SA"/>
      </w:rPr>
    </w:lvl>
    <w:lvl w:ilvl="3">
      <w:start w:val="0"/>
      <w:numFmt w:val="bullet"/>
      <w:lvlText w:val="•"/>
      <w:lvlJc w:val="left"/>
      <w:pPr>
        <w:ind w:left="2742" w:hanging="202"/>
      </w:pPr>
      <w:rPr>
        <w:rFonts w:hint="default"/>
        <w:lang w:val="es-ES" w:eastAsia="en-US" w:bidi="ar-SA"/>
      </w:rPr>
    </w:lvl>
    <w:lvl w:ilvl="4">
      <w:start w:val="0"/>
      <w:numFmt w:val="bullet"/>
      <w:lvlText w:val="•"/>
      <w:lvlJc w:val="left"/>
      <w:pPr>
        <w:ind w:left="3873" w:hanging="202"/>
      </w:pPr>
      <w:rPr>
        <w:rFonts w:hint="default"/>
        <w:lang w:val="es-ES" w:eastAsia="en-US" w:bidi="ar-SA"/>
      </w:rPr>
    </w:lvl>
    <w:lvl w:ilvl="5">
      <w:start w:val="0"/>
      <w:numFmt w:val="bullet"/>
      <w:lvlText w:val="•"/>
      <w:lvlJc w:val="left"/>
      <w:pPr>
        <w:ind w:left="5004" w:hanging="202"/>
      </w:pPr>
      <w:rPr>
        <w:rFonts w:hint="default"/>
        <w:lang w:val="es-ES" w:eastAsia="en-US" w:bidi="ar-SA"/>
      </w:rPr>
    </w:lvl>
    <w:lvl w:ilvl="6">
      <w:start w:val="0"/>
      <w:numFmt w:val="bullet"/>
      <w:lvlText w:val="•"/>
      <w:lvlJc w:val="left"/>
      <w:pPr>
        <w:ind w:left="6135" w:hanging="202"/>
      </w:pPr>
      <w:rPr>
        <w:rFonts w:hint="default"/>
        <w:lang w:val="es-ES" w:eastAsia="en-US" w:bidi="ar-SA"/>
      </w:rPr>
    </w:lvl>
    <w:lvl w:ilvl="7">
      <w:start w:val="0"/>
      <w:numFmt w:val="bullet"/>
      <w:lvlText w:val="•"/>
      <w:lvlJc w:val="left"/>
      <w:pPr>
        <w:ind w:left="7266" w:hanging="202"/>
      </w:pPr>
      <w:rPr>
        <w:rFonts w:hint="default"/>
        <w:lang w:val="es-ES" w:eastAsia="en-US" w:bidi="ar-SA"/>
      </w:rPr>
    </w:lvl>
    <w:lvl w:ilvl="8">
      <w:start w:val="0"/>
      <w:numFmt w:val="bullet"/>
      <w:lvlText w:val="•"/>
      <w:lvlJc w:val="left"/>
      <w:pPr>
        <w:ind w:left="8397" w:hanging="202"/>
      </w:pPr>
      <w:rPr>
        <w:rFonts w:hint="default"/>
        <w:lang w:val="es-ES" w:eastAsia="en-US" w:bidi="ar-SA"/>
      </w:rPr>
    </w:lvl>
  </w:abstractNum>
  <w:abstractNum w:abstractNumId="3">
    <w:multiLevelType w:val="hybridMultilevel"/>
    <w:lvl w:ilvl="0">
      <w:start w:val="1"/>
      <w:numFmt w:val="lowerLetter"/>
      <w:lvlText w:val="%1)"/>
      <w:lvlJc w:val="left"/>
      <w:pPr>
        <w:ind w:left="613" w:hanging="211"/>
        <w:jc w:val="left"/>
      </w:pPr>
      <w:rPr>
        <w:rFonts w:hint="default" w:ascii="Arial MT" w:hAnsi="Arial MT" w:eastAsia="Arial MT" w:cs="Arial MT"/>
        <w:b w:val="0"/>
        <w:bCs w:val="0"/>
        <w:i w:val="0"/>
        <w:iCs w:val="0"/>
        <w:color w:val="2E2E2E"/>
        <w:spacing w:val="0"/>
        <w:w w:val="100"/>
        <w:sz w:val="18"/>
        <w:szCs w:val="18"/>
        <w:lang w:val="es-ES" w:eastAsia="en-US" w:bidi="ar-SA"/>
      </w:rPr>
    </w:lvl>
    <w:lvl w:ilvl="1">
      <w:start w:val="0"/>
      <w:numFmt w:val="bullet"/>
      <w:lvlText w:val="•"/>
      <w:lvlJc w:val="left"/>
      <w:pPr>
        <w:ind w:left="1624" w:hanging="211"/>
      </w:pPr>
      <w:rPr>
        <w:rFonts w:hint="default"/>
        <w:lang w:val="es-ES" w:eastAsia="en-US" w:bidi="ar-SA"/>
      </w:rPr>
    </w:lvl>
    <w:lvl w:ilvl="2">
      <w:start w:val="0"/>
      <w:numFmt w:val="bullet"/>
      <w:lvlText w:val="•"/>
      <w:lvlJc w:val="left"/>
      <w:pPr>
        <w:ind w:left="2628" w:hanging="211"/>
      </w:pPr>
      <w:rPr>
        <w:rFonts w:hint="default"/>
        <w:lang w:val="es-ES" w:eastAsia="en-US" w:bidi="ar-SA"/>
      </w:rPr>
    </w:lvl>
    <w:lvl w:ilvl="3">
      <w:start w:val="0"/>
      <w:numFmt w:val="bullet"/>
      <w:lvlText w:val="•"/>
      <w:lvlJc w:val="left"/>
      <w:pPr>
        <w:ind w:left="3632" w:hanging="211"/>
      </w:pPr>
      <w:rPr>
        <w:rFonts w:hint="default"/>
        <w:lang w:val="es-ES" w:eastAsia="en-US" w:bidi="ar-SA"/>
      </w:rPr>
    </w:lvl>
    <w:lvl w:ilvl="4">
      <w:start w:val="0"/>
      <w:numFmt w:val="bullet"/>
      <w:lvlText w:val="•"/>
      <w:lvlJc w:val="left"/>
      <w:pPr>
        <w:ind w:left="4636" w:hanging="211"/>
      </w:pPr>
      <w:rPr>
        <w:rFonts w:hint="default"/>
        <w:lang w:val="es-ES" w:eastAsia="en-US" w:bidi="ar-SA"/>
      </w:rPr>
    </w:lvl>
    <w:lvl w:ilvl="5">
      <w:start w:val="0"/>
      <w:numFmt w:val="bullet"/>
      <w:lvlText w:val="•"/>
      <w:lvlJc w:val="left"/>
      <w:pPr>
        <w:ind w:left="5640" w:hanging="211"/>
      </w:pPr>
      <w:rPr>
        <w:rFonts w:hint="default"/>
        <w:lang w:val="es-ES" w:eastAsia="en-US" w:bidi="ar-SA"/>
      </w:rPr>
    </w:lvl>
    <w:lvl w:ilvl="6">
      <w:start w:val="0"/>
      <w:numFmt w:val="bullet"/>
      <w:lvlText w:val="•"/>
      <w:lvlJc w:val="left"/>
      <w:pPr>
        <w:ind w:left="6644" w:hanging="211"/>
      </w:pPr>
      <w:rPr>
        <w:rFonts w:hint="default"/>
        <w:lang w:val="es-ES" w:eastAsia="en-US" w:bidi="ar-SA"/>
      </w:rPr>
    </w:lvl>
    <w:lvl w:ilvl="7">
      <w:start w:val="0"/>
      <w:numFmt w:val="bullet"/>
      <w:lvlText w:val="•"/>
      <w:lvlJc w:val="left"/>
      <w:pPr>
        <w:ind w:left="7648" w:hanging="211"/>
      </w:pPr>
      <w:rPr>
        <w:rFonts w:hint="default"/>
        <w:lang w:val="es-ES" w:eastAsia="en-US" w:bidi="ar-SA"/>
      </w:rPr>
    </w:lvl>
    <w:lvl w:ilvl="8">
      <w:start w:val="0"/>
      <w:numFmt w:val="bullet"/>
      <w:lvlText w:val="•"/>
      <w:lvlJc w:val="left"/>
      <w:pPr>
        <w:ind w:left="8652" w:hanging="211"/>
      </w:pPr>
      <w:rPr>
        <w:rFonts w:hint="default"/>
        <w:lang w:val="es-ES" w:eastAsia="en-US" w:bidi="ar-SA"/>
      </w:rPr>
    </w:lvl>
  </w:abstractNum>
  <w:abstractNum w:abstractNumId="2">
    <w:multiLevelType w:val="hybridMultilevel"/>
    <w:lvl w:ilvl="0">
      <w:start w:val="1"/>
      <w:numFmt w:val="lowerLetter"/>
      <w:lvlText w:val="%1)"/>
      <w:lvlJc w:val="left"/>
      <w:pPr>
        <w:ind w:left="835" w:hanging="433"/>
        <w:jc w:val="left"/>
      </w:pPr>
      <w:rPr>
        <w:rFonts w:hint="default" w:ascii="Arial MT" w:hAnsi="Arial MT" w:eastAsia="Arial MT" w:cs="Arial MT"/>
        <w:b w:val="0"/>
        <w:bCs w:val="0"/>
        <w:i w:val="0"/>
        <w:iCs w:val="0"/>
        <w:color w:val="2E2E2E"/>
        <w:spacing w:val="0"/>
        <w:w w:val="100"/>
        <w:sz w:val="18"/>
        <w:szCs w:val="18"/>
        <w:lang w:val="es-ES" w:eastAsia="en-US" w:bidi="ar-SA"/>
      </w:rPr>
    </w:lvl>
    <w:lvl w:ilvl="1">
      <w:start w:val="0"/>
      <w:numFmt w:val="bullet"/>
      <w:lvlText w:val="•"/>
      <w:lvlJc w:val="left"/>
      <w:pPr>
        <w:ind w:left="1822" w:hanging="433"/>
      </w:pPr>
      <w:rPr>
        <w:rFonts w:hint="default"/>
        <w:lang w:val="es-ES" w:eastAsia="en-US" w:bidi="ar-SA"/>
      </w:rPr>
    </w:lvl>
    <w:lvl w:ilvl="2">
      <w:start w:val="0"/>
      <w:numFmt w:val="bullet"/>
      <w:lvlText w:val="•"/>
      <w:lvlJc w:val="left"/>
      <w:pPr>
        <w:ind w:left="2804" w:hanging="433"/>
      </w:pPr>
      <w:rPr>
        <w:rFonts w:hint="default"/>
        <w:lang w:val="es-ES" w:eastAsia="en-US" w:bidi="ar-SA"/>
      </w:rPr>
    </w:lvl>
    <w:lvl w:ilvl="3">
      <w:start w:val="0"/>
      <w:numFmt w:val="bullet"/>
      <w:lvlText w:val="•"/>
      <w:lvlJc w:val="left"/>
      <w:pPr>
        <w:ind w:left="3786" w:hanging="433"/>
      </w:pPr>
      <w:rPr>
        <w:rFonts w:hint="default"/>
        <w:lang w:val="es-ES" w:eastAsia="en-US" w:bidi="ar-SA"/>
      </w:rPr>
    </w:lvl>
    <w:lvl w:ilvl="4">
      <w:start w:val="0"/>
      <w:numFmt w:val="bullet"/>
      <w:lvlText w:val="•"/>
      <w:lvlJc w:val="left"/>
      <w:pPr>
        <w:ind w:left="4768" w:hanging="433"/>
      </w:pPr>
      <w:rPr>
        <w:rFonts w:hint="default"/>
        <w:lang w:val="es-ES" w:eastAsia="en-US" w:bidi="ar-SA"/>
      </w:rPr>
    </w:lvl>
    <w:lvl w:ilvl="5">
      <w:start w:val="0"/>
      <w:numFmt w:val="bullet"/>
      <w:lvlText w:val="•"/>
      <w:lvlJc w:val="left"/>
      <w:pPr>
        <w:ind w:left="5750" w:hanging="433"/>
      </w:pPr>
      <w:rPr>
        <w:rFonts w:hint="default"/>
        <w:lang w:val="es-ES" w:eastAsia="en-US" w:bidi="ar-SA"/>
      </w:rPr>
    </w:lvl>
    <w:lvl w:ilvl="6">
      <w:start w:val="0"/>
      <w:numFmt w:val="bullet"/>
      <w:lvlText w:val="•"/>
      <w:lvlJc w:val="left"/>
      <w:pPr>
        <w:ind w:left="6732" w:hanging="433"/>
      </w:pPr>
      <w:rPr>
        <w:rFonts w:hint="default"/>
        <w:lang w:val="es-ES" w:eastAsia="en-US" w:bidi="ar-SA"/>
      </w:rPr>
    </w:lvl>
    <w:lvl w:ilvl="7">
      <w:start w:val="0"/>
      <w:numFmt w:val="bullet"/>
      <w:lvlText w:val="•"/>
      <w:lvlJc w:val="left"/>
      <w:pPr>
        <w:ind w:left="7714" w:hanging="433"/>
      </w:pPr>
      <w:rPr>
        <w:rFonts w:hint="default"/>
        <w:lang w:val="es-ES" w:eastAsia="en-US" w:bidi="ar-SA"/>
      </w:rPr>
    </w:lvl>
    <w:lvl w:ilvl="8">
      <w:start w:val="0"/>
      <w:numFmt w:val="bullet"/>
      <w:lvlText w:val="•"/>
      <w:lvlJc w:val="left"/>
      <w:pPr>
        <w:ind w:left="8696" w:hanging="433"/>
      </w:pPr>
      <w:rPr>
        <w:rFonts w:hint="default"/>
        <w:lang w:val="es-ES" w:eastAsia="en-US" w:bidi="ar-SA"/>
      </w:rPr>
    </w:lvl>
  </w:abstractNum>
  <w:abstractNum w:abstractNumId="1">
    <w:multiLevelType w:val="hybridMultilevel"/>
    <w:lvl w:ilvl="0">
      <w:start w:val="1"/>
      <w:numFmt w:val="decimal"/>
      <w:lvlText w:val="%1."/>
      <w:lvlJc w:val="left"/>
      <w:pPr>
        <w:ind w:left="4727" w:hanging="201"/>
        <w:jc w:val="right"/>
      </w:pPr>
      <w:rPr>
        <w:rFonts w:hint="default" w:ascii="Arial" w:hAnsi="Arial" w:eastAsia="Arial" w:cs="Arial"/>
        <w:b/>
        <w:bCs/>
        <w:i w:val="0"/>
        <w:iCs w:val="0"/>
        <w:spacing w:val="0"/>
        <w:w w:val="100"/>
        <w:sz w:val="18"/>
        <w:szCs w:val="18"/>
        <w:lang w:val="es-ES" w:eastAsia="en-US" w:bidi="ar-SA"/>
      </w:rPr>
    </w:lvl>
    <w:lvl w:ilvl="1">
      <w:start w:val="1"/>
      <w:numFmt w:val="decimal"/>
      <w:lvlText w:val="%1.%2."/>
      <w:lvlJc w:val="left"/>
      <w:pPr>
        <w:ind w:left="753" w:hanging="351"/>
        <w:jc w:val="left"/>
      </w:pPr>
      <w:rPr>
        <w:rFonts w:hint="default" w:ascii="Arial" w:hAnsi="Arial" w:eastAsia="Arial" w:cs="Arial"/>
        <w:b/>
        <w:bCs/>
        <w:i w:val="0"/>
        <w:iCs w:val="0"/>
        <w:spacing w:val="0"/>
        <w:w w:val="100"/>
        <w:sz w:val="18"/>
        <w:szCs w:val="18"/>
        <w:lang w:val="es-ES" w:eastAsia="en-US" w:bidi="ar-SA"/>
      </w:rPr>
    </w:lvl>
    <w:lvl w:ilvl="2">
      <w:start w:val="1"/>
      <w:numFmt w:val="decimal"/>
      <w:lvlText w:val="%1.%2.%3."/>
      <w:lvlJc w:val="left"/>
      <w:pPr>
        <w:ind w:left="903" w:hanging="501"/>
        <w:jc w:val="left"/>
      </w:pPr>
      <w:rPr>
        <w:rFonts w:hint="default" w:ascii="Arial" w:hAnsi="Arial" w:eastAsia="Arial" w:cs="Arial"/>
        <w:b/>
        <w:bCs/>
        <w:i w:val="0"/>
        <w:iCs w:val="0"/>
        <w:spacing w:val="0"/>
        <w:w w:val="100"/>
        <w:sz w:val="18"/>
        <w:szCs w:val="18"/>
        <w:lang w:val="es-ES" w:eastAsia="en-US" w:bidi="ar-SA"/>
      </w:rPr>
    </w:lvl>
    <w:lvl w:ilvl="3">
      <w:start w:val="1"/>
      <w:numFmt w:val="decimal"/>
      <w:lvlText w:val="%1.%2.%3.%4"/>
      <w:lvlJc w:val="left"/>
      <w:pPr>
        <w:ind w:left="1003" w:hanging="601"/>
        <w:jc w:val="left"/>
      </w:pPr>
      <w:rPr>
        <w:rFonts w:hint="default" w:ascii="Arial" w:hAnsi="Arial" w:eastAsia="Arial" w:cs="Arial"/>
        <w:b/>
        <w:bCs/>
        <w:i w:val="0"/>
        <w:iCs w:val="0"/>
        <w:spacing w:val="0"/>
        <w:w w:val="100"/>
        <w:sz w:val="18"/>
        <w:szCs w:val="18"/>
        <w:lang w:val="es-ES" w:eastAsia="en-US" w:bidi="ar-SA"/>
      </w:rPr>
    </w:lvl>
    <w:lvl w:ilvl="4">
      <w:start w:val="0"/>
      <w:numFmt w:val="bullet"/>
      <w:lvlText w:val="•"/>
      <w:lvlJc w:val="left"/>
      <w:pPr>
        <w:ind w:left="5568" w:hanging="601"/>
      </w:pPr>
      <w:rPr>
        <w:rFonts w:hint="default"/>
        <w:lang w:val="es-ES" w:eastAsia="en-US" w:bidi="ar-SA"/>
      </w:rPr>
    </w:lvl>
    <w:lvl w:ilvl="5">
      <w:start w:val="0"/>
      <w:numFmt w:val="bullet"/>
      <w:lvlText w:val="•"/>
      <w:lvlJc w:val="left"/>
      <w:pPr>
        <w:ind w:left="6417" w:hanging="601"/>
      </w:pPr>
      <w:rPr>
        <w:rFonts w:hint="default"/>
        <w:lang w:val="es-ES" w:eastAsia="en-US" w:bidi="ar-SA"/>
      </w:rPr>
    </w:lvl>
    <w:lvl w:ilvl="6">
      <w:start w:val="0"/>
      <w:numFmt w:val="bullet"/>
      <w:lvlText w:val="•"/>
      <w:lvlJc w:val="left"/>
      <w:pPr>
        <w:ind w:left="7265" w:hanging="601"/>
      </w:pPr>
      <w:rPr>
        <w:rFonts w:hint="default"/>
        <w:lang w:val="es-ES" w:eastAsia="en-US" w:bidi="ar-SA"/>
      </w:rPr>
    </w:lvl>
    <w:lvl w:ilvl="7">
      <w:start w:val="0"/>
      <w:numFmt w:val="bullet"/>
      <w:lvlText w:val="•"/>
      <w:lvlJc w:val="left"/>
      <w:pPr>
        <w:ind w:left="8114" w:hanging="601"/>
      </w:pPr>
      <w:rPr>
        <w:rFonts w:hint="default"/>
        <w:lang w:val="es-ES" w:eastAsia="en-US" w:bidi="ar-SA"/>
      </w:rPr>
    </w:lvl>
    <w:lvl w:ilvl="8">
      <w:start w:val="0"/>
      <w:numFmt w:val="bullet"/>
      <w:lvlText w:val="•"/>
      <w:lvlJc w:val="left"/>
      <w:pPr>
        <w:ind w:left="8962" w:hanging="601"/>
      </w:pPr>
      <w:rPr>
        <w:rFonts w:hint="default"/>
        <w:lang w:val="es-ES" w:eastAsia="en-US" w:bidi="ar-SA"/>
      </w:rPr>
    </w:lvl>
  </w:abstractNum>
  <w:abstractNum w:abstractNumId="0">
    <w:multiLevelType w:val="hybridMultilevel"/>
    <w:lvl w:ilvl="0">
      <w:start w:val="1"/>
      <w:numFmt w:val="decimal"/>
      <w:lvlText w:val="%1."/>
      <w:lvlJc w:val="left"/>
      <w:pPr>
        <w:ind w:left="831" w:hanging="429"/>
        <w:jc w:val="left"/>
      </w:pPr>
      <w:rPr>
        <w:rFonts w:hint="default"/>
        <w:spacing w:val="0"/>
        <w:w w:val="100"/>
        <w:lang w:val="es-ES" w:eastAsia="en-US" w:bidi="ar-SA"/>
      </w:rPr>
    </w:lvl>
    <w:lvl w:ilvl="1">
      <w:start w:val="1"/>
      <w:numFmt w:val="decimal"/>
      <w:lvlText w:val="%1.%2."/>
      <w:lvlJc w:val="left"/>
      <w:pPr>
        <w:ind w:left="1302" w:hanging="468"/>
        <w:jc w:val="left"/>
      </w:pPr>
      <w:rPr>
        <w:rFonts w:hint="default" w:ascii="Arial MT" w:hAnsi="Arial MT" w:eastAsia="Arial MT" w:cs="Arial MT"/>
        <w:b w:val="0"/>
        <w:bCs w:val="0"/>
        <w:i w:val="0"/>
        <w:iCs w:val="0"/>
        <w:spacing w:val="0"/>
        <w:w w:val="100"/>
        <w:sz w:val="18"/>
        <w:szCs w:val="18"/>
        <w:lang w:val="es-ES" w:eastAsia="en-US" w:bidi="ar-SA"/>
      </w:rPr>
    </w:lvl>
    <w:lvl w:ilvl="2">
      <w:start w:val="1"/>
      <w:numFmt w:val="decimal"/>
      <w:lvlText w:val="%1.%2.%3."/>
      <w:lvlJc w:val="left"/>
      <w:pPr>
        <w:ind w:left="2054" w:hanging="673"/>
        <w:jc w:val="left"/>
      </w:pPr>
      <w:rPr>
        <w:rFonts w:hint="default" w:ascii="Arial MT" w:hAnsi="Arial MT" w:eastAsia="Arial MT" w:cs="Arial MT"/>
        <w:b w:val="0"/>
        <w:bCs w:val="0"/>
        <w:i w:val="0"/>
        <w:iCs w:val="0"/>
        <w:spacing w:val="0"/>
        <w:w w:val="100"/>
        <w:sz w:val="18"/>
        <w:szCs w:val="18"/>
        <w:lang w:val="es-ES" w:eastAsia="en-US" w:bidi="ar-SA"/>
      </w:rPr>
    </w:lvl>
    <w:lvl w:ilvl="3">
      <w:start w:val="1"/>
      <w:numFmt w:val="decimal"/>
      <w:lvlText w:val="%1.%2.%3.%4."/>
      <w:lvlJc w:val="left"/>
      <w:pPr>
        <w:ind w:left="2982" w:hanging="879"/>
        <w:jc w:val="left"/>
      </w:pPr>
      <w:rPr>
        <w:rFonts w:hint="default" w:ascii="Arial MT" w:hAnsi="Arial MT" w:eastAsia="Arial MT" w:cs="Arial MT"/>
        <w:b w:val="0"/>
        <w:bCs w:val="0"/>
        <w:i w:val="0"/>
        <w:iCs w:val="0"/>
        <w:spacing w:val="0"/>
        <w:w w:val="100"/>
        <w:sz w:val="18"/>
        <w:szCs w:val="18"/>
        <w:lang w:val="es-ES" w:eastAsia="en-US" w:bidi="ar-SA"/>
      </w:rPr>
    </w:lvl>
    <w:lvl w:ilvl="4">
      <w:start w:val="0"/>
      <w:numFmt w:val="bullet"/>
      <w:lvlText w:val="•"/>
      <w:lvlJc w:val="left"/>
      <w:pPr>
        <w:ind w:left="4077" w:hanging="879"/>
      </w:pPr>
      <w:rPr>
        <w:rFonts w:hint="default"/>
        <w:lang w:val="es-ES" w:eastAsia="en-US" w:bidi="ar-SA"/>
      </w:rPr>
    </w:lvl>
    <w:lvl w:ilvl="5">
      <w:start w:val="0"/>
      <w:numFmt w:val="bullet"/>
      <w:lvlText w:val="•"/>
      <w:lvlJc w:val="left"/>
      <w:pPr>
        <w:ind w:left="5174" w:hanging="879"/>
      </w:pPr>
      <w:rPr>
        <w:rFonts w:hint="default"/>
        <w:lang w:val="es-ES" w:eastAsia="en-US" w:bidi="ar-SA"/>
      </w:rPr>
    </w:lvl>
    <w:lvl w:ilvl="6">
      <w:start w:val="0"/>
      <w:numFmt w:val="bullet"/>
      <w:lvlText w:val="•"/>
      <w:lvlJc w:val="left"/>
      <w:pPr>
        <w:ind w:left="6271" w:hanging="879"/>
      </w:pPr>
      <w:rPr>
        <w:rFonts w:hint="default"/>
        <w:lang w:val="es-ES" w:eastAsia="en-US" w:bidi="ar-SA"/>
      </w:rPr>
    </w:lvl>
    <w:lvl w:ilvl="7">
      <w:start w:val="0"/>
      <w:numFmt w:val="bullet"/>
      <w:lvlText w:val="•"/>
      <w:lvlJc w:val="left"/>
      <w:pPr>
        <w:ind w:left="7368" w:hanging="879"/>
      </w:pPr>
      <w:rPr>
        <w:rFonts w:hint="default"/>
        <w:lang w:val="es-ES" w:eastAsia="en-US" w:bidi="ar-SA"/>
      </w:rPr>
    </w:lvl>
    <w:lvl w:ilvl="8">
      <w:start w:val="0"/>
      <w:numFmt w:val="bullet"/>
      <w:lvlText w:val="•"/>
      <w:lvlJc w:val="left"/>
      <w:pPr>
        <w:ind w:left="8465" w:hanging="879"/>
      </w:pPr>
      <w:rPr>
        <w:rFonts w:hint="default"/>
        <w:lang w:val="es-ES" w:eastAsia="en-US" w:bidi="ar-SA"/>
      </w:rPr>
    </w:lvl>
  </w:abstractNum>
  <w:num w:numId="18">
    <w:abstractNumId w:val="17"/>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108"/>
      <w:ind w:left="114" w:right="118" w:firstLine="287"/>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93"/>
      <w:ind w:left="932"/>
      <w:outlineLvl w:val="1"/>
    </w:pPr>
    <w:rPr>
      <w:rFonts w:ascii="Times New Roman" w:hAnsi="Times New Roman" w:eastAsia="Times New Roman" w:cs="Times New Roman"/>
      <w:b/>
      <w:bCs/>
      <w:sz w:val="18"/>
      <w:szCs w:val="18"/>
      <w:lang w:val="es-ES" w:eastAsia="en-US" w:bidi="ar-SA"/>
    </w:rPr>
  </w:style>
  <w:style w:styleId="Heading2" w:type="paragraph">
    <w:name w:val="Heading 2"/>
    <w:basedOn w:val="Normal"/>
    <w:uiPriority w:val="1"/>
    <w:qFormat/>
    <w:pPr>
      <w:spacing w:before="108"/>
      <w:ind w:left="402"/>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left="114"/>
    </w:pPr>
    <w:rPr>
      <w:rFonts w:ascii="Arial" w:hAnsi="Arial" w:eastAsia="Arial" w:cs="Arial"/>
      <w:b/>
      <w:bCs/>
      <w:sz w:val="19"/>
      <w:szCs w:val="19"/>
      <w:lang w:val="es-ES" w:eastAsia="en-US" w:bidi="ar-SA"/>
    </w:rPr>
  </w:style>
  <w:style w:styleId="ListParagraph" w:type="paragraph">
    <w:name w:val="List Paragraph"/>
    <w:basedOn w:val="Normal"/>
    <w:uiPriority w:val="1"/>
    <w:qFormat/>
    <w:pPr>
      <w:spacing w:before="93"/>
      <w:ind w:left="1182"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pappems.sems.gob.mx/" TargetMode="External"/><Relationship Id="rId8" Type="http://schemas.openxmlformats.org/officeDocument/2006/relationships/hyperlink" Target="http://www.sems.gob.mx/)" TargetMode="External"/><Relationship Id="rId9" Type="http://schemas.openxmlformats.org/officeDocument/2006/relationships/hyperlink" Target="http://www.sems.gob.mx/" TargetMode="External"/><Relationship Id="rId10" Type="http://schemas.openxmlformats.org/officeDocument/2006/relationships/hyperlink" Target="http://www.transparenciapresupuestaria.gob.mx/es/PTP/programas#inicio" TargetMode="External"/><Relationship Id="rId11" Type="http://schemas.openxmlformats.org/officeDocument/2006/relationships/hyperlink" Target="http://planeacion.sep.gob.mx/cortoplazo.aspx" TargetMode="External"/><Relationship Id="rId12" Type="http://schemas.openxmlformats.org/officeDocument/2006/relationships/hyperlink" Target="mailto:contraloriasocial@funcionpublica.gob.mx" TargetMode="External"/><Relationship Id="rId13" Type="http://schemas.openxmlformats.org/officeDocument/2006/relationships/hyperlink" Target="mailto:quejas@sep.gob.mx" TargetMode="External"/><Relationship Id="rId14" Type="http://schemas.openxmlformats.org/officeDocument/2006/relationships/hyperlink" Target="mailto:comentarios.pappems@sems.gob.mx" TargetMode="External"/><Relationship Id="rId15" Type="http://schemas.openxmlformats.org/officeDocument/2006/relationships/hyperlink" Target="http://www.inegi.org.mx/temas/uma/" TargetMode="External"/><Relationship Id="rId16" Type="http://schemas.openxmlformats.org/officeDocument/2006/relationships/image" Target="media/image1.png"/><Relationship Id="rId17" Type="http://schemas.openxmlformats.org/officeDocument/2006/relationships/image" Target="media/image2.jpeg"/><Relationship Id="rId18" Type="http://schemas.openxmlformats.org/officeDocument/2006/relationships/image" Target="media/image3.png"/><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of.gob.mx/nota_detalle.php?codigo=5712645&amp;fecha=27/12/2023&amp;prin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2024-07-01T21:31:42Z</dcterms:created>
  <dcterms:modified xsi:type="dcterms:W3CDTF">2024-07-01T21:31:42Z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Mozilla/5.0 (Windows NT 10.0; Win64; x64) AppleWebKit/537.36 (KHTML, like Gecko) Chrome/120.0.0.0 Safari/537.36</vt:lpwstr>
  </property>
  <property fmtid="{D5CDD505-2E9C-101B-9397-08002B2CF9AE}" pid="4" name="LastSaved">
    <vt:filetime>2024-07-01T00:00:00Z</vt:filetime>
  </property>
  <property fmtid="{D5CDD505-2E9C-101B-9397-08002B2CF9AE}" pid="5" name="Producer">
    <vt:lpwstr>Skia/PDF m120</vt:lpwstr>
  </property>
</Properties>
</file>