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
        <w:rPr>
          <w:rFonts w:ascii="Times New Roman"/>
          <w:sz w:val="20"/>
        </w:rPr>
      </w:pPr>
      <w:r>
        <w:rPr/>
        <w:pict>
          <v:group style="position:absolute;margin-left:9.25529pt;margin-top:557.355042pt;width:602.75pt;height:234.65pt;mso-position-horizontal-relative:page;mso-position-vertical-relative:page;z-index:251661312" coordorigin="185,11147" coordsize="12055,4693">
            <v:shape style="position:absolute;left:185;top:11147;width:12055;height:4693" type="#_x0000_t75" stroked="false">
              <v:imagedata r:id="rId5" o:title=""/>
            </v:shape>
            <v:line style="position:absolute" from="777,15825" to="1506,15825" stroked="true" strokeweight="1.199375pt" strokecolor="#000000">
              <v:stroke dashstyle="solid"/>
            </v:line>
            <w10:wrap type="none"/>
          </v:group>
        </w:pict>
      </w:r>
      <w:r>
        <w:rPr/>
        <w:pict>
          <v:line style="position:absolute;mso-position-horizontal-relative:page;mso-position-vertical-relative:page;z-index:251662336" from="417.886047pt,247.516468pt" to="417.886047pt,184.349396pt" stroked="true" strokeweight="1.200678pt" strokecolor="#000000">
            <v:stroke dashstyle="solid"/>
            <w10:wrap type="none"/>
          </v:line>
        </w:pict>
      </w:r>
      <w:r>
        <w:rPr>
          <w:rFonts w:ascii="Times New Roman"/>
          <w:sz w:val="20"/>
        </w:rPr>
        <w:drawing>
          <wp:inline distT="0" distB="0" distL="0" distR="0">
            <wp:extent cx="3451703" cy="1307496"/>
            <wp:effectExtent l="0" t="0" r="0" b="0"/>
            <wp:docPr id="1" name="image2.jpeg"/>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3451703" cy="1307496"/>
                    </a:xfrm>
                    <a:prstGeom prst="rect">
                      <a:avLst/>
                    </a:prstGeom>
                  </pic:spPr>
                </pic:pic>
              </a:graphicData>
            </a:graphic>
          </wp:inline>
        </w:drawing>
      </w:r>
      <w:r>
        <w:rPr>
          <w:rFonts w:ascii="Times New Roman"/>
          <w:sz w:val="20"/>
        </w:rPr>
      </w:r>
    </w:p>
    <w:p>
      <w:pPr>
        <w:pStyle w:val="BodyText"/>
        <w:spacing w:before="8"/>
        <w:rPr>
          <w:rFonts w:ascii="Times New Roman"/>
          <w:sz w:val="24"/>
        </w:rPr>
      </w:pPr>
      <w:r>
        <w:rPr/>
        <w:drawing>
          <wp:anchor distT="0" distB="0" distL="0" distR="0" allowOverlap="1" layoutInCell="1" locked="0" behindDoc="0" simplePos="0" relativeHeight="0">
            <wp:simplePos x="0" y="0"/>
            <wp:positionH relativeFrom="page">
              <wp:posOffset>15884</wp:posOffset>
            </wp:positionH>
            <wp:positionV relativeFrom="paragraph">
              <wp:posOffset>205408</wp:posOffset>
            </wp:positionV>
            <wp:extent cx="1879989" cy="373570"/>
            <wp:effectExtent l="0" t="0" r="0" b="0"/>
            <wp:wrapTopAndBottom/>
            <wp:docPr id="3" name="image3.jpeg"/>
            <wp:cNvGraphicFramePr>
              <a:graphicFrameLocks noChangeAspect="1"/>
            </wp:cNvGraphicFramePr>
            <a:graphic>
              <a:graphicData uri="http://schemas.openxmlformats.org/drawingml/2006/picture">
                <pic:pic>
                  <pic:nvPicPr>
                    <pic:cNvPr id="4" name="image3.jpeg"/>
                    <pic:cNvPicPr/>
                  </pic:nvPicPr>
                  <pic:blipFill>
                    <a:blip r:embed="rId7" cstate="print"/>
                    <a:stretch>
                      <a:fillRect/>
                    </a:stretch>
                  </pic:blipFill>
                  <pic:spPr>
                    <a:xfrm>
                      <a:off x="0" y="0"/>
                      <a:ext cx="1879989" cy="373570"/>
                    </a:xfrm>
                    <a:prstGeom prst="rect">
                      <a:avLst/>
                    </a:prstGeom>
                  </pic:spPr>
                </pic:pic>
              </a:graphicData>
            </a:graphic>
          </wp:anchor>
        </w:drawing>
      </w:r>
      <w:r>
        <w:rPr/>
        <w:drawing>
          <wp:anchor distT="0" distB="0" distL="0" distR="0" allowOverlap="1" layoutInCell="1" locked="0" behindDoc="0" simplePos="0" relativeHeight="1">
            <wp:simplePos x="0" y="0"/>
            <wp:positionH relativeFrom="page">
              <wp:posOffset>524171</wp:posOffset>
            </wp:positionH>
            <wp:positionV relativeFrom="paragraph">
              <wp:posOffset>733453</wp:posOffset>
            </wp:positionV>
            <wp:extent cx="4487717" cy="949071"/>
            <wp:effectExtent l="0" t="0" r="0" b="0"/>
            <wp:wrapTopAndBottom/>
            <wp:docPr id="5" name="image4.jpeg"/>
            <wp:cNvGraphicFramePr>
              <a:graphicFrameLocks noChangeAspect="1"/>
            </wp:cNvGraphicFramePr>
            <a:graphic>
              <a:graphicData uri="http://schemas.openxmlformats.org/drawingml/2006/picture">
                <pic:pic>
                  <pic:nvPicPr>
                    <pic:cNvPr id="6" name="image4.jpeg"/>
                    <pic:cNvPicPr/>
                  </pic:nvPicPr>
                  <pic:blipFill>
                    <a:blip r:embed="rId8" cstate="print"/>
                    <a:stretch>
                      <a:fillRect/>
                    </a:stretch>
                  </pic:blipFill>
                  <pic:spPr>
                    <a:xfrm>
                      <a:off x="0" y="0"/>
                      <a:ext cx="4487717" cy="949071"/>
                    </a:xfrm>
                    <a:prstGeom prst="rect">
                      <a:avLst/>
                    </a:prstGeom>
                  </pic:spPr>
                </pic:pic>
              </a:graphicData>
            </a:graphic>
          </wp:anchor>
        </w:drawing>
      </w:r>
      <w:r>
        <w:rPr/>
        <w:drawing>
          <wp:anchor distT="0" distB="0" distL="0" distR="0" allowOverlap="1" layoutInCell="1" locked="0" behindDoc="0" simplePos="0" relativeHeight="2">
            <wp:simplePos x="0" y="0"/>
            <wp:positionH relativeFrom="page">
              <wp:posOffset>5617210</wp:posOffset>
            </wp:positionH>
            <wp:positionV relativeFrom="paragraph">
              <wp:posOffset>885775</wp:posOffset>
            </wp:positionV>
            <wp:extent cx="1506013" cy="651224"/>
            <wp:effectExtent l="0" t="0" r="0" b="0"/>
            <wp:wrapTopAndBottom/>
            <wp:docPr id="7" name="image5.jpeg"/>
            <wp:cNvGraphicFramePr>
              <a:graphicFrameLocks noChangeAspect="1"/>
            </wp:cNvGraphicFramePr>
            <a:graphic>
              <a:graphicData uri="http://schemas.openxmlformats.org/drawingml/2006/picture">
                <pic:pic>
                  <pic:nvPicPr>
                    <pic:cNvPr id="8" name="image5.jpeg"/>
                    <pic:cNvPicPr/>
                  </pic:nvPicPr>
                  <pic:blipFill>
                    <a:blip r:embed="rId9" cstate="print"/>
                    <a:stretch>
                      <a:fillRect/>
                    </a:stretch>
                  </pic:blipFill>
                  <pic:spPr>
                    <a:xfrm>
                      <a:off x="0" y="0"/>
                      <a:ext cx="1506013" cy="651224"/>
                    </a:xfrm>
                    <a:prstGeom prst="rect">
                      <a:avLst/>
                    </a:prstGeom>
                  </pic:spPr>
                </pic:pic>
              </a:graphicData>
            </a:graphic>
          </wp:anchor>
        </w:drawing>
      </w:r>
    </w:p>
    <w:p>
      <w:pPr>
        <w:pStyle w:val="BodyText"/>
        <w:spacing w:before="2"/>
        <w:rPr>
          <w:rFonts w:ascii="Times New Roman"/>
          <w:sz w:val="15"/>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17"/>
        </w:rPr>
      </w:pPr>
    </w:p>
    <w:p>
      <w:pPr>
        <w:tabs>
          <w:tab w:pos="7907" w:val="left" w:leader="none"/>
        </w:tabs>
        <w:spacing w:line="612" w:lineRule="exact" w:before="82"/>
        <w:ind w:left="3304" w:right="0" w:firstLine="0"/>
        <w:jc w:val="left"/>
        <w:rPr>
          <w:rFonts w:ascii="Arial"/>
          <w:b/>
          <w:sz w:val="55"/>
        </w:rPr>
      </w:pPr>
      <w:r>
        <w:rPr>
          <w:rFonts w:ascii="Arial"/>
          <w:b/>
          <w:color w:val="727272"/>
          <w:w w:val="105"/>
          <w:sz w:val="55"/>
        </w:rPr>
        <w:t>LINEAMIENTOS</w:t>
        <w:tab/>
      </w:r>
      <w:r>
        <w:rPr>
          <w:rFonts w:ascii="Arial"/>
          <w:color w:val="727272"/>
          <w:w w:val="105"/>
          <w:sz w:val="55"/>
        </w:rPr>
        <w:t>DEL</w:t>
      </w:r>
      <w:r>
        <w:rPr>
          <w:rFonts w:ascii="Arial"/>
          <w:color w:val="727272"/>
          <w:spacing w:val="-47"/>
          <w:w w:val="105"/>
          <w:sz w:val="55"/>
        </w:rPr>
        <w:t> </w:t>
      </w:r>
      <w:r>
        <w:rPr>
          <w:rFonts w:ascii="Arial"/>
          <w:b/>
          <w:color w:val="727272"/>
          <w:w w:val="105"/>
          <w:sz w:val="55"/>
        </w:rPr>
        <w:t>SERVICIO</w:t>
      </w:r>
    </w:p>
    <w:p>
      <w:pPr>
        <w:spacing w:line="583" w:lineRule="exact" w:before="0"/>
        <w:ind w:left="3128" w:right="0" w:firstLine="0"/>
        <w:jc w:val="left"/>
        <w:rPr>
          <w:rFonts w:ascii="Arial"/>
          <w:b/>
          <w:sz w:val="55"/>
        </w:rPr>
      </w:pPr>
      <w:r>
        <w:rPr>
          <w:rFonts w:ascii="Arial"/>
          <w:color w:val="727272"/>
          <w:w w:val="105"/>
          <w:sz w:val="55"/>
        </w:rPr>
        <w:t>DE </w:t>
      </w:r>
      <w:r>
        <w:rPr>
          <w:rFonts w:ascii="Arial"/>
          <w:b/>
          <w:color w:val="727272"/>
          <w:w w:val="105"/>
          <w:sz w:val="55"/>
        </w:rPr>
        <w:t>ORIENTACION</w:t>
      </w:r>
      <w:r>
        <w:rPr>
          <w:rFonts w:ascii="Arial"/>
          <w:b/>
          <w:color w:val="727272"/>
          <w:spacing w:val="62"/>
          <w:w w:val="105"/>
          <w:sz w:val="55"/>
        </w:rPr>
        <w:t> </w:t>
      </w:r>
      <w:r>
        <w:rPr>
          <w:rFonts w:ascii="Arial"/>
          <w:b/>
          <w:color w:val="727272"/>
          <w:w w:val="105"/>
          <w:sz w:val="55"/>
        </w:rPr>
        <w:t>EDUCATIVA.</w:t>
      </w:r>
    </w:p>
    <w:p>
      <w:pPr>
        <w:spacing w:line="615" w:lineRule="exact" w:before="0"/>
        <w:ind w:left="4976" w:right="0" w:firstLine="0"/>
        <w:jc w:val="left"/>
        <w:rPr>
          <w:rFonts w:ascii="Arial"/>
          <w:sz w:val="56"/>
        </w:rPr>
      </w:pPr>
      <w:r>
        <w:rPr>
          <w:rFonts w:ascii="Arial"/>
          <w:color w:val="727272"/>
          <w:w w:val="110"/>
          <w:sz w:val="56"/>
        </w:rPr>
        <w:t>Presencial,</w:t>
      </w:r>
      <w:r>
        <w:rPr>
          <w:rFonts w:ascii="Arial"/>
          <w:color w:val="727272"/>
          <w:spacing w:val="16"/>
          <w:w w:val="110"/>
          <w:sz w:val="56"/>
        </w:rPr>
        <w:t> </w:t>
      </w:r>
      <w:r>
        <w:rPr>
          <w:rFonts w:ascii="Arial"/>
          <w:color w:val="727272"/>
          <w:w w:val="110"/>
          <w:sz w:val="56"/>
        </w:rPr>
        <w:t>Escolarizado.</w:t>
      </w:r>
    </w:p>
    <w:p>
      <w:pPr>
        <w:tabs>
          <w:tab w:pos="11457" w:val="left" w:leader="none"/>
        </w:tabs>
        <w:spacing w:before="510"/>
        <w:ind w:left="4419" w:right="0" w:firstLine="0"/>
        <w:jc w:val="left"/>
        <w:rPr>
          <w:rFonts w:ascii="Times New Roman"/>
          <w:sz w:val="38"/>
        </w:rPr>
      </w:pPr>
      <w:r>
        <w:rPr>
          <w:rFonts w:ascii="Times New Roman"/>
          <w:color w:val="727272"/>
          <w:w w:val="120"/>
          <w:sz w:val="38"/>
        </w:rPr>
        <w:t>2023</w:t>
      </w:r>
      <w:r>
        <w:rPr>
          <w:rFonts w:ascii="Times New Roman"/>
          <w:color w:val="727272"/>
          <w:sz w:val="38"/>
        </w:rPr>
        <w:t> </w:t>
      </w:r>
      <w:r>
        <w:rPr>
          <w:rFonts w:ascii="Times New Roman"/>
          <w:color w:val="727272"/>
          <w:spacing w:val="-37"/>
          <w:sz w:val="38"/>
        </w:rPr>
        <w:t> </w:t>
      </w:r>
      <w:r>
        <w:rPr>
          <w:rFonts w:ascii="Times New Roman"/>
          <w:color w:val="727272"/>
          <w:w w:val="100"/>
          <w:sz w:val="38"/>
          <w:u w:val="thick" w:color="992240"/>
        </w:rPr>
        <w:t> </w:t>
      </w:r>
      <w:r>
        <w:rPr>
          <w:rFonts w:ascii="Times New Roman"/>
          <w:color w:val="727272"/>
          <w:sz w:val="38"/>
          <w:u w:val="thick" w:color="992240"/>
        </w:rPr>
        <w:tab/>
      </w:r>
    </w:p>
    <w:p>
      <w:pPr>
        <w:spacing w:after="0"/>
        <w:jc w:val="left"/>
        <w:rPr>
          <w:rFonts w:ascii="Times New Roman"/>
          <w:sz w:val="38"/>
        </w:rPr>
        <w:sectPr>
          <w:type w:val="continuous"/>
          <w:pgSz w:w="12240" w:h="15840"/>
          <w:pgMar w:top="360" w:bottom="0" w:left="0" w:right="220"/>
        </w:sectPr>
      </w:pPr>
    </w:p>
    <w:p>
      <w:pPr>
        <w:pStyle w:val="BodyText"/>
        <w:ind w:left="3560"/>
        <w:rPr>
          <w:rFonts w:ascii="Times New Roman"/>
          <w:sz w:val="20"/>
        </w:rPr>
      </w:pPr>
      <w:r>
        <w:rPr>
          <w:rFonts w:ascii="Times New Roman"/>
          <w:sz w:val="20"/>
        </w:rPr>
        <w:drawing>
          <wp:inline distT="0" distB="0" distL="0" distR="0">
            <wp:extent cx="3242083" cy="1755648"/>
            <wp:effectExtent l="0" t="0" r="0" b="0"/>
            <wp:docPr id="11" name="image7.png" descr="Imagen que contiene libro, texto, tabla  Descripción generada automáticamente"/>
            <wp:cNvGraphicFramePr>
              <a:graphicFrameLocks noChangeAspect="1"/>
            </wp:cNvGraphicFramePr>
            <a:graphic>
              <a:graphicData uri="http://schemas.openxmlformats.org/drawingml/2006/picture">
                <pic:pic>
                  <pic:nvPicPr>
                    <pic:cNvPr id="12" name="image7.png"/>
                    <pic:cNvPicPr/>
                  </pic:nvPicPr>
                  <pic:blipFill>
                    <a:blip r:embed="rId11" cstate="print"/>
                    <a:stretch>
                      <a:fillRect/>
                    </a:stretch>
                  </pic:blipFill>
                  <pic:spPr>
                    <a:xfrm>
                      <a:off x="0" y="0"/>
                      <a:ext cx="3242083" cy="1755648"/>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6"/>
        </w:rPr>
      </w:pPr>
      <w:r>
        <w:rPr/>
        <w:drawing>
          <wp:anchor distT="0" distB="0" distL="0" distR="0" allowOverlap="1" layoutInCell="1" locked="0" behindDoc="0" simplePos="0" relativeHeight="5">
            <wp:simplePos x="0" y="0"/>
            <wp:positionH relativeFrom="page">
              <wp:posOffset>3356990</wp:posOffset>
            </wp:positionH>
            <wp:positionV relativeFrom="paragraph">
              <wp:posOffset>214741</wp:posOffset>
            </wp:positionV>
            <wp:extent cx="1051016" cy="448055"/>
            <wp:effectExtent l="0" t="0" r="0" b="0"/>
            <wp:wrapTopAndBottom/>
            <wp:docPr id="13" name="image8.png" descr="Logotipo  Descripción generada automáticamente"/>
            <wp:cNvGraphicFramePr>
              <a:graphicFrameLocks noChangeAspect="1"/>
            </wp:cNvGraphicFramePr>
            <a:graphic>
              <a:graphicData uri="http://schemas.openxmlformats.org/drawingml/2006/picture">
                <pic:pic>
                  <pic:nvPicPr>
                    <pic:cNvPr id="14" name="image8.png"/>
                    <pic:cNvPicPr/>
                  </pic:nvPicPr>
                  <pic:blipFill>
                    <a:blip r:embed="rId12" cstate="print"/>
                    <a:stretch>
                      <a:fillRect/>
                    </a:stretch>
                  </pic:blipFill>
                  <pic:spPr>
                    <a:xfrm>
                      <a:off x="0" y="0"/>
                      <a:ext cx="1051016" cy="448055"/>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line="491" w:lineRule="auto" w:before="233"/>
        <w:ind w:left="2909" w:right="1452" w:firstLine="345"/>
        <w:jc w:val="left"/>
        <w:rPr>
          <w:b/>
          <w:sz w:val="32"/>
        </w:rPr>
      </w:pPr>
      <w:r>
        <w:rPr>
          <w:b/>
          <w:color w:val="9F2141"/>
          <w:sz w:val="32"/>
        </w:rPr>
        <w:t>Dirección General del Bachillerato Dirección de Coordinación Académica</w:t>
      </w:r>
    </w:p>
    <w:p>
      <w:pPr>
        <w:pStyle w:val="BodyText"/>
        <w:rPr>
          <w:b/>
          <w:sz w:val="38"/>
        </w:rPr>
      </w:pPr>
    </w:p>
    <w:p>
      <w:pPr>
        <w:pStyle w:val="BodyText"/>
        <w:rPr>
          <w:b/>
          <w:sz w:val="38"/>
        </w:rPr>
      </w:pPr>
    </w:p>
    <w:p>
      <w:pPr>
        <w:pStyle w:val="BodyText"/>
        <w:rPr>
          <w:b/>
          <w:sz w:val="38"/>
        </w:rPr>
      </w:pPr>
    </w:p>
    <w:p>
      <w:pPr>
        <w:pStyle w:val="BodyText"/>
        <w:rPr>
          <w:b/>
          <w:sz w:val="38"/>
        </w:rPr>
      </w:pPr>
    </w:p>
    <w:p>
      <w:pPr>
        <w:pStyle w:val="BodyText"/>
        <w:spacing w:before="4"/>
        <w:rPr>
          <w:b/>
          <w:sz w:val="40"/>
        </w:rPr>
      </w:pPr>
    </w:p>
    <w:p>
      <w:pPr>
        <w:pStyle w:val="Heading2"/>
        <w:spacing w:line="285" w:lineRule="exact"/>
      </w:pPr>
      <w:r>
        <w:rPr/>
        <w:t>Segunda edición, 2023</w:t>
      </w:r>
    </w:p>
    <w:p>
      <w:pPr>
        <w:pStyle w:val="BodyText"/>
        <w:spacing w:line="213" w:lineRule="auto" w:before="9"/>
        <w:ind w:left="1702" w:right="5483"/>
      </w:pPr>
      <w:r>
        <w:rPr/>
        <w:t>Secretaría de Educación Pública Subsecretaría de Educación Media Superior Dirección General del Bachillerato</w:t>
      </w:r>
    </w:p>
    <w:p>
      <w:pPr>
        <w:pStyle w:val="BodyText"/>
        <w:spacing w:line="254" w:lineRule="exact"/>
        <w:ind w:left="1702"/>
      </w:pPr>
      <w:r>
        <w:rPr/>
        <w:t>Av. Revolución 1425, Col. Campestre.</w:t>
      </w:r>
    </w:p>
    <w:p>
      <w:pPr>
        <w:pStyle w:val="BodyText"/>
        <w:spacing w:line="213" w:lineRule="auto" w:before="8"/>
        <w:ind w:left="1702" w:right="5199"/>
      </w:pPr>
      <w:r>
        <w:rPr/>
        <w:t>Álvaro Obregón, C.P. 01040, Ciudad de México. Distribución gratuita.</w:t>
      </w:r>
    </w:p>
    <w:p>
      <w:pPr>
        <w:pStyle w:val="BodyText"/>
        <w:spacing w:line="274" w:lineRule="exact"/>
        <w:ind w:left="1702"/>
      </w:pPr>
      <w:r>
        <w:rPr/>
        <w:t>Prohibida su venta.</w:t>
      </w:r>
    </w:p>
    <w:p>
      <w:pPr>
        <w:spacing w:after="0" w:line="274" w:lineRule="exact"/>
        <w:sectPr>
          <w:footerReference w:type="default" r:id="rId10"/>
          <w:pgSz w:w="12240" w:h="15840"/>
          <w:pgMar w:footer="1170" w:header="0" w:top="1420" w:bottom="1360" w:left="0" w:right="220"/>
          <w:pgNumType w:start="2"/>
        </w:sectPr>
      </w:pPr>
    </w:p>
    <w:p>
      <w:pPr>
        <w:spacing w:before="83"/>
        <w:ind w:left="1702" w:right="0" w:firstLine="0"/>
        <w:jc w:val="left"/>
        <w:rPr>
          <w:rFonts w:ascii="Calibri"/>
          <w:sz w:val="26"/>
        </w:rPr>
      </w:pPr>
      <w:r>
        <w:rPr>
          <w:rFonts w:ascii="Calibri"/>
          <w:color w:val="9F2141"/>
          <w:w w:val="130"/>
          <w:sz w:val="26"/>
        </w:rPr>
        <w:t>CONTENIDO</w:t>
      </w:r>
    </w:p>
    <w:sdt>
      <w:sdtPr>
        <w:docPartObj>
          <w:docPartGallery w:val="Table of Contents"/>
          <w:docPartUnique/>
        </w:docPartObj>
      </w:sdtPr>
      <w:sdtEndPr/>
      <w:sdtContent>
        <w:p>
          <w:pPr>
            <w:pStyle w:val="TOC1"/>
            <w:tabs>
              <w:tab w:pos="9725" w:val="right" w:leader="none"/>
            </w:tabs>
            <w:spacing w:before="820"/>
          </w:pPr>
          <w:r>
            <w:fldChar w:fldCharType="begin"/>
          </w:r>
          <w:r>
            <w:instrText>TOC \o "1-1" \h \z \u </w:instrText>
          </w:r>
          <w:r>
            <w:fldChar w:fldCharType="separate"/>
          </w:r>
          <w:hyperlink w:history="true" w:anchor="_TOC_250006">
            <w:r>
              <w:rPr>
                <w:color w:val="7E7E7E"/>
                <w:w w:val="130"/>
              </w:rPr>
              <w:t>PRESENTACIÓN</w:t>
              <w:tab/>
              <w:t>4</w:t>
            </w:r>
          </w:hyperlink>
        </w:p>
        <w:p>
          <w:pPr>
            <w:pStyle w:val="TOC1"/>
            <w:tabs>
              <w:tab w:pos="9716" w:val="right" w:leader="none"/>
            </w:tabs>
            <w:spacing w:before="115"/>
          </w:pPr>
          <w:hyperlink w:history="true" w:anchor="_TOC_250005">
            <w:r>
              <w:rPr>
                <w:color w:val="7E7E7E"/>
                <w:w w:val="125"/>
              </w:rPr>
              <w:t>MARCO</w:t>
            </w:r>
            <w:r>
              <w:rPr>
                <w:color w:val="7E7E7E"/>
                <w:spacing w:val="-3"/>
                <w:w w:val="125"/>
              </w:rPr>
              <w:t> </w:t>
            </w:r>
            <w:r>
              <w:rPr>
                <w:color w:val="7E7E7E"/>
                <w:w w:val="125"/>
              </w:rPr>
              <w:t>REFERENCIAL</w:t>
              <w:tab/>
              <w:t>5</w:t>
            </w:r>
          </w:hyperlink>
        </w:p>
        <w:p>
          <w:pPr>
            <w:pStyle w:val="TOC1"/>
            <w:tabs>
              <w:tab w:pos="9705" w:val="right" w:leader="none"/>
            </w:tabs>
          </w:pPr>
          <w:hyperlink w:history="true" w:anchor="_TOC_250004">
            <w:r>
              <w:rPr>
                <w:color w:val="7E7E7E"/>
                <w:w w:val="130"/>
              </w:rPr>
              <w:t>¿QUIÉNES Y</w:t>
            </w:r>
            <w:r>
              <w:rPr>
                <w:color w:val="7E7E7E"/>
                <w:spacing w:val="-15"/>
                <w:w w:val="130"/>
              </w:rPr>
              <w:t> </w:t>
            </w:r>
            <w:r>
              <w:rPr>
                <w:color w:val="7E7E7E"/>
                <w:w w:val="130"/>
              </w:rPr>
              <w:t>CÓMO</w:t>
            </w:r>
            <w:r>
              <w:rPr>
                <w:color w:val="7E7E7E"/>
                <w:spacing w:val="-7"/>
                <w:w w:val="130"/>
              </w:rPr>
              <w:t> </w:t>
            </w:r>
            <w:r>
              <w:rPr>
                <w:color w:val="7E7E7E"/>
                <w:w w:val="130"/>
              </w:rPr>
              <w:t>PARTICIPAN?</w:t>
              <w:tab/>
              <w:t>8</w:t>
            </w:r>
          </w:hyperlink>
        </w:p>
        <w:p>
          <w:pPr>
            <w:pStyle w:val="TOC1"/>
            <w:tabs>
              <w:tab w:pos="9713" w:val="right" w:leader="none"/>
            </w:tabs>
          </w:pPr>
          <w:hyperlink w:history="true" w:anchor="_TOC_250003">
            <w:r>
              <w:rPr>
                <w:color w:val="7E7E7E"/>
                <w:w w:val="125"/>
              </w:rPr>
              <w:t>¿QUÉ Y</w:t>
            </w:r>
            <w:r>
              <w:rPr>
                <w:color w:val="7E7E7E"/>
                <w:spacing w:val="-7"/>
                <w:w w:val="125"/>
              </w:rPr>
              <w:t> </w:t>
            </w:r>
            <w:r>
              <w:rPr>
                <w:color w:val="7E7E7E"/>
                <w:w w:val="125"/>
              </w:rPr>
              <w:t>CUÁNDO</w:t>
            </w:r>
            <w:r>
              <w:rPr>
                <w:color w:val="7E7E7E"/>
                <w:spacing w:val="-3"/>
                <w:w w:val="125"/>
              </w:rPr>
              <w:t> </w:t>
            </w:r>
            <w:r>
              <w:rPr>
                <w:color w:val="7E7E7E"/>
                <w:w w:val="125"/>
              </w:rPr>
              <w:t>REPORTAR?</w:t>
              <w:tab/>
              <w:t>14</w:t>
            </w:r>
          </w:hyperlink>
        </w:p>
        <w:p>
          <w:pPr>
            <w:pStyle w:val="TOC1"/>
            <w:tabs>
              <w:tab w:pos="9704" w:val="right" w:leader="none"/>
            </w:tabs>
          </w:pPr>
          <w:hyperlink w:history="true" w:anchor="_TOC_250002">
            <w:r>
              <w:rPr>
                <w:color w:val="7E7E7E"/>
                <w:w w:val="115"/>
              </w:rPr>
              <w:t>ANEXOS</w:t>
              <w:tab/>
              <w:t>15</w:t>
            </w:r>
          </w:hyperlink>
        </w:p>
        <w:p>
          <w:pPr>
            <w:pStyle w:val="TOC1"/>
            <w:tabs>
              <w:tab w:pos="9722" w:val="right" w:leader="none"/>
            </w:tabs>
          </w:pPr>
          <w:hyperlink w:history="true" w:anchor="_TOC_250001">
            <w:r>
              <w:rPr>
                <w:color w:val="7E7E7E"/>
                <w:w w:val="120"/>
              </w:rPr>
              <w:t>GLOSARIO</w:t>
              <w:tab/>
              <w:t>18</w:t>
            </w:r>
          </w:hyperlink>
        </w:p>
        <w:p>
          <w:pPr>
            <w:pStyle w:val="TOC1"/>
            <w:tabs>
              <w:tab w:pos="9690" w:val="right" w:leader="none"/>
            </w:tabs>
          </w:pPr>
          <w:hyperlink w:history="true" w:anchor="_TOC_250000">
            <w:r>
              <w:rPr>
                <w:color w:val="7E7E7E"/>
                <w:w w:val="115"/>
              </w:rPr>
              <w:t>BIBLIOGRAFÍA</w:t>
              <w:tab/>
              <w:t>19</w:t>
            </w:r>
          </w:hyperlink>
        </w:p>
        <w:p>
          <w:pPr/>
          <w:r>
            <w:fldChar w:fldCharType="end"/>
          </w:r>
        </w:p>
      </w:sdtContent>
    </w:sdt>
    <w:p>
      <w:pPr>
        <w:spacing w:after="0"/>
        <w:sectPr>
          <w:pgSz w:w="12240" w:h="15840"/>
          <w:pgMar w:header="0" w:footer="1170" w:top="1340" w:bottom="1500" w:left="0" w:right="220"/>
        </w:sectPr>
      </w:pPr>
    </w:p>
    <w:p>
      <w:pPr>
        <w:pStyle w:val="Heading1"/>
      </w:pPr>
      <w:bookmarkStart w:name="_TOC_250006" w:id="1"/>
      <w:bookmarkEnd w:id="1"/>
      <w:r>
        <w:rPr>
          <w:color w:val="9F2141"/>
          <w:w w:val="130"/>
        </w:rPr>
        <w:t>PRESENTACIÓN</w:t>
      </w:r>
    </w:p>
    <w:p>
      <w:pPr>
        <w:pStyle w:val="BodyText"/>
        <w:spacing w:before="7"/>
        <w:rPr>
          <w:rFonts w:ascii="Calibri"/>
          <w:sz w:val="28"/>
        </w:rPr>
      </w:pPr>
    </w:p>
    <w:p>
      <w:pPr>
        <w:pStyle w:val="BodyText"/>
        <w:spacing w:line="211" w:lineRule="auto"/>
        <w:ind w:left="1702" w:right="1374"/>
        <w:jc w:val="both"/>
      </w:pPr>
      <w:r>
        <w:rPr/>
        <w:t>La Dirección General del Bachillerato (DGB), como sustento de la operación de</w:t>
      </w:r>
      <w:r>
        <w:rPr>
          <w:spacing w:val="-38"/>
        </w:rPr>
        <w:t> </w:t>
      </w:r>
      <w:r>
        <w:rPr/>
        <w:t>su plan de estudios en el contexto de la Nueva Escuela Mexicana (NEM)</w:t>
      </w:r>
      <w:r>
        <w:rPr>
          <w:i/>
        </w:rPr>
        <w:t>, </w:t>
      </w:r>
      <w:r>
        <w:rPr/>
        <w:t>emite los </w:t>
      </w:r>
      <w:r>
        <w:rPr>
          <w:b/>
        </w:rPr>
        <w:t>Lineamientos</w:t>
      </w:r>
      <w:r>
        <w:rPr>
          <w:b/>
          <w:spacing w:val="-12"/>
        </w:rPr>
        <w:t> </w:t>
      </w:r>
      <w:r>
        <w:rPr>
          <w:b/>
        </w:rPr>
        <w:t>del</w:t>
      </w:r>
      <w:r>
        <w:rPr>
          <w:b/>
          <w:spacing w:val="-10"/>
        </w:rPr>
        <w:t> </w:t>
      </w:r>
      <w:r>
        <w:rPr>
          <w:b/>
        </w:rPr>
        <w:t>Servicio</w:t>
      </w:r>
      <w:r>
        <w:rPr>
          <w:b/>
          <w:spacing w:val="-12"/>
        </w:rPr>
        <w:t> </w:t>
      </w:r>
      <w:r>
        <w:rPr>
          <w:b/>
        </w:rPr>
        <w:t>de</w:t>
      </w:r>
      <w:r>
        <w:rPr>
          <w:b/>
          <w:spacing w:val="-11"/>
        </w:rPr>
        <w:t> </w:t>
      </w:r>
      <w:r>
        <w:rPr>
          <w:b/>
        </w:rPr>
        <w:t>Orientación</w:t>
      </w:r>
      <w:r>
        <w:rPr>
          <w:b/>
          <w:spacing w:val="-10"/>
        </w:rPr>
        <w:t> </w:t>
      </w:r>
      <w:r>
        <w:rPr>
          <w:b/>
        </w:rPr>
        <w:t>Educativa</w:t>
      </w:r>
      <w:r>
        <w:rPr>
          <w:b/>
          <w:spacing w:val="-13"/>
        </w:rPr>
        <w:t> </w:t>
      </w:r>
      <w:r>
        <w:rPr>
          <w:b/>
        </w:rPr>
        <w:t>para</w:t>
      </w:r>
      <w:r>
        <w:rPr>
          <w:b/>
          <w:spacing w:val="-5"/>
        </w:rPr>
        <w:t> </w:t>
      </w:r>
      <w:r>
        <w:rPr>
          <w:b/>
        </w:rPr>
        <w:t>Bachillerato</w:t>
      </w:r>
      <w:r>
        <w:rPr>
          <w:b/>
          <w:spacing w:val="-11"/>
        </w:rPr>
        <w:t> </w:t>
      </w:r>
      <w:r>
        <w:rPr>
          <w:b/>
        </w:rPr>
        <w:t>General, </w:t>
      </w:r>
      <w:r>
        <w:rPr/>
        <w:t>en su </w:t>
      </w:r>
      <w:r>
        <w:rPr>
          <w:i/>
        </w:rPr>
        <w:t>modalidad escolarizada, presencial, </w:t>
      </w:r>
      <w:r>
        <w:rPr/>
        <w:t>mismos que tienen por finalidad brindar al personal responsable del servicio herramientas normativas, conceptuales y características fundamentales para ofrecer atención de calidad, con</w:t>
      </w:r>
      <w:r>
        <w:rPr>
          <w:spacing w:val="-18"/>
        </w:rPr>
        <w:t> </w:t>
      </w:r>
      <w:r>
        <w:rPr/>
        <w:t>la</w:t>
      </w:r>
      <w:r>
        <w:rPr>
          <w:spacing w:val="-15"/>
        </w:rPr>
        <w:t> </w:t>
      </w:r>
      <w:r>
        <w:rPr/>
        <w:t>intención</w:t>
      </w:r>
      <w:r>
        <w:rPr>
          <w:spacing w:val="-15"/>
        </w:rPr>
        <w:t> </w:t>
      </w:r>
      <w:r>
        <w:rPr/>
        <w:t>insoslayable</w:t>
      </w:r>
      <w:r>
        <w:rPr>
          <w:spacing w:val="-13"/>
        </w:rPr>
        <w:t> </w:t>
      </w:r>
      <w:r>
        <w:rPr/>
        <w:t>de</w:t>
      </w:r>
      <w:r>
        <w:rPr>
          <w:spacing w:val="-14"/>
        </w:rPr>
        <w:t> </w:t>
      </w:r>
      <w:r>
        <w:rPr/>
        <w:t>formar</w:t>
      </w:r>
      <w:r>
        <w:rPr>
          <w:spacing w:val="-17"/>
        </w:rPr>
        <w:t> </w:t>
      </w:r>
      <w:r>
        <w:rPr/>
        <w:t>integralmente</w:t>
      </w:r>
      <w:r>
        <w:rPr>
          <w:spacing w:val="-16"/>
        </w:rPr>
        <w:t> </w:t>
      </w:r>
      <w:r>
        <w:rPr/>
        <w:t>a</w:t>
      </w:r>
      <w:r>
        <w:rPr>
          <w:spacing w:val="-15"/>
        </w:rPr>
        <w:t> </w:t>
      </w:r>
      <w:r>
        <w:rPr/>
        <w:t>niñas,</w:t>
      </w:r>
      <w:r>
        <w:rPr>
          <w:spacing w:val="-13"/>
        </w:rPr>
        <w:t> </w:t>
      </w:r>
      <w:r>
        <w:rPr/>
        <w:t>niños,</w:t>
      </w:r>
      <w:r>
        <w:rPr>
          <w:spacing w:val="-16"/>
        </w:rPr>
        <w:t> </w:t>
      </w:r>
      <w:r>
        <w:rPr/>
        <w:t>adolescentes y jóvenes, a través de un aprendizaje de excelencia, inclusivo y equitativo, que</w:t>
      </w:r>
      <w:r>
        <w:rPr>
          <w:spacing w:val="57"/>
        </w:rPr>
        <w:t> </w:t>
      </w:r>
      <w:r>
        <w:rPr/>
        <w:t>promueva</w:t>
      </w:r>
      <w:r>
        <w:rPr>
          <w:spacing w:val="-11"/>
        </w:rPr>
        <w:t> </w:t>
      </w:r>
      <w:r>
        <w:rPr/>
        <w:t>el</w:t>
      </w:r>
      <w:r>
        <w:rPr>
          <w:spacing w:val="-9"/>
        </w:rPr>
        <w:t> </w:t>
      </w:r>
      <w:r>
        <w:rPr/>
        <w:t>trabajo</w:t>
      </w:r>
      <w:r>
        <w:rPr>
          <w:spacing w:val="-10"/>
        </w:rPr>
        <w:t> </w:t>
      </w:r>
      <w:r>
        <w:rPr/>
        <w:t>colaborativo</w:t>
      </w:r>
      <w:r>
        <w:rPr>
          <w:spacing w:val="-9"/>
        </w:rPr>
        <w:t> </w:t>
      </w:r>
      <w:r>
        <w:rPr/>
        <w:t>y</w:t>
      </w:r>
      <w:r>
        <w:rPr>
          <w:spacing w:val="-12"/>
        </w:rPr>
        <w:t> </w:t>
      </w:r>
      <w:r>
        <w:rPr/>
        <w:t>contextualice</w:t>
      </w:r>
      <w:r>
        <w:rPr>
          <w:spacing w:val="-9"/>
        </w:rPr>
        <w:t> </w:t>
      </w:r>
      <w:r>
        <w:rPr/>
        <w:t>el</w:t>
      </w:r>
      <w:r>
        <w:rPr>
          <w:spacing w:val="-9"/>
        </w:rPr>
        <w:t> </w:t>
      </w:r>
      <w:r>
        <w:rPr/>
        <w:t>proceso</w:t>
      </w:r>
      <w:r>
        <w:rPr>
          <w:spacing w:val="-12"/>
        </w:rPr>
        <w:t> </w:t>
      </w:r>
      <w:r>
        <w:rPr/>
        <w:t>educativo,</w:t>
      </w:r>
      <w:r>
        <w:rPr>
          <w:spacing w:val="-9"/>
        </w:rPr>
        <w:t> </w:t>
      </w:r>
      <w:r>
        <w:rPr/>
        <w:t>ofreciendo al estudiantado una educación que refuerce los valores durante todo el trayecto escolar.</w:t>
      </w:r>
    </w:p>
    <w:p>
      <w:pPr>
        <w:pStyle w:val="BodyText"/>
        <w:rPr>
          <w:sz w:val="21"/>
        </w:rPr>
      </w:pPr>
    </w:p>
    <w:p>
      <w:pPr>
        <w:pStyle w:val="BodyText"/>
        <w:spacing w:line="211" w:lineRule="auto"/>
        <w:ind w:left="1702" w:right="1476"/>
        <w:jc w:val="both"/>
      </w:pPr>
      <w:r>
        <w:rPr/>
        <w:t>El</w:t>
      </w:r>
      <w:r>
        <w:rPr>
          <w:spacing w:val="-9"/>
        </w:rPr>
        <w:t> </w:t>
      </w:r>
      <w:r>
        <w:rPr/>
        <w:t>modelo</w:t>
      </w:r>
      <w:r>
        <w:rPr>
          <w:spacing w:val="-8"/>
        </w:rPr>
        <w:t> </w:t>
      </w:r>
      <w:r>
        <w:rPr/>
        <w:t>educativo</w:t>
      </w:r>
      <w:r>
        <w:rPr>
          <w:spacing w:val="-6"/>
        </w:rPr>
        <w:t> </w:t>
      </w:r>
      <w:r>
        <w:rPr/>
        <w:t>que</w:t>
      </w:r>
      <w:r>
        <w:rPr>
          <w:spacing w:val="-6"/>
        </w:rPr>
        <w:t> </w:t>
      </w:r>
      <w:r>
        <w:rPr/>
        <w:t>propone</w:t>
      </w:r>
      <w:r>
        <w:rPr>
          <w:spacing w:val="-8"/>
        </w:rPr>
        <w:t> </w:t>
      </w:r>
      <w:r>
        <w:rPr/>
        <w:t>la</w:t>
      </w:r>
      <w:r>
        <w:rPr>
          <w:spacing w:val="-10"/>
        </w:rPr>
        <w:t> </w:t>
      </w:r>
      <w:r>
        <w:rPr/>
        <w:t>Nueva</w:t>
      </w:r>
      <w:r>
        <w:rPr>
          <w:spacing w:val="-9"/>
        </w:rPr>
        <w:t> </w:t>
      </w:r>
      <w:r>
        <w:rPr/>
        <w:t>Escuela</w:t>
      </w:r>
      <w:r>
        <w:rPr>
          <w:spacing w:val="-7"/>
        </w:rPr>
        <w:t> </w:t>
      </w:r>
      <w:r>
        <w:rPr/>
        <w:t>Mexicana,</w:t>
      </w:r>
      <w:r>
        <w:rPr>
          <w:spacing w:val="-7"/>
        </w:rPr>
        <w:t> </w:t>
      </w:r>
      <w:r>
        <w:rPr/>
        <w:t>al</w:t>
      </w:r>
      <w:r>
        <w:rPr>
          <w:spacing w:val="-7"/>
        </w:rPr>
        <w:t> </w:t>
      </w:r>
      <w:r>
        <w:rPr/>
        <w:t>ser</w:t>
      </w:r>
      <w:r>
        <w:rPr>
          <w:spacing w:val="-9"/>
        </w:rPr>
        <w:t> </w:t>
      </w:r>
      <w:r>
        <w:rPr/>
        <w:t>la</w:t>
      </w:r>
      <w:r>
        <w:rPr>
          <w:spacing w:val="-10"/>
        </w:rPr>
        <w:t> </w:t>
      </w:r>
      <w:r>
        <w:rPr/>
        <w:t>estructura conceptual que guía la planificación, diseño y evaluación del proceso de enseñanza y aprendizaje del sistema educativo, resalta el papel del constructivismo</w:t>
      </w:r>
      <w:r>
        <w:rPr>
          <w:spacing w:val="-6"/>
        </w:rPr>
        <w:t> </w:t>
      </w:r>
      <w:r>
        <w:rPr/>
        <w:t>y</w:t>
      </w:r>
      <w:r>
        <w:rPr>
          <w:spacing w:val="-8"/>
        </w:rPr>
        <w:t> </w:t>
      </w:r>
      <w:r>
        <w:rPr/>
        <w:t>el</w:t>
      </w:r>
      <w:r>
        <w:rPr>
          <w:spacing w:val="-5"/>
        </w:rPr>
        <w:t> </w:t>
      </w:r>
      <w:r>
        <w:rPr/>
        <w:t>humanismo,</w:t>
      </w:r>
      <w:r>
        <w:rPr>
          <w:spacing w:val="-5"/>
        </w:rPr>
        <w:t> </w:t>
      </w:r>
      <w:r>
        <w:rPr/>
        <w:t>considerados</w:t>
      </w:r>
      <w:r>
        <w:rPr>
          <w:spacing w:val="-5"/>
        </w:rPr>
        <w:t> </w:t>
      </w:r>
      <w:r>
        <w:rPr/>
        <w:t>el</w:t>
      </w:r>
      <w:r>
        <w:rPr>
          <w:spacing w:val="-8"/>
        </w:rPr>
        <w:t> </w:t>
      </w:r>
      <w:r>
        <w:rPr/>
        <w:t>camino</w:t>
      </w:r>
      <w:r>
        <w:rPr>
          <w:spacing w:val="-6"/>
        </w:rPr>
        <w:t> </w:t>
      </w:r>
      <w:r>
        <w:rPr/>
        <w:t>para</w:t>
      </w:r>
      <w:r>
        <w:rPr>
          <w:spacing w:val="-6"/>
        </w:rPr>
        <w:t> </w:t>
      </w:r>
      <w:r>
        <w:rPr/>
        <w:t>la</w:t>
      </w:r>
      <w:r>
        <w:rPr>
          <w:spacing w:val="-9"/>
        </w:rPr>
        <w:t> </w:t>
      </w:r>
      <w:r>
        <w:rPr/>
        <w:t>transformación educativa (SEP, 2022, p. 62). Este enfoque pedagógico permitirá a la comunidad estudiantil acceder a un aprendizaje activo, con consciencia sobre qué y cómo aprenden, al tiempo que contribuyen a la transformación social, con disposición a participar en actividades individuales y colectivas para conducir su vida y la de su comunidad hacia un futuro con bienestar y</w:t>
      </w:r>
      <w:r>
        <w:rPr>
          <w:spacing w:val="-6"/>
        </w:rPr>
        <w:t> </w:t>
      </w:r>
      <w:r>
        <w:rPr/>
        <w:t>satisfacción.</w:t>
      </w:r>
    </w:p>
    <w:p>
      <w:pPr>
        <w:pStyle w:val="BodyText"/>
        <w:spacing w:before="12"/>
        <w:rPr>
          <w:sz w:val="20"/>
        </w:rPr>
      </w:pPr>
    </w:p>
    <w:p>
      <w:pPr>
        <w:pStyle w:val="BodyText"/>
        <w:spacing w:line="211" w:lineRule="auto"/>
        <w:ind w:left="1702" w:right="1481"/>
        <w:jc w:val="both"/>
      </w:pPr>
      <w:r>
        <w:rPr/>
        <w:t>En este sentido, el estudiantado será el protagonista de su aprendizaje; sujetos activos que construyan sus conocimientos de forma colectiva, por lo que deben ser considerados sujetos de la educación, prioridad del Sistema Educativo Nacional y destinatarios finales de sus acciones (LGE, art. 14). Lo anterior, sin olvidar el papel del personal docente, quienes son agentes fundamentales del proceso educativo, profesionales de la formación y con una amplia visión pedagógica, quienes modelan el aprendizaje del estudiantado.</w:t>
      </w:r>
    </w:p>
    <w:p>
      <w:pPr>
        <w:pStyle w:val="BodyText"/>
        <w:spacing w:before="8"/>
        <w:rPr>
          <w:sz w:val="20"/>
        </w:rPr>
      </w:pPr>
    </w:p>
    <w:p>
      <w:pPr>
        <w:pStyle w:val="BodyText"/>
        <w:spacing w:line="211" w:lineRule="auto" w:before="1"/>
        <w:ind w:left="1702" w:right="1479"/>
        <w:jc w:val="both"/>
      </w:pPr>
      <w:r>
        <w:rPr/>
        <w:t>Bajo este contexto, es que el servicio de Orientación Educativa busca consolidar una formación tanto integral como armónica en el estudiantado, ofreciendo alternativas que les permitan reconocer, así como manifestar sus habilidades y emociones, que logren un mejor desempeño en distintos ámbitos de su vida</w:t>
      </w:r>
      <w:r>
        <w:rPr>
          <w:spacing w:val="57"/>
        </w:rPr>
        <w:t> </w:t>
      </w:r>
      <w:r>
        <w:rPr/>
        <w:t>favoreciendo su desarrollo intelectual, físico, emocional, social y cultural, en consonancia con los principios de la Nueva Escuela Mexicana.</w:t>
      </w:r>
    </w:p>
    <w:p>
      <w:pPr>
        <w:pStyle w:val="BodyText"/>
        <w:spacing w:before="11"/>
        <w:rPr>
          <w:sz w:val="17"/>
        </w:rPr>
      </w:pPr>
    </w:p>
    <w:p>
      <w:pPr>
        <w:pStyle w:val="BodyText"/>
        <w:ind w:left="1702"/>
        <w:jc w:val="both"/>
      </w:pPr>
      <w:r>
        <w:rPr/>
        <w:t>Con base en lo anterior, los presentes lineamientos serán aplicables para:</w:t>
      </w:r>
    </w:p>
    <w:p>
      <w:pPr>
        <w:pStyle w:val="BodyText"/>
        <w:rPr>
          <w:sz w:val="17"/>
        </w:rPr>
      </w:pPr>
    </w:p>
    <w:p>
      <w:pPr>
        <w:pStyle w:val="ListParagraph"/>
        <w:numPr>
          <w:ilvl w:val="0"/>
          <w:numId w:val="1"/>
        </w:numPr>
        <w:tabs>
          <w:tab w:pos="2421" w:val="left" w:leader="none"/>
          <w:tab w:pos="2422" w:val="left" w:leader="none"/>
        </w:tabs>
        <w:spacing w:line="286" w:lineRule="exact" w:before="0" w:after="0"/>
        <w:ind w:left="2422" w:right="0" w:hanging="360"/>
        <w:jc w:val="left"/>
        <w:rPr>
          <w:sz w:val="22"/>
        </w:rPr>
      </w:pPr>
      <w:r>
        <w:rPr>
          <w:sz w:val="22"/>
        </w:rPr>
        <w:t>Centros de Estudio de Bachillerato</w:t>
      </w:r>
      <w:r>
        <w:rPr>
          <w:spacing w:val="-1"/>
          <w:sz w:val="22"/>
        </w:rPr>
        <w:t> </w:t>
      </w:r>
      <w:r>
        <w:rPr>
          <w:sz w:val="22"/>
        </w:rPr>
        <w:t>(CEB)</w:t>
      </w:r>
    </w:p>
    <w:p>
      <w:pPr>
        <w:pStyle w:val="ListParagraph"/>
        <w:numPr>
          <w:ilvl w:val="0"/>
          <w:numId w:val="1"/>
        </w:numPr>
        <w:tabs>
          <w:tab w:pos="2421" w:val="left" w:leader="none"/>
          <w:tab w:pos="2422" w:val="left" w:leader="none"/>
        </w:tabs>
        <w:spacing w:line="268" w:lineRule="exact" w:before="0" w:after="0"/>
        <w:ind w:left="2422" w:right="0" w:hanging="360"/>
        <w:jc w:val="left"/>
        <w:rPr>
          <w:sz w:val="22"/>
        </w:rPr>
      </w:pPr>
      <w:r>
        <w:rPr>
          <w:sz w:val="22"/>
        </w:rPr>
        <w:t>Preparatorias Federales “Lázaro Cárdenas”</w:t>
      </w:r>
      <w:r>
        <w:rPr>
          <w:spacing w:val="-1"/>
          <w:sz w:val="22"/>
        </w:rPr>
        <w:t> </w:t>
      </w:r>
      <w:r>
        <w:rPr>
          <w:sz w:val="22"/>
        </w:rPr>
        <w:t>(PFLC)</w:t>
      </w:r>
    </w:p>
    <w:p>
      <w:pPr>
        <w:pStyle w:val="ListParagraph"/>
        <w:numPr>
          <w:ilvl w:val="0"/>
          <w:numId w:val="1"/>
        </w:numPr>
        <w:tabs>
          <w:tab w:pos="2421" w:val="left" w:leader="none"/>
          <w:tab w:pos="2422" w:val="left" w:leader="none"/>
        </w:tabs>
        <w:spacing w:line="268" w:lineRule="exact" w:before="0" w:after="0"/>
        <w:ind w:left="2422" w:right="0" w:hanging="360"/>
        <w:jc w:val="left"/>
        <w:rPr>
          <w:sz w:val="22"/>
        </w:rPr>
      </w:pPr>
      <w:r>
        <w:rPr>
          <w:sz w:val="22"/>
        </w:rPr>
        <w:t>Preparatorias Federales por Cooperación</w:t>
      </w:r>
      <w:r>
        <w:rPr>
          <w:spacing w:val="-2"/>
          <w:sz w:val="22"/>
        </w:rPr>
        <w:t> </w:t>
      </w:r>
      <w:r>
        <w:rPr>
          <w:sz w:val="22"/>
        </w:rPr>
        <w:t>(PREFECOS)</w:t>
      </w:r>
    </w:p>
    <w:p>
      <w:pPr>
        <w:pStyle w:val="ListParagraph"/>
        <w:numPr>
          <w:ilvl w:val="0"/>
          <w:numId w:val="1"/>
        </w:numPr>
        <w:tabs>
          <w:tab w:pos="2421" w:val="left" w:leader="none"/>
          <w:tab w:pos="2422" w:val="left" w:leader="none"/>
        </w:tabs>
        <w:spacing w:line="286" w:lineRule="exact" w:before="0" w:after="0"/>
        <w:ind w:left="2422" w:right="0" w:hanging="360"/>
        <w:jc w:val="left"/>
        <w:rPr>
          <w:sz w:val="22"/>
        </w:rPr>
      </w:pPr>
      <w:r>
        <w:rPr>
          <w:sz w:val="22"/>
        </w:rPr>
        <w:t>Escuelas Preparatorias Particulares Incorporadas</w:t>
      </w:r>
      <w:r>
        <w:rPr>
          <w:spacing w:val="-1"/>
          <w:sz w:val="22"/>
        </w:rPr>
        <w:t> </w:t>
      </w:r>
      <w:r>
        <w:rPr>
          <w:sz w:val="22"/>
        </w:rPr>
        <w:t>(EPPIS)</w:t>
      </w:r>
    </w:p>
    <w:p>
      <w:pPr>
        <w:spacing w:after="0" w:line="286" w:lineRule="exact"/>
        <w:jc w:val="left"/>
        <w:rPr>
          <w:sz w:val="22"/>
        </w:rPr>
        <w:sectPr>
          <w:pgSz w:w="12240" w:h="15840"/>
          <w:pgMar w:header="0" w:footer="1170" w:top="1340" w:bottom="1500" w:left="0" w:right="220"/>
        </w:sectPr>
      </w:pPr>
    </w:p>
    <w:p>
      <w:pPr>
        <w:pStyle w:val="Heading1"/>
        <w:jc w:val="both"/>
      </w:pPr>
      <w:bookmarkStart w:name="_TOC_250005" w:id="2"/>
      <w:bookmarkEnd w:id="2"/>
      <w:r>
        <w:rPr>
          <w:color w:val="9F2141"/>
          <w:w w:val="130"/>
        </w:rPr>
        <w:t>MARCO REFERENCIAL</w:t>
      </w:r>
    </w:p>
    <w:p>
      <w:pPr>
        <w:pStyle w:val="BodyText"/>
        <w:spacing w:before="2"/>
        <w:rPr>
          <w:rFonts w:ascii="Calibri"/>
          <w:sz w:val="26"/>
        </w:rPr>
      </w:pPr>
    </w:p>
    <w:p>
      <w:pPr>
        <w:spacing w:line="244" w:lineRule="auto" w:before="0"/>
        <w:ind w:left="1702" w:right="1515" w:firstLine="0"/>
        <w:jc w:val="both"/>
        <w:rPr>
          <w:sz w:val="22"/>
        </w:rPr>
      </w:pPr>
      <w:r>
        <w:rPr>
          <w:color w:val="212121"/>
          <w:sz w:val="22"/>
        </w:rPr>
        <w:t>La Reforma Constitucional en materia educativa, establecida a partir de las modificaciones, adiciones y derogación de diversas disposiciones a los artículos 3o., 31 y 73 de la Constitución Política de los Estados Unidos Mexicanos y de la emisión</w:t>
      </w:r>
      <w:r>
        <w:rPr>
          <w:color w:val="212121"/>
          <w:spacing w:val="-7"/>
          <w:sz w:val="22"/>
        </w:rPr>
        <w:t> </w:t>
      </w:r>
      <w:r>
        <w:rPr>
          <w:color w:val="212121"/>
          <w:sz w:val="22"/>
        </w:rPr>
        <w:t>de</w:t>
      </w:r>
      <w:r>
        <w:rPr>
          <w:color w:val="212121"/>
          <w:spacing w:val="-4"/>
          <w:sz w:val="22"/>
        </w:rPr>
        <w:t> </w:t>
      </w:r>
      <w:r>
        <w:rPr>
          <w:color w:val="212121"/>
          <w:sz w:val="22"/>
        </w:rPr>
        <w:t>la</w:t>
      </w:r>
      <w:r>
        <w:rPr>
          <w:color w:val="212121"/>
          <w:spacing w:val="-6"/>
          <w:sz w:val="22"/>
        </w:rPr>
        <w:t> </w:t>
      </w:r>
      <w:r>
        <w:rPr>
          <w:color w:val="212121"/>
          <w:sz w:val="22"/>
        </w:rPr>
        <w:t>Legislación</w:t>
      </w:r>
      <w:r>
        <w:rPr>
          <w:color w:val="212121"/>
          <w:spacing w:val="-6"/>
          <w:sz w:val="22"/>
        </w:rPr>
        <w:t> </w:t>
      </w:r>
      <w:r>
        <w:rPr>
          <w:color w:val="212121"/>
          <w:sz w:val="22"/>
        </w:rPr>
        <w:t>Secundaria,</w:t>
      </w:r>
      <w:r>
        <w:rPr>
          <w:color w:val="212121"/>
          <w:spacing w:val="-4"/>
          <w:sz w:val="22"/>
        </w:rPr>
        <w:t> </w:t>
      </w:r>
      <w:r>
        <w:rPr>
          <w:color w:val="212121"/>
          <w:sz w:val="22"/>
        </w:rPr>
        <w:t>publicadas</w:t>
      </w:r>
      <w:r>
        <w:rPr>
          <w:color w:val="212121"/>
          <w:spacing w:val="-6"/>
          <w:sz w:val="22"/>
        </w:rPr>
        <w:t> </w:t>
      </w:r>
      <w:r>
        <w:rPr>
          <w:color w:val="212121"/>
          <w:sz w:val="22"/>
        </w:rPr>
        <w:t>el</w:t>
      </w:r>
      <w:r>
        <w:rPr>
          <w:color w:val="212121"/>
          <w:spacing w:val="-5"/>
          <w:sz w:val="22"/>
        </w:rPr>
        <w:t> </w:t>
      </w:r>
      <w:r>
        <w:rPr>
          <w:color w:val="212121"/>
          <w:sz w:val="22"/>
        </w:rPr>
        <w:t>30</w:t>
      </w:r>
      <w:r>
        <w:rPr>
          <w:color w:val="212121"/>
          <w:spacing w:val="-5"/>
          <w:sz w:val="22"/>
        </w:rPr>
        <w:t> </w:t>
      </w:r>
      <w:r>
        <w:rPr>
          <w:color w:val="212121"/>
          <w:sz w:val="22"/>
        </w:rPr>
        <w:t>de</w:t>
      </w:r>
      <w:r>
        <w:rPr>
          <w:color w:val="212121"/>
          <w:spacing w:val="-5"/>
          <w:sz w:val="22"/>
        </w:rPr>
        <w:t> </w:t>
      </w:r>
      <w:r>
        <w:rPr>
          <w:color w:val="212121"/>
          <w:sz w:val="22"/>
        </w:rPr>
        <w:t>septiembre</w:t>
      </w:r>
      <w:r>
        <w:rPr>
          <w:color w:val="212121"/>
          <w:spacing w:val="-4"/>
          <w:sz w:val="22"/>
        </w:rPr>
        <w:t> </w:t>
      </w:r>
      <w:r>
        <w:rPr>
          <w:color w:val="212121"/>
          <w:sz w:val="22"/>
        </w:rPr>
        <w:t>de</w:t>
      </w:r>
      <w:r>
        <w:rPr>
          <w:color w:val="212121"/>
          <w:spacing w:val="-4"/>
          <w:sz w:val="22"/>
        </w:rPr>
        <w:t> </w:t>
      </w:r>
      <w:r>
        <w:rPr>
          <w:color w:val="212121"/>
          <w:sz w:val="22"/>
        </w:rPr>
        <w:t>2019</w:t>
      </w:r>
      <w:r>
        <w:rPr>
          <w:color w:val="212121"/>
          <w:spacing w:val="-6"/>
          <w:sz w:val="22"/>
        </w:rPr>
        <w:t> </w:t>
      </w:r>
      <w:r>
        <w:rPr>
          <w:color w:val="212121"/>
          <w:sz w:val="22"/>
        </w:rPr>
        <w:t>en el Diario Oficial de la Federación, determinan la reorientación del Sistema Educativo Nacional para “</w:t>
      </w:r>
      <w:r>
        <w:rPr>
          <w:i/>
          <w:color w:val="212121"/>
          <w:sz w:val="22"/>
        </w:rPr>
        <w:t>garantizar el derecho a la educación con un enfoque </w:t>
      </w:r>
      <w:r>
        <w:rPr>
          <w:i/>
          <w:color w:val="212121"/>
          <w:sz w:val="22"/>
        </w:rPr>
        <w:t>de derechos humanos y de igualdad sustantiva, para incidir en la cultura educativa mediante la corresponsabilidad y el impulso de transformaciones sociales dentro de la escuela y en la</w:t>
      </w:r>
      <w:r>
        <w:rPr>
          <w:i/>
          <w:color w:val="212121"/>
          <w:spacing w:val="-9"/>
          <w:sz w:val="22"/>
        </w:rPr>
        <w:t> </w:t>
      </w:r>
      <w:r>
        <w:rPr>
          <w:i/>
          <w:color w:val="212121"/>
          <w:sz w:val="22"/>
        </w:rPr>
        <w:t>comunidad</w:t>
      </w:r>
      <w:r>
        <w:rPr>
          <w:color w:val="212121"/>
          <w:sz w:val="22"/>
        </w:rPr>
        <w:t>”.</w:t>
      </w:r>
    </w:p>
    <w:p>
      <w:pPr>
        <w:pStyle w:val="BodyText"/>
        <w:spacing w:before="10"/>
        <w:rPr>
          <w:sz w:val="21"/>
        </w:rPr>
      </w:pPr>
    </w:p>
    <w:p>
      <w:pPr>
        <w:pStyle w:val="BodyText"/>
        <w:spacing w:line="244" w:lineRule="auto"/>
        <w:ind w:left="1702" w:right="1521"/>
        <w:jc w:val="both"/>
      </w:pPr>
      <w:r>
        <w:rPr/>
        <w:t>Bajo este supuesto, a la Educación Media Superior (EMS) se le otorga un papel importante en el desarrollo de nuestro país, en virtud de que tendrá como propósito:</w:t>
      </w:r>
    </w:p>
    <w:p>
      <w:pPr>
        <w:pStyle w:val="BodyText"/>
        <w:spacing w:before="2"/>
      </w:pPr>
    </w:p>
    <w:p>
      <w:pPr>
        <w:spacing w:line="244" w:lineRule="auto" w:before="0"/>
        <w:ind w:left="2261" w:right="2393" w:firstLine="57"/>
        <w:jc w:val="both"/>
        <w:rPr>
          <w:i/>
          <w:sz w:val="22"/>
        </w:rPr>
      </w:pPr>
      <w:r>
        <w:rPr>
          <w:i/>
          <w:sz w:val="22"/>
        </w:rPr>
        <w:t>“… la formación de mujeres y hombres como ciudadanos </w:t>
      </w:r>
      <w:r>
        <w:rPr>
          <w:i/>
          <w:sz w:val="22"/>
        </w:rPr>
        <w:t>integrales</w:t>
      </w:r>
      <w:r>
        <w:rPr>
          <w:i/>
          <w:spacing w:val="-8"/>
          <w:sz w:val="22"/>
        </w:rPr>
        <w:t> </w:t>
      </w:r>
      <w:r>
        <w:rPr>
          <w:i/>
          <w:sz w:val="22"/>
        </w:rPr>
        <w:t>con</w:t>
      </w:r>
      <w:r>
        <w:rPr>
          <w:i/>
          <w:spacing w:val="-8"/>
          <w:sz w:val="22"/>
        </w:rPr>
        <w:t> </w:t>
      </w:r>
      <w:r>
        <w:rPr>
          <w:i/>
          <w:sz w:val="22"/>
        </w:rPr>
        <w:t>la</w:t>
      </w:r>
      <w:r>
        <w:rPr>
          <w:i/>
          <w:spacing w:val="-8"/>
          <w:sz w:val="22"/>
        </w:rPr>
        <w:t> </w:t>
      </w:r>
      <w:r>
        <w:rPr>
          <w:i/>
          <w:sz w:val="22"/>
        </w:rPr>
        <w:t>capacidad</w:t>
      </w:r>
      <w:r>
        <w:rPr>
          <w:i/>
          <w:spacing w:val="-9"/>
          <w:sz w:val="22"/>
        </w:rPr>
        <w:t> </w:t>
      </w:r>
      <w:r>
        <w:rPr>
          <w:i/>
          <w:sz w:val="22"/>
        </w:rPr>
        <w:t>de</w:t>
      </w:r>
      <w:r>
        <w:rPr>
          <w:i/>
          <w:spacing w:val="-7"/>
          <w:sz w:val="22"/>
        </w:rPr>
        <w:t> </w:t>
      </w:r>
      <w:r>
        <w:rPr>
          <w:i/>
          <w:sz w:val="22"/>
        </w:rPr>
        <w:t>aprender</w:t>
      </w:r>
      <w:r>
        <w:rPr>
          <w:i/>
          <w:spacing w:val="-7"/>
          <w:sz w:val="22"/>
        </w:rPr>
        <w:t> </w:t>
      </w:r>
      <w:r>
        <w:rPr>
          <w:i/>
          <w:sz w:val="22"/>
        </w:rPr>
        <w:t>a</w:t>
      </w:r>
      <w:r>
        <w:rPr>
          <w:i/>
          <w:spacing w:val="-9"/>
          <w:sz w:val="22"/>
        </w:rPr>
        <w:t> </w:t>
      </w:r>
      <w:r>
        <w:rPr>
          <w:i/>
          <w:sz w:val="22"/>
        </w:rPr>
        <w:t>aprender</w:t>
      </w:r>
      <w:r>
        <w:rPr>
          <w:i/>
          <w:spacing w:val="-8"/>
          <w:sz w:val="22"/>
        </w:rPr>
        <w:t> </w:t>
      </w:r>
      <w:r>
        <w:rPr>
          <w:i/>
          <w:sz w:val="22"/>
        </w:rPr>
        <w:t>en</w:t>
      </w:r>
      <w:r>
        <w:rPr>
          <w:i/>
          <w:spacing w:val="-11"/>
          <w:sz w:val="22"/>
        </w:rPr>
        <w:t> </w:t>
      </w:r>
      <w:r>
        <w:rPr>
          <w:i/>
          <w:sz w:val="22"/>
        </w:rPr>
        <w:t>el</w:t>
      </w:r>
      <w:r>
        <w:rPr>
          <w:i/>
          <w:spacing w:val="-7"/>
          <w:sz w:val="22"/>
        </w:rPr>
        <w:t> </w:t>
      </w:r>
      <w:r>
        <w:rPr>
          <w:i/>
          <w:sz w:val="22"/>
        </w:rPr>
        <w:t>trayecto de la vida y ser un aporte para el desarrollo de la</w:t>
      </w:r>
      <w:r>
        <w:rPr>
          <w:i/>
          <w:spacing w:val="-11"/>
          <w:sz w:val="22"/>
        </w:rPr>
        <w:t> </w:t>
      </w:r>
      <w:r>
        <w:rPr>
          <w:i/>
          <w:sz w:val="22"/>
        </w:rPr>
        <w:t>sociedad.</w:t>
      </w:r>
    </w:p>
    <w:p>
      <w:pPr>
        <w:spacing w:line="244" w:lineRule="auto" w:before="0"/>
        <w:ind w:left="2261" w:right="2388" w:firstLine="0"/>
        <w:jc w:val="both"/>
        <w:rPr>
          <w:i/>
          <w:sz w:val="22"/>
        </w:rPr>
      </w:pPr>
      <w:r>
        <w:rPr>
          <w:i/>
          <w:sz w:val="22"/>
        </w:rPr>
        <w:t>Y que en el marco de sus objetivos, la Nueva Escuela Mexicana</w:t>
      </w:r>
      <w:r>
        <w:rPr>
          <w:i/>
          <w:spacing w:val="57"/>
          <w:sz w:val="22"/>
        </w:rPr>
        <w:t> </w:t>
      </w:r>
      <w:r>
        <w:rPr>
          <w:i/>
          <w:sz w:val="22"/>
        </w:rPr>
        <w:t>plantea ir más allá de lo cognitivo para desarrollar en las y los estudiantes</w:t>
      </w:r>
      <w:r>
        <w:rPr>
          <w:i/>
          <w:spacing w:val="-11"/>
          <w:sz w:val="22"/>
        </w:rPr>
        <w:t> </w:t>
      </w:r>
      <w:r>
        <w:rPr>
          <w:i/>
          <w:sz w:val="22"/>
        </w:rPr>
        <w:t>todos</w:t>
      </w:r>
      <w:r>
        <w:rPr>
          <w:i/>
          <w:spacing w:val="-9"/>
          <w:sz w:val="22"/>
        </w:rPr>
        <w:t> </w:t>
      </w:r>
      <w:r>
        <w:rPr>
          <w:i/>
          <w:sz w:val="22"/>
        </w:rPr>
        <w:t>los</w:t>
      </w:r>
      <w:r>
        <w:rPr>
          <w:i/>
          <w:spacing w:val="-10"/>
          <w:sz w:val="22"/>
        </w:rPr>
        <w:t> </w:t>
      </w:r>
      <w:r>
        <w:rPr>
          <w:i/>
          <w:sz w:val="22"/>
        </w:rPr>
        <w:t>aspectos</w:t>
      </w:r>
      <w:r>
        <w:rPr>
          <w:i/>
          <w:spacing w:val="-11"/>
          <w:sz w:val="22"/>
        </w:rPr>
        <w:t> </w:t>
      </w:r>
      <w:r>
        <w:rPr>
          <w:i/>
          <w:sz w:val="22"/>
        </w:rPr>
        <w:t>que</w:t>
      </w:r>
      <w:r>
        <w:rPr>
          <w:i/>
          <w:spacing w:val="-9"/>
          <w:sz w:val="22"/>
        </w:rPr>
        <w:t> </w:t>
      </w:r>
      <w:r>
        <w:rPr>
          <w:i/>
          <w:sz w:val="22"/>
        </w:rPr>
        <w:t>les</w:t>
      </w:r>
      <w:r>
        <w:rPr>
          <w:i/>
          <w:spacing w:val="-11"/>
          <w:sz w:val="22"/>
        </w:rPr>
        <w:t> </w:t>
      </w:r>
      <w:r>
        <w:rPr>
          <w:i/>
          <w:sz w:val="22"/>
        </w:rPr>
        <w:t>conforman</w:t>
      </w:r>
      <w:r>
        <w:rPr>
          <w:i/>
          <w:spacing w:val="-11"/>
          <w:sz w:val="22"/>
        </w:rPr>
        <w:t> </w:t>
      </w:r>
      <w:r>
        <w:rPr>
          <w:i/>
          <w:sz w:val="22"/>
        </w:rPr>
        <w:t>en</w:t>
      </w:r>
      <w:r>
        <w:rPr>
          <w:i/>
          <w:spacing w:val="-12"/>
          <w:sz w:val="22"/>
        </w:rPr>
        <w:t> </w:t>
      </w:r>
      <w:r>
        <w:rPr>
          <w:i/>
          <w:sz w:val="22"/>
        </w:rPr>
        <w:t>lo</w:t>
      </w:r>
      <w:r>
        <w:rPr>
          <w:i/>
          <w:spacing w:val="-9"/>
          <w:sz w:val="22"/>
        </w:rPr>
        <w:t> </w:t>
      </w:r>
      <w:r>
        <w:rPr>
          <w:i/>
          <w:sz w:val="22"/>
        </w:rPr>
        <w:t>emocional, en lo físico, en lo ético, en lo cívico, en lo artístico, en su historia </w:t>
      </w:r>
      <w:r>
        <w:rPr>
          <w:i/>
          <w:spacing w:val="3"/>
          <w:sz w:val="22"/>
        </w:rPr>
        <w:t>de </w:t>
      </w:r>
      <w:r>
        <w:rPr>
          <w:i/>
          <w:sz w:val="22"/>
        </w:rPr>
        <w:t>vida personal, social y, en su caso, laboral o profesional, por lo que, resultan necesarios aprendizajes procedimentales y actitudinales, así como el establecimiento de un nuevo Marco Curricular</w:t>
      </w:r>
      <w:r>
        <w:rPr>
          <w:i/>
          <w:spacing w:val="-24"/>
          <w:sz w:val="22"/>
        </w:rPr>
        <w:t> </w:t>
      </w:r>
      <w:r>
        <w:rPr>
          <w:i/>
          <w:sz w:val="22"/>
        </w:rPr>
        <w:t>Común de la Educación Media Superior (MCCEMS) para responder a las necesidades actuales y futuras en un contexto de incertidumbre y de</w:t>
      </w:r>
      <w:r>
        <w:rPr>
          <w:i/>
          <w:spacing w:val="-9"/>
          <w:sz w:val="22"/>
        </w:rPr>
        <w:t> </w:t>
      </w:r>
      <w:r>
        <w:rPr>
          <w:i/>
          <w:sz w:val="22"/>
        </w:rPr>
        <w:t>cambios</w:t>
      </w:r>
      <w:r>
        <w:rPr>
          <w:i/>
          <w:spacing w:val="-9"/>
          <w:sz w:val="22"/>
        </w:rPr>
        <w:t> </w:t>
      </w:r>
      <w:r>
        <w:rPr>
          <w:i/>
          <w:sz w:val="22"/>
        </w:rPr>
        <w:t>tecnológicos</w:t>
      </w:r>
      <w:r>
        <w:rPr>
          <w:i/>
          <w:spacing w:val="-12"/>
          <w:sz w:val="22"/>
        </w:rPr>
        <w:t> </w:t>
      </w:r>
      <w:r>
        <w:rPr>
          <w:i/>
          <w:sz w:val="22"/>
        </w:rPr>
        <w:t>y</w:t>
      </w:r>
      <w:r>
        <w:rPr>
          <w:i/>
          <w:spacing w:val="-8"/>
          <w:sz w:val="22"/>
        </w:rPr>
        <w:t> </w:t>
      </w:r>
      <w:r>
        <w:rPr>
          <w:i/>
          <w:sz w:val="22"/>
        </w:rPr>
        <w:t>geopolíticos</w:t>
      </w:r>
      <w:r>
        <w:rPr>
          <w:i/>
          <w:spacing w:val="-12"/>
          <w:sz w:val="22"/>
        </w:rPr>
        <w:t> </w:t>
      </w:r>
      <w:r>
        <w:rPr>
          <w:i/>
          <w:sz w:val="22"/>
        </w:rPr>
        <w:t>y</w:t>
      </w:r>
      <w:r>
        <w:rPr>
          <w:i/>
          <w:spacing w:val="-11"/>
          <w:sz w:val="22"/>
        </w:rPr>
        <w:t> </w:t>
      </w:r>
      <w:r>
        <w:rPr>
          <w:i/>
          <w:sz w:val="22"/>
        </w:rPr>
        <w:t>con</w:t>
      </w:r>
      <w:r>
        <w:rPr>
          <w:i/>
          <w:spacing w:val="-10"/>
          <w:sz w:val="22"/>
        </w:rPr>
        <w:t> </w:t>
      </w:r>
      <w:r>
        <w:rPr>
          <w:i/>
          <w:sz w:val="22"/>
        </w:rPr>
        <w:t>ello</w:t>
      </w:r>
      <w:r>
        <w:rPr>
          <w:i/>
          <w:spacing w:val="-11"/>
          <w:sz w:val="22"/>
        </w:rPr>
        <w:t> </w:t>
      </w:r>
      <w:r>
        <w:rPr>
          <w:i/>
          <w:sz w:val="22"/>
        </w:rPr>
        <w:t>lograr</w:t>
      </w:r>
      <w:r>
        <w:rPr>
          <w:i/>
          <w:spacing w:val="-10"/>
          <w:sz w:val="22"/>
        </w:rPr>
        <w:t> </w:t>
      </w:r>
      <w:r>
        <w:rPr>
          <w:i/>
          <w:sz w:val="22"/>
        </w:rPr>
        <w:t>desarrollar las capacidades de las personas ante la dinámica de actualización, innovación y desarrollo para hacer frente a las necesidades de la vida” (Acuerdo</w:t>
      </w:r>
      <w:r>
        <w:rPr>
          <w:i/>
          <w:spacing w:val="-2"/>
          <w:sz w:val="22"/>
        </w:rPr>
        <w:t> </w:t>
      </w:r>
      <w:r>
        <w:rPr>
          <w:i/>
          <w:sz w:val="22"/>
        </w:rPr>
        <w:t>09/08/23).</w:t>
      </w:r>
    </w:p>
    <w:p>
      <w:pPr>
        <w:pStyle w:val="BodyText"/>
        <w:spacing w:before="4"/>
        <w:rPr>
          <w:i/>
          <w:sz w:val="21"/>
        </w:rPr>
      </w:pPr>
    </w:p>
    <w:p>
      <w:pPr>
        <w:pStyle w:val="BodyText"/>
        <w:spacing w:line="244" w:lineRule="auto"/>
        <w:ind w:left="1702" w:right="1519"/>
        <w:jc w:val="both"/>
      </w:pPr>
      <w:r>
        <w:rPr/>
        <w:t>Considerando</w:t>
      </w:r>
      <w:r>
        <w:rPr>
          <w:spacing w:val="-12"/>
        </w:rPr>
        <w:t> </w:t>
      </w:r>
      <w:r>
        <w:rPr/>
        <w:t>estos</w:t>
      </w:r>
      <w:r>
        <w:rPr>
          <w:spacing w:val="-11"/>
        </w:rPr>
        <w:t> </w:t>
      </w:r>
      <w:r>
        <w:rPr/>
        <w:t>preceptos,</w:t>
      </w:r>
      <w:r>
        <w:rPr>
          <w:spacing w:val="-10"/>
        </w:rPr>
        <w:t> </w:t>
      </w:r>
      <w:r>
        <w:rPr/>
        <w:t>es</w:t>
      </w:r>
      <w:r>
        <w:rPr>
          <w:spacing w:val="-11"/>
        </w:rPr>
        <w:t> </w:t>
      </w:r>
      <w:r>
        <w:rPr/>
        <w:t>que</w:t>
      </w:r>
      <w:r>
        <w:rPr>
          <w:spacing w:val="-14"/>
        </w:rPr>
        <w:t> </w:t>
      </w:r>
      <w:r>
        <w:rPr/>
        <w:t>en</w:t>
      </w:r>
      <w:r>
        <w:rPr>
          <w:spacing w:val="-12"/>
        </w:rPr>
        <w:t> </w:t>
      </w:r>
      <w:r>
        <w:rPr/>
        <w:t>el</w:t>
      </w:r>
      <w:r>
        <w:rPr>
          <w:spacing w:val="-13"/>
        </w:rPr>
        <w:t> </w:t>
      </w:r>
      <w:r>
        <w:rPr/>
        <w:t>Bachillerato</w:t>
      </w:r>
      <w:r>
        <w:rPr>
          <w:spacing w:val="-11"/>
        </w:rPr>
        <w:t> </w:t>
      </w:r>
      <w:r>
        <w:rPr/>
        <w:t>General</w:t>
      </w:r>
      <w:r>
        <w:rPr>
          <w:spacing w:val="-11"/>
        </w:rPr>
        <w:t> </w:t>
      </w:r>
      <w:r>
        <w:rPr/>
        <w:t>se</w:t>
      </w:r>
      <w:r>
        <w:rPr>
          <w:spacing w:val="-11"/>
        </w:rPr>
        <w:t> </w:t>
      </w:r>
      <w:r>
        <w:rPr/>
        <w:t>ofertarán</w:t>
      </w:r>
      <w:r>
        <w:rPr>
          <w:spacing w:val="-12"/>
        </w:rPr>
        <w:t> </w:t>
      </w:r>
      <w:r>
        <w:rPr/>
        <w:t>dos servicios de apoyo al estudiantado, el de Acción Tutorial y el de Orientación Educativa, este último el que compete el presente documento y el cual encuentra su sustento jurídico</w:t>
      </w:r>
      <w:r>
        <w:rPr>
          <w:spacing w:val="-4"/>
        </w:rPr>
        <w:t> </w:t>
      </w:r>
      <w:r>
        <w:rPr/>
        <w:t>en:</w:t>
      </w:r>
    </w:p>
    <w:p>
      <w:pPr>
        <w:pStyle w:val="BodyText"/>
        <w:spacing w:before="2"/>
      </w:pPr>
    </w:p>
    <w:p>
      <w:pPr>
        <w:spacing w:line="244" w:lineRule="auto" w:before="0"/>
        <w:ind w:left="1702" w:right="1513" w:firstLine="0"/>
        <w:jc w:val="both"/>
        <w:rPr>
          <w:i/>
          <w:sz w:val="22"/>
        </w:rPr>
      </w:pPr>
      <w:r>
        <w:rPr>
          <w:sz w:val="22"/>
        </w:rPr>
        <w:t>La </w:t>
      </w:r>
      <w:r>
        <w:rPr>
          <w:b/>
          <w:sz w:val="22"/>
        </w:rPr>
        <w:t>Constitución Política  de  los  Estados  Unidos  Mexicanos, </w:t>
      </w:r>
      <w:r>
        <w:rPr>
          <w:sz w:val="22"/>
        </w:rPr>
        <w:t>en  el  artículo 3° señala que “</w:t>
      </w:r>
      <w:r>
        <w:rPr>
          <w:i/>
          <w:sz w:val="22"/>
        </w:rPr>
        <w:t>el Estado -Federación, Estados, Ciudad de México y municipios- </w:t>
      </w:r>
      <w:r>
        <w:rPr>
          <w:i/>
          <w:sz w:val="22"/>
        </w:rPr>
        <w:t>impartirá y garantizará la educación media superior, la cual es obligatoria; corresponde</w:t>
      </w:r>
      <w:r>
        <w:rPr>
          <w:i/>
          <w:spacing w:val="11"/>
          <w:sz w:val="22"/>
        </w:rPr>
        <w:t> </w:t>
      </w:r>
      <w:r>
        <w:rPr>
          <w:i/>
          <w:sz w:val="22"/>
        </w:rPr>
        <w:t>al</w:t>
      </w:r>
      <w:r>
        <w:rPr>
          <w:i/>
          <w:spacing w:val="12"/>
          <w:sz w:val="22"/>
        </w:rPr>
        <w:t> </w:t>
      </w:r>
      <w:r>
        <w:rPr>
          <w:i/>
          <w:sz w:val="22"/>
        </w:rPr>
        <w:t>Estado</w:t>
      </w:r>
      <w:r>
        <w:rPr>
          <w:i/>
          <w:spacing w:val="11"/>
          <w:sz w:val="22"/>
        </w:rPr>
        <w:t> </w:t>
      </w:r>
      <w:r>
        <w:rPr>
          <w:i/>
          <w:sz w:val="22"/>
        </w:rPr>
        <w:t>la</w:t>
      </w:r>
      <w:r>
        <w:rPr>
          <w:i/>
          <w:spacing w:val="11"/>
          <w:sz w:val="22"/>
        </w:rPr>
        <w:t> </w:t>
      </w:r>
      <w:r>
        <w:rPr>
          <w:i/>
          <w:sz w:val="22"/>
        </w:rPr>
        <w:t>rectoría</w:t>
      </w:r>
      <w:r>
        <w:rPr>
          <w:i/>
          <w:spacing w:val="10"/>
          <w:sz w:val="22"/>
        </w:rPr>
        <w:t> </w:t>
      </w:r>
      <w:r>
        <w:rPr>
          <w:i/>
          <w:sz w:val="22"/>
        </w:rPr>
        <w:t>de</w:t>
      </w:r>
      <w:r>
        <w:rPr>
          <w:i/>
          <w:spacing w:val="11"/>
          <w:sz w:val="22"/>
        </w:rPr>
        <w:t> </w:t>
      </w:r>
      <w:r>
        <w:rPr>
          <w:i/>
          <w:sz w:val="22"/>
        </w:rPr>
        <w:t>la</w:t>
      </w:r>
      <w:r>
        <w:rPr>
          <w:i/>
          <w:spacing w:val="9"/>
          <w:sz w:val="22"/>
        </w:rPr>
        <w:t> </w:t>
      </w:r>
      <w:r>
        <w:rPr>
          <w:i/>
          <w:sz w:val="22"/>
        </w:rPr>
        <w:t>educación,</w:t>
      </w:r>
      <w:r>
        <w:rPr>
          <w:i/>
          <w:spacing w:val="10"/>
          <w:sz w:val="22"/>
        </w:rPr>
        <w:t> </w:t>
      </w:r>
      <w:r>
        <w:rPr>
          <w:i/>
          <w:sz w:val="22"/>
        </w:rPr>
        <w:t>la</w:t>
      </w:r>
      <w:r>
        <w:rPr>
          <w:i/>
          <w:spacing w:val="10"/>
          <w:sz w:val="22"/>
        </w:rPr>
        <w:t> </w:t>
      </w:r>
      <w:r>
        <w:rPr>
          <w:i/>
          <w:sz w:val="22"/>
        </w:rPr>
        <w:t>impartida</w:t>
      </w:r>
      <w:r>
        <w:rPr>
          <w:i/>
          <w:spacing w:val="10"/>
          <w:sz w:val="22"/>
        </w:rPr>
        <w:t> </w:t>
      </w:r>
      <w:r>
        <w:rPr>
          <w:i/>
          <w:sz w:val="22"/>
        </w:rPr>
        <w:t>por</w:t>
      </w:r>
      <w:r>
        <w:rPr>
          <w:i/>
          <w:spacing w:val="11"/>
          <w:sz w:val="22"/>
        </w:rPr>
        <w:t> </w:t>
      </w:r>
      <w:r>
        <w:rPr>
          <w:i/>
          <w:sz w:val="22"/>
        </w:rPr>
        <w:t>éste,</w:t>
      </w:r>
    </w:p>
    <w:p>
      <w:pPr>
        <w:spacing w:after="0" w:line="244" w:lineRule="auto"/>
        <w:jc w:val="both"/>
        <w:rPr>
          <w:sz w:val="22"/>
        </w:rPr>
        <w:sectPr>
          <w:pgSz w:w="12240" w:h="15840"/>
          <w:pgMar w:header="0" w:footer="1170" w:top="1340" w:bottom="1360" w:left="0" w:right="220"/>
        </w:sectPr>
      </w:pPr>
    </w:p>
    <w:p>
      <w:pPr>
        <w:spacing w:line="244" w:lineRule="auto" w:before="48"/>
        <w:ind w:left="1702" w:right="1515" w:firstLine="0"/>
        <w:jc w:val="both"/>
        <w:rPr>
          <w:sz w:val="22"/>
        </w:rPr>
      </w:pPr>
      <w:r>
        <w:rPr>
          <w:i/>
          <w:sz w:val="22"/>
        </w:rPr>
        <w:t>además de obligatoria, será universal, inclusiva, pública, gratuita y laica; el </w:t>
      </w:r>
      <w:r>
        <w:rPr>
          <w:i/>
          <w:sz w:val="22"/>
        </w:rPr>
        <w:t>criterio que orientará a esa educación se basará en los resultados del progreso científico, luchará contra la ignorancia y sus efectos, las servidumbres, los fanatismos y los prejuicios, además, entre otros aspectos, será de excelencia, entendida como el mejoramiento integral constante que promueve el</w:t>
      </w:r>
      <w:r>
        <w:rPr>
          <w:i/>
          <w:spacing w:val="-31"/>
          <w:sz w:val="22"/>
        </w:rPr>
        <w:t> </w:t>
      </w:r>
      <w:r>
        <w:rPr>
          <w:i/>
          <w:sz w:val="22"/>
        </w:rPr>
        <w:t>máximo logro de aprendizaje de las y los educandos, para el desarrollo de su pensamiento crítico y el fortalecimiento de los lazos entre la escuela y la comunidad</w:t>
      </w:r>
      <w:r>
        <w:rPr>
          <w:sz w:val="22"/>
        </w:rPr>
        <w:t>” (CPEUM,</w:t>
      </w:r>
      <w:r>
        <w:rPr>
          <w:spacing w:val="-2"/>
          <w:sz w:val="22"/>
        </w:rPr>
        <w:t> </w:t>
      </w:r>
      <w:r>
        <w:rPr>
          <w:sz w:val="22"/>
        </w:rPr>
        <w:t>2022).</w:t>
      </w:r>
    </w:p>
    <w:p>
      <w:pPr>
        <w:pStyle w:val="BodyText"/>
        <w:spacing w:before="12"/>
        <w:rPr>
          <w:sz w:val="21"/>
        </w:rPr>
      </w:pPr>
    </w:p>
    <w:p>
      <w:pPr>
        <w:spacing w:before="0"/>
        <w:ind w:left="1702" w:right="0" w:firstLine="0"/>
        <w:jc w:val="both"/>
        <w:rPr>
          <w:sz w:val="22"/>
        </w:rPr>
      </w:pPr>
      <w:r>
        <w:rPr>
          <w:sz w:val="22"/>
        </w:rPr>
        <w:t>Por su parte, la </w:t>
      </w:r>
      <w:r>
        <w:rPr>
          <w:b/>
          <w:sz w:val="22"/>
        </w:rPr>
        <w:t>Ley General de Educación</w:t>
      </w:r>
      <w:r>
        <w:rPr>
          <w:sz w:val="22"/>
        </w:rPr>
        <w:t>, menciona:</w:t>
      </w:r>
    </w:p>
    <w:p>
      <w:pPr>
        <w:pStyle w:val="BodyText"/>
        <w:spacing w:before="10"/>
      </w:pPr>
    </w:p>
    <w:p>
      <w:pPr>
        <w:spacing w:line="244" w:lineRule="auto" w:before="0"/>
        <w:ind w:left="2268" w:right="2374" w:firstLine="0"/>
        <w:jc w:val="both"/>
        <w:rPr>
          <w:i/>
          <w:sz w:val="22"/>
        </w:rPr>
      </w:pPr>
      <w:r>
        <w:rPr>
          <w:b/>
          <w:i/>
          <w:sz w:val="22"/>
        </w:rPr>
        <w:t>Artículo 72. </w:t>
      </w:r>
      <w:r>
        <w:rPr>
          <w:i/>
          <w:sz w:val="22"/>
        </w:rPr>
        <w:t>Los educandos son los sujetos más valiosos de la </w:t>
      </w:r>
      <w:r>
        <w:rPr>
          <w:i/>
          <w:sz w:val="22"/>
        </w:rPr>
        <w:t>educación con pleno derecho a desarrollar todas sus potencialidades de forma activa, transformadora y autónoma.</w:t>
      </w:r>
    </w:p>
    <w:p>
      <w:pPr>
        <w:pStyle w:val="BodyText"/>
        <w:spacing w:before="2"/>
        <w:rPr>
          <w:i/>
        </w:rPr>
      </w:pPr>
    </w:p>
    <w:p>
      <w:pPr>
        <w:spacing w:line="242" w:lineRule="auto" w:before="0"/>
        <w:ind w:left="2268" w:right="1452" w:firstLine="0"/>
        <w:jc w:val="left"/>
        <w:rPr>
          <w:i/>
          <w:sz w:val="22"/>
        </w:rPr>
      </w:pPr>
      <w:r>
        <w:rPr>
          <w:i/>
          <w:sz w:val="22"/>
        </w:rPr>
        <w:t>III. Recibir una </w:t>
      </w:r>
      <w:r>
        <w:rPr>
          <w:b/>
          <w:i/>
          <w:sz w:val="22"/>
        </w:rPr>
        <w:t>orientación integral </w:t>
      </w:r>
      <w:r>
        <w:rPr>
          <w:i/>
          <w:sz w:val="22"/>
        </w:rPr>
        <w:t>como elemento para el pleno </w:t>
      </w:r>
      <w:r>
        <w:rPr>
          <w:i/>
          <w:sz w:val="22"/>
        </w:rPr>
        <w:t>desarrollo de su personalidad;</w:t>
      </w:r>
    </w:p>
    <w:p>
      <w:pPr>
        <w:pStyle w:val="BodyText"/>
        <w:spacing w:before="10"/>
        <w:rPr>
          <w:i/>
        </w:rPr>
      </w:pPr>
    </w:p>
    <w:p>
      <w:pPr>
        <w:spacing w:before="0"/>
        <w:ind w:left="2268" w:right="0" w:firstLine="0"/>
        <w:jc w:val="left"/>
        <w:rPr>
          <w:i/>
          <w:sz w:val="22"/>
        </w:rPr>
      </w:pPr>
      <w:r>
        <w:rPr>
          <w:i/>
          <w:sz w:val="22"/>
        </w:rPr>
        <w:t>V. Recibir una </w:t>
      </w:r>
      <w:r>
        <w:rPr>
          <w:b/>
          <w:i/>
          <w:sz w:val="22"/>
        </w:rPr>
        <w:t>orientación educativa y vocacional</w:t>
      </w:r>
      <w:r>
        <w:rPr>
          <w:i/>
          <w:sz w:val="22"/>
        </w:rPr>
        <w:t>.</w:t>
      </w:r>
    </w:p>
    <w:p>
      <w:pPr>
        <w:pStyle w:val="BodyText"/>
        <w:spacing w:before="10"/>
        <w:rPr>
          <w:i/>
        </w:rPr>
      </w:pPr>
    </w:p>
    <w:p>
      <w:pPr>
        <w:spacing w:line="244" w:lineRule="auto" w:before="0"/>
        <w:ind w:left="2268" w:right="2372" w:firstLine="0"/>
        <w:jc w:val="both"/>
        <w:rPr>
          <w:i/>
          <w:sz w:val="22"/>
        </w:rPr>
      </w:pPr>
      <w:r>
        <w:rPr>
          <w:b/>
          <w:i/>
          <w:sz w:val="22"/>
        </w:rPr>
        <w:t>Artículo</w:t>
      </w:r>
      <w:r>
        <w:rPr>
          <w:b/>
          <w:i/>
          <w:spacing w:val="-13"/>
          <w:sz w:val="22"/>
        </w:rPr>
        <w:t> </w:t>
      </w:r>
      <w:r>
        <w:rPr>
          <w:b/>
          <w:i/>
          <w:sz w:val="22"/>
        </w:rPr>
        <w:t>80.</w:t>
      </w:r>
      <w:r>
        <w:rPr>
          <w:b/>
          <w:i/>
          <w:spacing w:val="-15"/>
          <w:sz w:val="22"/>
        </w:rPr>
        <w:t> </w:t>
      </w:r>
      <w:r>
        <w:rPr>
          <w:i/>
          <w:sz w:val="22"/>
        </w:rPr>
        <w:t>El</w:t>
      </w:r>
      <w:r>
        <w:rPr>
          <w:i/>
          <w:spacing w:val="-13"/>
          <w:sz w:val="22"/>
        </w:rPr>
        <w:t> </w:t>
      </w:r>
      <w:r>
        <w:rPr>
          <w:i/>
          <w:sz w:val="22"/>
        </w:rPr>
        <w:t>Estado</w:t>
      </w:r>
      <w:r>
        <w:rPr>
          <w:i/>
          <w:spacing w:val="-13"/>
          <w:sz w:val="22"/>
        </w:rPr>
        <w:t> </w:t>
      </w:r>
      <w:r>
        <w:rPr>
          <w:i/>
          <w:sz w:val="22"/>
        </w:rPr>
        <w:t>ofrecerá</w:t>
      </w:r>
      <w:r>
        <w:rPr>
          <w:i/>
          <w:spacing w:val="-9"/>
          <w:sz w:val="22"/>
        </w:rPr>
        <w:t> </w:t>
      </w:r>
      <w:r>
        <w:rPr>
          <w:b/>
          <w:i/>
          <w:sz w:val="22"/>
        </w:rPr>
        <w:t>servicios</w:t>
      </w:r>
      <w:r>
        <w:rPr>
          <w:b/>
          <w:i/>
          <w:spacing w:val="-16"/>
          <w:sz w:val="22"/>
        </w:rPr>
        <w:t> </w:t>
      </w:r>
      <w:r>
        <w:rPr>
          <w:b/>
          <w:i/>
          <w:sz w:val="22"/>
        </w:rPr>
        <w:t>de</w:t>
      </w:r>
      <w:r>
        <w:rPr>
          <w:b/>
          <w:i/>
          <w:spacing w:val="-15"/>
          <w:sz w:val="22"/>
        </w:rPr>
        <w:t> </w:t>
      </w:r>
      <w:r>
        <w:rPr>
          <w:b/>
          <w:i/>
          <w:sz w:val="22"/>
        </w:rPr>
        <w:t>orientación</w:t>
      </w:r>
      <w:r>
        <w:rPr>
          <w:b/>
          <w:i/>
          <w:spacing w:val="-13"/>
          <w:sz w:val="22"/>
        </w:rPr>
        <w:t> </w:t>
      </w:r>
      <w:r>
        <w:rPr>
          <w:b/>
          <w:i/>
          <w:sz w:val="22"/>
        </w:rPr>
        <w:t>educativa </w:t>
      </w:r>
      <w:r>
        <w:rPr>
          <w:i/>
          <w:sz w:val="22"/>
        </w:rPr>
        <w:t>y de trabajo social desde la educación básica hasta la educación </w:t>
      </w:r>
      <w:r>
        <w:rPr>
          <w:i/>
          <w:sz w:val="22"/>
        </w:rPr>
        <w:t>superior, de acuerdo con la suficiencia presupuestal y a las necesidades de cada plantel, a fin de fomentar una conciencia crítica que perfile a las y los educandos en la selección de su formación a lo largo de la vida para su desarrollo personal y contribuir al bienestar de sus</w:t>
      </w:r>
      <w:r>
        <w:rPr>
          <w:i/>
          <w:spacing w:val="-4"/>
          <w:sz w:val="22"/>
        </w:rPr>
        <w:t> </w:t>
      </w:r>
      <w:r>
        <w:rPr>
          <w:i/>
          <w:sz w:val="22"/>
        </w:rPr>
        <w:t>comunidades.</w:t>
      </w:r>
    </w:p>
    <w:p>
      <w:pPr>
        <w:pStyle w:val="BodyText"/>
        <w:spacing w:before="12"/>
        <w:rPr>
          <w:i/>
          <w:sz w:val="21"/>
        </w:rPr>
      </w:pPr>
    </w:p>
    <w:p>
      <w:pPr>
        <w:pStyle w:val="BodyText"/>
        <w:spacing w:line="244" w:lineRule="auto"/>
        <w:ind w:left="1702" w:right="1475"/>
        <w:jc w:val="both"/>
      </w:pPr>
      <w:r>
        <w:rPr/>
        <w:t>Bajo</w:t>
      </w:r>
      <w:r>
        <w:rPr>
          <w:spacing w:val="-16"/>
        </w:rPr>
        <w:t> </w:t>
      </w:r>
      <w:r>
        <w:rPr/>
        <w:t>este</w:t>
      </w:r>
      <w:r>
        <w:rPr>
          <w:spacing w:val="-14"/>
        </w:rPr>
        <w:t> </w:t>
      </w:r>
      <w:r>
        <w:rPr/>
        <w:t>contexto</w:t>
      </w:r>
      <w:r>
        <w:rPr>
          <w:spacing w:val="-14"/>
        </w:rPr>
        <w:t> </w:t>
      </w:r>
      <w:r>
        <w:rPr/>
        <w:t>es</w:t>
      </w:r>
      <w:r>
        <w:rPr>
          <w:spacing w:val="-17"/>
        </w:rPr>
        <w:t> </w:t>
      </w:r>
      <w:r>
        <w:rPr/>
        <w:t>que</w:t>
      </w:r>
      <w:r>
        <w:rPr>
          <w:spacing w:val="-15"/>
        </w:rPr>
        <w:t> </w:t>
      </w:r>
      <w:r>
        <w:rPr/>
        <w:t>la</w:t>
      </w:r>
      <w:r>
        <w:rPr>
          <w:spacing w:val="-15"/>
        </w:rPr>
        <w:t> </w:t>
      </w:r>
      <w:r>
        <w:rPr/>
        <w:t>Orientación</w:t>
      </w:r>
      <w:r>
        <w:rPr>
          <w:spacing w:val="-16"/>
        </w:rPr>
        <w:t> </w:t>
      </w:r>
      <w:r>
        <w:rPr/>
        <w:t>Educativa</w:t>
      </w:r>
      <w:r>
        <w:rPr>
          <w:spacing w:val="-16"/>
        </w:rPr>
        <w:t> </w:t>
      </w:r>
      <w:r>
        <w:rPr/>
        <w:t>se</w:t>
      </w:r>
      <w:r>
        <w:rPr>
          <w:spacing w:val="-14"/>
        </w:rPr>
        <w:t> </w:t>
      </w:r>
      <w:r>
        <w:rPr/>
        <w:t>consolida</w:t>
      </w:r>
      <w:r>
        <w:rPr>
          <w:spacing w:val="-17"/>
        </w:rPr>
        <w:t> </w:t>
      </w:r>
      <w:r>
        <w:rPr/>
        <w:t>como</w:t>
      </w:r>
      <w:r>
        <w:rPr>
          <w:spacing w:val="-14"/>
        </w:rPr>
        <w:t> </w:t>
      </w:r>
      <w:r>
        <w:rPr/>
        <w:t>un</w:t>
      </w:r>
      <w:r>
        <w:rPr>
          <w:spacing w:val="-10"/>
        </w:rPr>
        <w:t> </w:t>
      </w:r>
      <w:r>
        <w:rPr>
          <w:b/>
        </w:rPr>
        <w:t>servicio </w:t>
      </w:r>
      <w:r>
        <w:rPr/>
        <w:t>que busca fortalecer los procesos de enseñanza-aprendizaje, así como atender </w:t>
      </w:r>
      <w:r>
        <w:rPr>
          <w:b/>
          <w:i/>
        </w:rPr>
        <w:t>cuestiones vocacionales y socioemocionales </w:t>
      </w:r>
      <w:r>
        <w:rPr/>
        <w:t>al interior de los planteles mediante la aplicación de procedimientos sistemáticos y organizados, </w:t>
      </w:r>
      <w:r>
        <w:rPr>
          <w:spacing w:val="-3"/>
        </w:rPr>
        <w:t>que </w:t>
      </w:r>
      <w:r>
        <w:rPr/>
        <w:t>respondan a las necesidades y demandas de la comunidad</w:t>
      </w:r>
      <w:r>
        <w:rPr>
          <w:spacing w:val="-7"/>
        </w:rPr>
        <w:t> </w:t>
      </w:r>
      <w:r>
        <w:rPr/>
        <w:t>estudiantil.</w:t>
      </w:r>
    </w:p>
    <w:p>
      <w:pPr>
        <w:pStyle w:val="BodyText"/>
        <w:spacing w:before="1"/>
      </w:pPr>
    </w:p>
    <w:p>
      <w:pPr>
        <w:pStyle w:val="BodyText"/>
        <w:ind w:left="1702"/>
        <w:jc w:val="both"/>
      </w:pPr>
      <w:r>
        <w:rPr/>
        <w:t>Siendo sus principales objetivos:</w:t>
      </w:r>
    </w:p>
    <w:p>
      <w:pPr>
        <w:pStyle w:val="BodyText"/>
        <w:spacing w:before="5"/>
        <w:rPr>
          <w:sz w:val="23"/>
        </w:rPr>
      </w:pPr>
    </w:p>
    <w:p>
      <w:pPr>
        <w:pStyle w:val="ListParagraph"/>
        <w:numPr>
          <w:ilvl w:val="0"/>
          <w:numId w:val="1"/>
        </w:numPr>
        <w:tabs>
          <w:tab w:pos="2422" w:val="left" w:leader="none"/>
        </w:tabs>
        <w:spacing w:line="244" w:lineRule="auto" w:before="1" w:after="0"/>
        <w:ind w:left="2422" w:right="1477" w:hanging="360"/>
        <w:jc w:val="both"/>
        <w:rPr>
          <w:sz w:val="22"/>
        </w:rPr>
      </w:pPr>
      <w:r>
        <w:rPr>
          <w:sz w:val="22"/>
        </w:rPr>
        <w:t>Promover que el estudiantado se sienta partícipe y perteneciente a la institución, al familiarizarse con los procesos y modalidades establecidas del plantel al que pertenecen.</w:t>
      </w:r>
    </w:p>
    <w:p>
      <w:pPr>
        <w:pStyle w:val="ListParagraph"/>
        <w:numPr>
          <w:ilvl w:val="0"/>
          <w:numId w:val="1"/>
        </w:numPr>
        <w:tabs>
          <w:tab w:pos="2422" w:val="left" w:leader="none"/>
        </w:tabs>
        <w:spacing w:line="244" w:lineRule="auto" w:before="0" w:after="0"/>
        <w:ind w:left="2422" w:right="1480" w:hanging="360"/>
        <w:jc w:val="both"/>
        <w:rPr>
          <w:sz w:val="22"/>
        </w:rPr>
      </w:pPr>
      <w:r>
        <w:rPr>
          <w:sz w:val="22"/>
        </w:rPr>
        <w:t>Generar una actitud reflexiva ante la toma de decisiones, tal como la elección</w:t>
      </w:r>
      <w:r>
        <w:rPr>
          <w:spacing w:val="-10"/>
          <w:sz w:val="22"/>
        </w:rPr>
        <w:t> </w:t>
      </w:r>
      <w:r>
        <w:rPr>
          <w:sz w:val="22"/>
        </w:rPr>
        <w:t>vocacional,</w:t>
      </w:r>
      <w:r>
        <w:rPr>
          <w:spacing w:val="-7"/>
          <w:sz w:val="22"/>
        </w:rPr>
        <w:t> </w:t>
      </w:r>
      <w:r>
        <w:rPr>
          <w:sz w:val="22"/>
        </w:rPr>
        <w:t>de</w:t>
      </w:r>
      <w:r>
        <w:rPr>
          <w:spacing w:val="-9"/>
          <w:sz w:val="22"/>
        </w:rPr>
        <w:t> </w:t>
      </w:r>
      <w:r>
        <w:rPr>
          <w:sz w:val="22"/>
        </w:rPr>
        <w:t>acuerdo</w:t>
      </w:r>
      <w:r>
        <w:rPr>
          <w:spacing w:val="-9"/>
          <w:sz w:val="22"/>
        </w:rPr>
        <w:t> </w:t>
      </w:r>
      <w:r>
        <w:rPr>
          <w:sz w:val="22"/>
        </w:rPr>
        <w:t>con</w:t>
      </w:r>
      <w:r>
        <w:rPr>
          <w:spacing w:val="-9"/>
          <w:sz w:val="22"/>
        </w:rPr>
        <w:t> </w:t>
      </w:r>
      <w:r>
        <w:rPr>
          <w:sz w:val="22"/>
        </w:rPr>
        <w:t>lo</w:t>
      </w:r>
      <w:r>
        <w:rPr>
          <w:spacing w:val="-9"/>
          <w:sz w:val="22"/>
        </w:rPr>
        <w:t> </w:t>
      </w:r>
      <w:r>
        <w:rPr>
          <w:sz w:val="22"/>
        </w:rPr>
        <w:t>que</w:t>
      </w:r>
      <w:r>
        <w:rPr>
          <w:spacing w:val="-10"/>
          <w:sz w:val="22"/>
        </w:rPr>
        <w:t> </w:t>
      </w:r>
      <w:r>
        <w:rPr>
          <w:sz w:val="22"/>
        </w:rPr>
        <w:t>quieren</w:t>
      </w:r>
      <w:r>
        <w:rPr>
          <w:spacing w:val="-9"/>
          <w:sz w:val="22"/>
        </w:rPr>
        <w:t> </w:t>
      </w:r>
      <w:r>
        <w:rPr>
          <w:sz w:val="22"/>
        </w:rPr>
        <w:t>hacer</w:t>
      </w:r>
      <w:r>
        <w:rPr>
          <w:spacing w:val="-9"/>
          <w:sz w:val="22"/>
        </w:rPr>
        <w:t> </w:t>
      </w:r>
      <w:r>
        <w:rPr>
          <w:sz w:val="22"/>
        </w:rPr>
        <w:t>y</w:t>
      </w:r>
      <w:r>
        <w:rPr>
          <w:spacing w:val="-9"/>
          <w:sz w:val="22"/>
        </w:rPr>
        <w:t> </w:t>
      </w:r>
      <w:r>
        <w:rPr>
          <w:sz w:val="22"/>
        </w:rPr>
        <w:t>ser,</w:t>
      </w:r>
      <w:r>
        <w:rPr>
          <w:spacing w:val="-7"/>
          <w:sz w:val="22"/>
        </w:rPr>
        <w:t> </w:t>
      </w:r>
      <w:r>
        <w:rPr>
          <w:sz w:val="22"/>
        </w:rPr>
        <w:t>además</w:t>
      </w:r>
      <w:r>
        <w:rPr>
          <w:spacing w:val="-9"/>
          <w:sz w:val="22"/>
        </w:rPr>
        <w:t> </w:t>
      </w:r>
      <w:r>
        <w:rPr>
          <w:sz w:val="22"/>
        </w:rPr>
        <w:t>de</w:t>
      </w:r>
    </w:p>
    <w:p>
      <w:pPr>
        <w:spacing w:after="0" w:line="244" w:lineRule="auto"/>
        <w:jc w:val="both"/>
        <w:rPr>
          <w:sz w:val="22"/>
        </w:rPr>
        <w:sectPr>
          <w:pgSz w:w="12240" w:h="15840"/>
          <w:pgMar w:header="0" w:footer="1170" w:top="1340" w:bottom="1500" w:left="0" w:right="220"/>
        </w:sectPr>
      </w:pPr>
    </w:p>
    <w:p>
      <w:pPr>
        <w:pStyle w:val="BodyText"/>
        <w:spacing w:line="242" w:lineRule="auto" w:before="48"/>
        <w:ind w:left="2422" w:right="1482"/>
        <w:jc w:val="both"/>
      </w:pPr>
      <w:r>
        <w:rPr/>
        <w:t>brindar información profesiográfica que coadyuve en su integración al</w:t>
      </w:r>
      <w:r>
        <w:rPr>
          <w:spacing w:val="57"/>
        </w:rPr>
        <w:t> </w:t>
      </w:r>
      <w:r>
        <w:rPr/>
        <w:t>ámbito socioeconómico del contexto en que se desenvuelven.</w:t>
      </w:r>
    </w:p>
    <w:p>
      <w:pPr>
        <w:pStyle w:val="ListParagraph"/>
        <w:numPr>
          <w:ilvl w:val="0"/>
          <w:numId w:val="1"/>
        </w:numPr>
        <w:tabs>
          <w:tab w:pos="2422" w:val="left" w:leader="none"/>
        </w:tabs>
        <w:spacing w:line="244" w:lineRule="auto" w:before="4" w:after="0"/>
        <w:ind w:left="2422" w:right="1481" w:hanging="360"/>
        <w:jc w:val="both"/>
        <w:rPr>
          <w:sz w:val="22"/>
        </w:rPr>
      </w:pPr>
      <w:r>
        <w:rPr>
          <w:sz w:val="22"/>
        </w:rPr>
        <w:t>Detectar factores de riesgo psicosocial en el estudiantado y generar acciones preventivas que fortalezcan los valores y la creación de un estilo de vida sano y favorable para su</w:t>
      </w:r>
      <w:r>
        <w:rPr>
          <w:spacing w:val="-3"/>
          <w:sz w:val="22"/>
        </w:rPr>
        <w:t> </w:t>
      </w:r>
      <w:r>
        <w:rPr>
          <w:sz w:val="22"/>
        </w:rPr>
        <w:t>desarrollo.</w:t>
      </w:r>
    </w:p>
    <w:p>
      <w:pPr>
        <w:pStyle w:val="ListParagraph"/>
        <w:numPr>
          <w:ilvl w:val="0"/>
          <w:numId w:val="1"/>
        </w:numPr>
        <w:tabs>
          <w:tab w:pos="2422" w:val="left" w:leader="none"/>
        </w:tabs>
        <w:spacing w:line="244" w:lineRule="auto" w:before="0" w:after="0"/>
        <w:ind w:left="2422" w:right="1478" w:hanging="360"/>
        <w:jc w:val="both"/>
        <w:rPr>
          <w:sz w:val="22"/>
        </w:rPr>
      </w:pPr>
      <w:r>
        <w:rPr>
          <w:sz w:val="22"/>
        </w:rPr>
        <w:t>Prevenir</w:t>
      </w:r>
      <w:r>
        <w:rPr>
          <w:spacing w:val="-17"/>
          <w:sz w:val="22"/>
        </w:rPr>
        <w:t> </w:t>
      </w:r>
      <w:r>
        <w:rPr>
          <w:sz w:val="22"/>
        </w:rPr>
        <w:t>la</w:t>
      </w:r>
      <w:r>
        <w:rPr>
          <w:spacing w:val="-16"/>
          <w:sz w:val="22"/>
        </w:rPr>
        <w:t> </w:t>
      </w:r>
      <w:r>
        <w:rPr>
          <w:sz w:val="22"/>
        </w:rPr>
        <w:t>violencia</w:t>
      </w:r>
      <w:r>
        <w:rPr>
          <w:spacing w:val="-17"/>
          <w:sz w:val="22"/>
        </w:rPr>
        <w:t> </w:t>
      </w:r>
      <w:r>
        <w:rPr>
          <w:sz w:val="22"/>
        </w:rPr>
        <w:t>desde</w:t>
      </w:r>
      <w:r>
        <w:rPr>
          <w:spacing w:val="-18"/>
          <w:sz w:val="22"/>
        </w:rPr>
        <w:t> </w:t>
      </w:r>
      <w:r>
        <w:rPr>
          <w:sz w:val="22"/>
        </w:rPr>
        <w:t>los</w:t>
      </w:r>
      <w:r>
        <w:rPr>
          <w:spacing w:val="-16"/>
          <w:sz w:val="22"/>
        </w:rPr>
        <w:t> </w:t>
      </w:r>
      <w:r>
        <w:rPr>
          <w:sz w:val="22"/>
        </w:rPr>
        <w:t>planteles</w:t>
      </w:r>
      <w:r>
        <w:rPr>
          <w:spacing w:val="-16"/>
          <w:sz w:val="22"/>
        </w:rPr>
        <w:t> </w:t>
      </w:r>
      <w:r>
        <w:rPr>
          <w:sz w:val="22"/>
        </w:rPr>
        <w:t>a</w:t>
      </w:r>
      <w:r>
        <w:rPr>
          <w:spacing w:val="-18"/>
          <w:sz w:val="22"/>
        </w:rPr>
        <w:t> </w:t>
      </w:r>
      <w:r>
        <w:rPr>
          <w:sz w:val="22"/>
        </w:rPr>
        <w:t>partir</w:t>
      </w:r>
      <w:r>
        <w:rPr>
          <w:spacing w:val="-16"/>
          <w:sz w:val="22"/>
        </w:rPr>
        <w:t> </w:t>
      </w:r>
      <w:r>
        <w:rPr>
          <w:sz w:val="22"/>
        </w:rPr>
        <w:t>del</w:t>
      </w:r>
      <w:r>
        <w:rPr>
          <w:spacing w:val="-18"/>
          <w:sz w:val="22"/>
        </w:rPr>
        <w:t> </w:t>
      </w:r>
      <w:r>
        <w:rPr>
          <w:sz w:val="22"/>
        </w:rPr>
        <w:t>establecimiento</w:t>
      </w:r>
      <w:r>
        <w:rPr>
          <w:spacing w:val="-15"/>
          <w:sz w:val="22"/>
        </w:rPr>
        <w:t> </w:t>
      </w:r>
      <w:r>
        <w:rPr>
          <w:sz w:val="22"/>
        </w:rPr>
        <w:t>de</w:t>
      </w:r>
      <w:r>
        <w:rPr>
          <w:spacing w:val="-16"/>
          <w:sz w:val="22"/>
        </w:rPr>
        <w:t> </w:t>
      </w:r>
      <w:r>
        <w:rPr>
          <w:sz w:val="22"/>
        </w:rPr>
        <w:t>una cultura de la paz que promueva ambientes sanos y seguros,  principalmente con el estudiantado que vive en zonas marginadas, para evitar que éstos se integren en actividades</w:t>
      </w:r>
      <w:r>
        <w:rPr>
          <w:spacing w:val="-5"/>
          <w:sz w:val="22"/>
        </w:rPr>
        <w:t> </w:t>
      </w:r>
      <w:r>
        <w:rPr>
          <w:sz w:val="22"/>
        </w:rPr>
        <w:t>ilícitas.</w:t>
      </w:r>
    </w:p>
    <w:p>
      <w:pPr>
        <w:pStyle w:val="ListParagraph"/>
        <w:numPr>
          <w:ilvl w:val="0"/>
          <w:numId w:val="1"/>
        </w:numPr>
        <w:tabs>
          <w:tab w:pos="2422" w:val="left" w:leader="none"/>
        </w:tabs>
        <w:spacing w:line="244" w:lineRule="auto" w:before="0" w:after="0"/>
        <w:ind w:left="2422" w:right="1480" w:hanging="360"/>
        <w:jc w:val="both"/>
        <w:rPr>
          <w:sz w:val="22"/>
        </w:rPr>
      </w:pPr>
      <w:r>
        <w:rPr>
          <w:sz w:val="22"/>
        </w:rPr>
        <w:t>Promover el reconocimiento, goce y ejercicio del derecho a la igualdad y no discriminación de los grupos y poblaciones históricamente excluidos para prevenir y eliminar prácticas segregadoras que atentan contra la dignidad</w:t>
      </w:r>
      <w:r>
        <w:rPr>
          <w:spacing w:val="-1"/>
          <w:sz w:val="22"/>
        </w:rPr>
        <w:t> </w:t>
      </w:r>
      <w:r>
        <w:rPr>
          <w:sz w:val="22"/>
        </w:rPr>
        <w:t>humana.</w:t>
      </w:r>
    </w:p>
    <w:p>
      <w:pPr>
        <w:spacing w:after="0" w:line="244" w:lineRule="auto"/>
        <w:jc w:val="both"/>
        <w:rPr>
          <w:sz w:val="22"/>
        </w:rPr>
        <w:sectPr>
          <w:pgSz w:w="12240" w:h="15840"/>
          <w:pgMar w:header="0" w:footer="1170" w:top="1340" w:bottom="1500" w:left="0" w:right="220"/>
        </w:sectPr>
      </w:pPr>
    </w:p>
    <w:p>
      <w:pPr>
        <w:pStyle w:val="Heading1"/>
        <w:jc w:val="both"/>
      </w:pPr>
      <w:bookmarkStart w:name="_TOC_250004" w:id="3"/>
      <w:bookmarkEnd w:id="3"/>
      <w:r>
        <w:rPr>
          <w:color w:val="9F2141"/>
          <w:w w:val="130"/>
        </w:rPr>
        <w:t>¿QUIÉNES Y CÓMO PARTICIPAN?</w:t>
      </w:r>
    </w:p>
    <w:p>
      <w:pPr>
        <w:pStyle w:val="BodyText"/>
        <w:spacing w:before="2"/>
        <w:rPr>
          <w:rFonts w:ascii="Calibri"/>
          <w:sz w:val="26"/>
        </w:rPr>
      </w:pPr>
    </w:p>
    <w:p>
      <w:pPr>
        <w:pStyle w:val="BodyText"/>
        <w:spacing w:line="244" w:lineRule="auto"/>
        <w:ind w:left="1702" w:right="1478"/>
        <w:jc w:val="both"/>
      </w:pPr>
      <w:r>
        <w:rPr/>
        <w:t>El servicio de Orientación Educativa se brindará de manera sistemática y permanente, desde que el estudiantado ingrese al bachillerato y hasta que egrese de él, lo anterior mediante las diversas áreas de atención: Institucional, Escolar, Psicosocial y Vocacional.</w:t>
      </w:r>
    </w:p>
    <w:p>
      <w:pPr>
        <w:pStyle w:val="BodyText"/>
        <w:spacing w:before="2"/>
      </w:pPr>
    </w:p>
    <w:p>
      <w:pPr>
        <w:pStyle w:val="BodyText"/>
        <w:spacing w:line="244" w:lineRule="auto"/>
        <w:ind w:left="1702" w:right="1481"/>
        <w:jc w:val="both"/>
      </w:pPr>
      <w:r>
        <w:rPr/>
        <w:t>Este servicio </w:t>
      </w:r>
      <w:r>
        <w:rPr>
          <w:b/>
        </w:rPr>
        <w:t>no </w:t>
      </w:r>
      <w:r>
        <w:rPr/>
        <w:t>se ofertará como una Unidad de Aprendizaje Curricular, por lo que el personal que lo brinde será aquel que cuente con plaza administrativa o como Psicólogo/a de plantel.</w:t>
      </w:r>
    </w:p>
    <w:p>
      <w:pPr>
        <w:pStyle w:val="BodyText"/>
        <w:spacing w:before="2"/>
      </w:pPr>
    </w:p>
    <w:p>
      <w:pPr>
        <w:pStyle w:val="BodyText"/>
        <w:spacing w:line="244" w:lineRule="auto"/>
        <w:ind w:left="1702" w:right="1477"/>
        <w:jc w:val="both"/>
      </w:pPr>
      <w:r>
        <w:rPr/>
        <w:t>Así</w:t>
      </w:r>
      <w:r>
        <w:rPr>
          <w:spacing w:val="-7"/>
        </w:rPr>
        <w:t> </w:t>
      </w:r>
      <w:r>
        <w:rPr/>
        <w:t>mismo,</w:t>
      </w:r>
      <w:r>
        <w:rPr>
          <w:spacing w:val="-6"/>
        </w:rPr>
        <w:t> </w:t>
      </w:r>
      <w:r>
        <w:rPr/>
        <w:t>cabe</w:t>
      </w:r>
      <w:r>
        <w:rPr>
          <w:spacing w:val="-3"/>
        </w:rPr>
        <w:t> </w:t>
      </w:r>
      <w:r>
        <w:rPr/>
        <w:t>destacar</w:t>
      </w:r>
      <w:r>
        <w:rPr>
          <w:spacing w:val="-5"/>
        </w:rPr>
        <w:t> </w:t>
      </w:r>
      <w:r>
        <w:rPr/>
        <w:t>que</w:t>
      </w:r>
      <w:r>
        <w:rPr>
          <w:spacing w:val="-3"/>
        </w:rPr>
        <w:t> </w:t>
      </w:r>
      <w:r>
        <w:rPr/>
        <w:t>el</w:t>
      </w:r>
      <w:r>
        <w:rPr>
          <w:spacing w:val="-4"/>
        </w:rPr>
        <w:t> </w:t>
      </w:r>
      <w:r>
        <w:rPr/>
        <w:t>servicio</w:t>
      </w:r>
      <w:r>
        <w:rPr>
          <w:spacing w:val="-4"/>
        </w:rPr>
        <w:t> </w:t>
      </w:r>
      <w:r>
        <w:rPr/>
        <w:t>de</w:t>
      </w:r>
      <w:r>
        <w:rPr>
          <w:spacing w:val="-5"/>
        </w:rPr>
        <w:t> </w:t>
      </w:r>
      <w:r>
        <w:rPr/>
        <w:t>Orientación</w:t>
      </w:r>
      <w:r>
        <w:rPr>
          <w:spacing w:val="-8"/>
        </w:rPr>
        <w:t> </w:t>
      </w:r>
      <w:r>
        <w:rPr/>
        <w:t>Educativa</w:t>
      </w:r>
      <w:r>
        <w:rPr>
          <w:spacing w:val="-3"/>
        </w:rPr>
        <w:t> </w:t>
      </w:r>
      <w:r>
        <w:rPr>
          <w:b/>
        </w:rPr>
        <w:t>podrá</w:t>
      </w:r>
      <w:r>
        <w:rPr>
          <w:b/>
          <w:spacing w:val="-6"/>
        </w:rPr>
        <w:t> </w:t>
      </w:r>
      <w:r>
        <w:rPr>
          <w:b/>
        </w:rPr>
        <w:t>apoyar con acciones o proyectos </w:t>
      </w:r>
      <w:r>
        <w:rPr/>
        <w:t>al Currículum Ampliado, a través de los Ámbitos de Formación Socioemocional de Educación Integral en Sexualidad y Género, así como</w:t>
      </w:r>
      <w:r>
        <w:rPr>
          <w:spacing w:val="-13"/>
        </w:rPr>
        <w:t> </w:t>
      </w:r>
      <w:r>
        <w:rPr/>
        <w:t>Práctica</w:t>
      </w:r>
      <w:r>
        <w:rPr>
          <w:spacing w:val="-13"/>
        </w:rPr>
        <w:t> </w:t>
      </w:r>
      <w:r>
        <w:rPr/>
        <w:t>y</w:t>
      </w:r>
      <w:r>
        <w:rPr>
          <w:spacing w:val="-13"/>
        </w:rPr>
        <w:t> </w:t>
      </w:r>
      <w:r>
        <w:rPr/>
        <w:t>Colaboración</w:t>
      </w:r>
      <w:r>
        <w:rPr>
          <w:spacing w:val="-13"/>
        </w:rPr>
        <w:t> </w:t>
      </w:r>
      <w:r>
        <w:rPr/>
        <w:t>Ciudadana,</w:t>
      </w:r>
      <w:r>
        <w:rPr>
          <w:spacing w:val="-13"/>
        </w:rPr>
        <w:t> </w:t>
      </w:r>
      <w:r>
        <w:rPr/>
        <w:t>en</w:t>
      </w:r>
      <w:r>
        <w:rPr>
          <w:spacing w:val="-16"/>
        </w:rPr>
        <w:t> </w:t>
      </w:r>
      <w:r>
        <w:rPr/>
        <w:t>estricto</w:t>
      </w:r>
      <w:r>
        <w:rPr>
          <w:spacing w:val="-13"/>
        </w:rPr>
        <w:t> </w:t>
      </w:r>
      <w:r>
        <w:rPr/>
        <w:t>apego</w:t>
      </w:r>
      <w:r>
        <w:rPr>
          <w:spacing w:val="-12"/>
        </w:rPr>
        <w:t> </w:t>
      </w:r>
      <w:r>
        <w:rPr/>
        <w:t>a</w:t>
      </w:r>
      <w:r>
        <w:rPr>
          <w:spacing w:val="-14"/>
        </w:rPr>
        <w:t> </w:t>
      </w:r>
      <w:r>
        <w:rPr/>
        <w:t>las</w:t>
      </w:r>
      <w:r>
        <w:rPr>
          <w:spacing w:val="-13"/>
        </w:rPr>
        <w:t> </w:t>
      </w:r>
      <w:r>
        <w:rPr/>
        <w:t>progresiones</w:t>
      </w:r>
      <w:r>
        <w:rPr>
          <w:spacing w:val="-13"/>
        </w:rPr>
        <w:t> </w:t>
      </w:r>
      <w:r>
        <w:rPr/>
        <w:t>de aprendizaje estipuladas para cada uno de</w:t>
      </w:r>
      <w:r>
        <w:rPr>
          <w:spacing w:val="-6"/>
        </w:rPr>
        <w:t> </w:t>
      </w:r>
      <w:r>
        <w:rPr/>
        <w:t>ellos.</w:t>
      </w:r>
    </w:p>
    <w:p>
      <w:pPr>
        <w:pStyle w:val="BodyText"/>
      </w:pPr>
    </w:p>
    <w:p>
      <w:pPr>
        <w:pStyle w:val="BodyText"/>
        <w:spacing w:before="1"/>
        <w:ind w:left="1702"/>
        <w:jc w:val="both"/>
      </w:pPr>
      <w:r>
        <w:rPr/>
        <w:t>Perfil del personal responsable del Servicio de Orientación Educativa</w:t>
      </w:r>
    </w:p>
    <w:p>
      <w:pPr>
        <w:pStyle w:val="BodyText"/>
        <w:spacing w:before="2"/>
        <w:rPr>
          <w:sz w:val="13"/>
        </w:rPr>
      </w:pPr>
      <w:r>
        <w:rPr/>
        <w:drawing>
          <wp:anchor distT="0" distB="0" distL="0" distR="0" allowOverlap="1" layoutInCell="1" locked="0" behindDoc="0" simplePos="0" relativeHeight="6">
            <wp:simplePos x="0" y="0"/>
            <wp:positionH relativeFrom="page">
              <wp:posOffset>1080135</wp:posOffset>
            </wp:positionH>
            <wp:positionV relativeFrom="paragraph">
              <wp:posOffset>140165</wp:posOffset>
            </wp:positionV>
            <wp:extent cx="5598393" cy="3491103"/>
            <wp:effectExtent l="0" t="0" r="0" b="0"/>
            <wp:wrapTopAndBottom/>
            <wp:docPr id="15" name="image9.png" descr="Icono  Descripción generada automáticamente con confianza media"/>
            <wp:cNvGraphicFramePr>
              <a:graphicFrameLocks noChangeAspect="1"/>
            </wp:cNvGraphicFramePr>
            <a:graphic>
              <a:graphicData uri="http://schemas.openxmlformats.org/drawingml/2006/picture">
                <pic:pic>
                  <pic:nvPicPr>
                    <pic:cNvPr id="16" name="image9.png"/>
                    <pic:cNvPicPr/>
                  </pic:nvPicPr>
                  <pic:blipFill>
                    <a:blip r:embed="rId13" cstate="print"/>
                    <a:stretch>
                      <a:fillRect/>
                    </a:stretch>
                  </pic:blipFill>
                  <pic:spPr>
                    <a:xfrm>
                      <a:off x="0" y="0"/>
                      <a:ext cx="5598393" cy="3491103"/>
                    </a:xfrm>
                    <a:prstGeom prst="rect">
                      <a:avLst/>
                    </a:prstGeom>
                  </pic:spPr>
                </pic:pic>
              </a:graphicData>
            </a:graphic>
          </wp:anchor>
        </w:drawing>
      </w:r>
    </w:p>
    <w:p>
      <w:pPr>
        <w:spacing w:after="0"/>
        <w:rPr>
          <w:sz w:val="13"/>
        </w:rPr>
        <w:sectPr>
          <w:pgSz w:w="12240" w:h="15840"/>
          <w:pgMar w:header="0" w:footer="1170" w:top="1340" w:bottom="1500" w:left="0" w:right="220"/>
        </w:sectPr>
      </w:pPr>
    </w:p>
    <w:p>
      <w:pPr>
        <w:pStyle w:val="BodyText"/>
        <w:spacing w:before="48"/>
        <w:ind w:left="1702"/>
      </w:pPr>
      <w:r>
        <w:rPr/>
        <w:t>Funciones del personal responsable del Servicio de Orientación Educativa</w:t>
      </w:r>
    </w:p>
    <w:p>
      <w:pPr>
        <w:pStyle w:val="BodyText"/>
        <w:spacing w:before="10"/>
      </w:pPr>
    </w:p>
    <w:p>
      <w:pPr>
        <w:pStyle w:val="ListParagraph"/>
        <w:numPr>
          <w:ilvl w:val="0"/>
          <w:numId w:val="1"/>
        </w:numPr>
        <w:tabs>
          <w:tab w:pos="2422" w:val="left" w:leader="none"/>
        </w:tabs>
        <w:spacing w:line="244" w:lineRule="auto" w:before="0" w:after="0"/>
        <w:ind w:left="2422" w:right="1480" w:hanging="360"/>
        <w:jc w:val="both"/>
        <w:rPr>
          <w:sz w:val="22"/>
        </w:rPr>
      </w:pPr>
      <w:r>
        <w:rPr>
          <w:sz w:val="22"/>
        </w:rPr>
        <w:t>Generar e informar a la comunidad estudiantil sobre ferias, conferencias y eventos que tengan el propósito de brindar herramientas educativas, vocacionales y socioemocionales para fortalecer el desarrollo educativo integral del</w:t>
      </w:r>
      <w:r>
        <w:rPr>
          <w:spacing w:val="-3"/>
          <w:sz w:val="22"/>
        </w:rPr>
        <w:t> </w:t>
      </w:r>
      <w:r>
        <w:rPr>
          <w:sz w:val="22"/>
        </w:rPr>
        <w:t>estudiantado.</w:t>
      </w:r>
    </w:p>
    <w:p>
      <w:pPr>
        <w:pStyle w:val="ListParagraph"/>
        <w:numPr>
          <w:ilvl w:val="0"/>
          <w:numId w:val="1"/>
        </w:numPr>
        <w:tabs>
          <w:tab w:pos="2422" w:val="left" w:leader="none"/>
        </w:tabs>
        <w:spacing w:line="244" w:lineRule="auto" w:before="0" w:after="0"/>
        <w:ind w:left="2422" w:right="1481" w:hanging="360"/>
        <w:jc w:val="both"/>
        <w:rPr>
          <w:sz w:val="22"/>
        </w:rPr>
      </w:pPr>
      <w:r>
        <w:rPr>
          <w:sz w:val="22"/>
        </w:rPr>
        <w:t>Establecer criterios de canalización con el personal docente para que </w:t>
      </w:r>
      <w:r>
        <w:rPr>
          <w:spacing w:val="-3"/>
          <w:sz w:val="22"/>
        </w:rPr>
        <w:t>se </w:t>
      </w:r>
      <w:r>
        <w:rPr>
          <w:sz w:val="22"/>
        </w:rPr>
        <w:t>reporten los casos, que así lo requieran, al servicio de</w:t>
      </w:r>
      <w:r>
        <w:rPr>
          <w:spacing w:val="-9"/>
          <w:sz w:val="22"/>
        </w:rPr>
        <w:t> </w:t>
      </w:r>
      <w:r>
        <w:rPr>
          <w:sz w:val="22"/>
        </w:rPr>
        <w:t>orientación.</w:t>
      </w:r>
    </w:p>
    <w:p>
      <w:pPr>
        <w:pStyle w:val="ListParagraph"/>
        <w:numPr>
          <w:ilvl w:val="0"/>
          <w:numId w:val="1"/>
        </w:numPr>
        <w:tabs>
          <w:tab w:pos="2422" w:val="left" w:leader="none"/>
        </w:tabs>
        <w:spacing w:line="244" w:lineRule="auto" w:before="0" w:after="0"/>
        <w:ind w:left="2422" w:right="1480" w:hanging="360"/>
        <w:jc w:val="both"/>
        <w:rPr>
          <w:sz w:val="22"/>
        </w:rPr>
      </w:pPr>
      <w:r>
        <w:rPr>
          <w:sz w:val="22"/>
        </w:rPr>
        <w:t>Generar</w:t>
      </w:r>
      <w:r>
        <w:rPr>
          <w:spacing w:val="-18"/>
          <w:sz w:val="22"/>
        </w:rPr>
        <w:t> </w:t>
      </w:r>
      <w:r>
        <w:rPr>
          <w:sz w:val="22"/>
        </w:rPr>
        <w:t>acciones</w:t>
      </w:r>
      <w:r>
        <w:rPr>
          <w:spacing w:val="-17"/>
          <w:sz w:val="22"/>
        </w:rPr>
        <w:t> </w:t>
      </w:r>
      <w:r>
        <w:rPr>
          <w:sz w:val="22"/>
        </w:rPr>
        <w:t>o</w:t>
      </w:r>
      <w:r>
        <w:rPr>
          <w:spacing w:val="-16"/>
          <w:sz w:val="22"/>
        </w:rPr>
        <w:t> </w:t>
      </w:r>
      <w:r>
        <w:rPr>
          <w:sz w:val="22"/>
        </w:rPr>
        <w:t>proyectos</w:t>
      </w:r>
      <w:r>
        <w:rPr>
          <w:spacing w:val="-16"/>
          <w:sz w:val="22"/>
        </w:rPr>
        <w:t> </w:t>
      </w:r>
      <w:r>
        <w:rPr>
          <w:sz w:val="22"/>
        </w:rPr>
        <w:t>que</w:t>
      </w:r>
      <w:r>
        <w:rPr>
          <w:spacing w:val="-16"/>
          <w:sz w:val="22"/>
        </w:rPr>
        <w:t> </w:t>
      </w:r>
      <w:r>
        <w:rPr>
          <w:sz w:val="22"/>
        </w:rPr>
        <w:t>contribuyan</w:t>
      </w:r>
      <w:r>
        <w:rPr>
          <w:spacing w:val="-18"/>
          <w:sz w:val="22"/>
        </w:rPr>
        <w:t> </w:t>
      </w:r>
      <w:r>
        <w:rPr>
          <w:sz w:val="22"/>
        </w:rPr>
        <w:t>al</w:t>
      </w:r>
      <w:r>
        <w:rPr>
          <w:spacing w:val="-16"/>
          <w:sz w:val="22"/>
        </w:rPr>
        <w:t> </w:t>
      </w:r>
      <w:r>
        <w:rPr>
          <w:sz w:val="22"/>
        </w:rPr>
        <w:t>desarrollo</w:t>
      </w:r>
      <w:r>
        <w:rPr>
          <w:spacing w:val="-16"/>
          <w:sz w:val="22"/>
        </w:rPr>
        <w:t> </w:t>
      </w:r>
      <w:r>
        <w:rPr>
          <w:sz w:val="22"/>
        </w:rPr>
        <w:t>del</w:t>
      </w:r>
      <w:r>
        <w:rPr>
          <w:spacing w:val="-16"/>
          <w:sz w:val="22"/>
        </w:rPr>
        <w:t> </w:t>
      </w:r>
      <w:r>
        <w:rPr>
          <w:sz w:val="22"/>
        </w:rPr>
        <w:t>Currículum Ampliado, a través de los Ámbitos de Formación Socioemocional </w:t>
      </w:r>
      <w:r>
        <w:rPr>
          <w:spacing w:val="-3"/>
          <w:sz w:val="22"/>
        </w:rPr>
        <w:t>de </w:t>
      </w:r>
      <w:r>
        <w:rPr>
          <w:sz w:val="22"/>
        </w:rPr>
        <w:t>Educación Integral en Sexualidad y Género, así como Práctica y Colaboración</w:t>
      </w:r>
      <w:r>
        <w:rPr>
          <w:spacing w:val="-2"/>
          <w:sz w:val="22"/>
        </w:rPr>
        <w:t> </w:t>
      </w:r>
      <w:r>
        <w:rPr>
          <w:sz w:val="22"/>
        </w:rPr>
        <w:t>Ciudadana.</w:t>
      </w:r>
    </w:p>
    <w:p>
      <w:pPr>
        <w:pStyle w:val="ListParagraph"/>
        <w:numPr>
          <w:ilvl w:val="0"/>
          <w:numId w:val="1"/>
        </w:numPr>
        <w:tabs>
          <w:tab w:pos="2422" w:val="left" w:leader="none"/>
        </w:tabs>
        <w:spacing w:line="244" w:lineRule="auto" w:before="0" w:after="0"/>
        <w:ind w:left="2422" w:right="1481" w:hanging="360"/>
        <w:jc w:val="both"/>
        <w:rPr>
          <w:sz w:val="22"/>
        </w:rPr>
      </w:pPr>
      <w:r>
        <w:rPr>
          <w:sz w:val="22"/>
        </w:rPr>
        <w:t>Crear los expedientes que permitan el correcto seguimiento de las acciones</w:t>
      </w:r>
      <w:r>
        <w:rPr>
          <w:spacing w:val="-6"/>
          <w:sz w:val="22"/>
        </w:rPr>
        <w:t> </w:t>
      </w:r>
      <w:r>
        <w:rPr>
          <w:sz w:val="22"/>
        </w:rPr>
        <w:t>individuales</w:t>
      </w:r>
      <w:r>
        <w:rPr>
          <w:spacing w:val="-9"/>
          <w:sz w:val="22"/>
        </w:rPr>
        <w:t> </w:t>
      </w:r>
      <w:r>
        <w:rPr>
          <w:sz w:val="22"/>
        </w:rPr>
        <w:t>del</w:t>
      </w:r>
      <w:r>
        <w:rPr>
          <w:spacing w:val="-6"/>
          <w:sz w:val="22"/>
        </w:rPr>
        <w:t> </w:t>
      </w:r>
      <w:r>
        <w:rPr>
          <w:sz w:val="22"/>
        </w:rPr>
        <w:t>estudiantado</w:t>
      </w:r>
      <w:r>
        <w:rPr>
          <w:spacing w:val="-6"/>
          <w:sz w:val="22"/>
        </w:rPr>
        <w:t> </w:t>
      </w:r>
      <w:r>
        <w:rPr>
          <w:sz w:val="22"/>
        </w:rPr>
        <w:t>que</w:t>
      </w:r>
      <w:r>
        <w:rPr>
          <w:spacing w:val="-8"/>
          <w:sz w:val="22"/>
        </w:rPr>
        <w:t> </w:t>
      </w:r>
      <w:r>
        <w:rPr>
          <w:sz w:val="22"/>
        </w:rPr>
        <w:t>sea</w:t>
      </w:r>
      <w:r>
        <w:rPr>
          <w:spacing w:val="-7"/>
          <w:sz w:val="22"/>
        </w:rPr>
        <w:t> </w:t>
      </w:r>
      <w:r>
        <w:rPr>
          <w:sz w:val="22"/>
        </w:rPr>
        <w:t>beneficiado</w:t>
      </w:r>
      <w:r>
        <w:rPr>
          <w:spacing w:val="-6"/>
          <w:sz w:val="22"/>
        </w:rPr>
        <w:t> </w:t>
      </w:r>
      <w:r>
        <w:rPr>
          <w:sz w:val="22"/>
        </w:rPr>
        <w:t>por</w:t>
      </w:r>
      <w:r>
        <w:rPr>
          <w:spacing w:val="-9"/>
          <w:sz w:val="22"/>
        </w:rPr>
        <w:t> </w:t>
      </w:r>
      <w:r>
        <w:rPr>
          <w:sz w:val="22"/>
        </w:rPr>
        <w:t>el</w:t>
      </w:r>
      <w:r>
        <w:rPr>
          <w:spacing w:val="-8"/>
          <w:sz w:val="22"/>
        </w:rPr>
        <w:t> </w:t>
      </w:r>
      <w:r>
        <w:rPr>
          <w:sz w:val="22"/>
        </w:rPr>
        <w:t>servicio, sin quebrantar la</w:t>
      </w:r>
      <w:r>
        <w:rPr>
          <w:spacing w:val="-4"/>
          <w:sz w:val="22"/>
        </w:rPr>
        <w:t> </w:t>
      </w:r>
      <w:r>
        <w:rPr>
          <w:sz w:val="22"/>
        </w:rPr>
        <w:t>confidencialidad.</w:t>
      </w:r>
    </w:p>
    <w:p>
      <w:pPr>
        <w:pStyle w:val="ListParagraph"/>
        <w:numPr>
          <w:ilvl w:val="0"/>
          <w:numId w:val="1"/>
        </w:numPr>
        <w:tabs>
          <w:tab w:pos="2422" w:val="left" w:leader="none"/>
        </w:tabs>
        <w:spacing w:line="244" w:lineRule="auto" w:before="0" w:after="0"/>
        <w:ind w:left="2422" w:right="1481" w:hanging="360"/>
        <w:jc w:val="both"/>
        <w:rPr>
          <w:sz w:val="22"/>
        </w:rPr>
      </w:pPr>
      <w:r>
        <w:rPr>
          <w:sz w:val="22"/>
        </w:rPr>
        <w:t>Participar en las sesiones de Trabajo Colegiado, favoreciendo la creación de protocolos (de forma colaborativa) de acción y prevención ante las problemáticas que se generan en el plantel, partiendo de los indicadores académicos y observaciones que presente el personal</w:t>
      </w:r>
      <w:r>
        <w:rPr>
          <w:spacing w:val="-5"/>
          <w:sz w:val="22"/>
        </w:rPr>
        <w:t> </w:t>
      </w:r>
      <w:r>
        <w:rPr>
          <w:sz w:val="22"/>
        </w:rPr>
        <w:t>docente.</w:t>
      </w:r>
    </w:p>
    <w:p>
      <w:pPr>
        <w:pStyle w:val="ListParagraph"/>
        <w:numPr>
          <w:ilvl w:val="0"/>
          <w:numId w:val="1"/>
        </w:numPr>
        <w:tabs>
          <w:tab w:pos="2422" w:val="left" w:leader="none"/>
        </w:tabs>
        <w:spacing w:line="244" w:lineRule="auto" w:before="0" w:after="0"/>
        <w:ind w:left="2422" w:right="1479" w:hanging="360"/>
        <w:jc w:val="both"/>
        <w:rPr>
          <w:sz w:val="22"/>
        </w:rPr>
      </w:pPr>
      <w:r>
        <w:rPr>
          <w:sz w:val="22"/>
        </w:rPr>
        <w:t>Establecer vinculación con madres y padres de familia, así como con tutores y tutoras, que permita el trabajo conjunto y, de ser el caso, la sugerencia de canalización del estudiantado a instituciones de atención especializada.</w:t>
      </w:r>
    </w:p>
    <w:p>
      <w:pPr>
        <w:pStyle w:val="ListParagraph"/>
        <w:numPr>
          <w:ilvl w:val="0"/>
          <w:numId w:val="1"/>
        </w:numPr>
        <w:tabs>
          <w:tab w:pos="2422" w:val="left" w:leader="none"/>
        </w:tabs>
        <w:spacing w:line="244" w:lineRule="auto" w:before="0" w:after="0"/>
        <w:ind w:left="2422" w:right="1478" w:hanging="360"/>
        <w:jc w:val="both"/>
        <w:rPr>
          <w:sz w:val="22"/>
        </w:rPr>
      </w:pPr>
      <w:r>
        <w:rPr>
          <w:sz w:val="22"/>
        </w:rPr>
        <w:t>Contar con la información precisa y correcta referente al servicio para reportar</w:t>
      </w:r>
      <w:r>
        <w:rPr>
          <w:spacing w:val="-14"/>
          <w:sz w:val="22"/>
        </w:rPr>
        <w:t> </w:t>
      </w:r>
      <w:r>
        <w:rPr>
          <w:sz w:val="22"/>
        </w:rPr>
        <w:t>a</w:t>
      </w:r>
      <w:r>
        <w:rPr>
          <w:spacing w:val="-12"/>
          <w:sz w:val="22"/>
        </w:rPr>
        <w:t> </w:t>
      </w:r>
      <w:r>
        <w:rPr>
          <w:sz w:val="22"/>
        </w:rPr>
        <w:t>la</w:t>
      </w:r>
      <w:r>
        <w:rPr>
          <w:spacing w:val="-14"/>
          <w:sz w:val="22"/>
        </w:rPr>
        <w:t> </w:t>
      </w:r>
      <w:r>
        <w:rPr>
          <w:sz w:val="22"/>
        </w:rPr>
        <w:t>autoridad</w:t>
      </w:r>
      <w:r>
        <w:rPr>
          <w:spacing w:val="-12"/>
          <w:sz w:val="22"/>
        </w:rPr>
        <w:t> </w:t>
      </w:r>
      <w:r>
        <w:rPr>
          <w:sz w:val="22"/>
        </w:rPr>
        <w:t>correspondiente</w:t>
      </w:r>
      <w:r>
        <w:rPr>
          <w:spacing w:val="-13"/>
          <w:sz w:val="22"/>
        </w:rPr>
        <w:t> </w:t>
      </w:r>
      <w:r>
        <w:rPr>
          <w:sz w:val="22"/>
        </w:rPr>
        <w:t>en</w:t>
      </w:r>
      <w:r>
        <w:rPr>
          <w:spacing w:val="-12"/>
          <w:sz w:val="22"/>
        </w:rPr>
        <w:t> </w:t>
      </w:r>
      <w:r>
        <w:rPr>
          <w:sz w:val="22"/>
        </w:rPr>
        <w:t>tiempo</w:t>
      </w:r>
      <w:r>
        <w:rPr>
          <w:spacing w:val="-12"/>
          <w:sz w:val="22"/>
        </w:rPr>
        <w:t> </w:t>
      </w:r>
      <w:r>
        <w:rPr>
          <w:sz w:val="22"/>
        </w:rPr>
        <w:t>y</w:t>
      </w:r>
      <w:r>
        <w:rPr>
          <w:spacing w:val="-13"/>
          <w:sz w:val="22"/>
        </w:rPr>
        <w:t> </w:t>
      </w:r>
      <w:r>
        <w:rPr>
          <w:sz w:val="22"/>
        </w:rPr>
        <w:t>forma</w:t>
      </w:r>
      <w:r>
        <w:rPr>
          <w:spacing w:val="-12"/>
          <w:sz w:val="22"/>
        </w:rPr>
        <w:t> </w:t>
      </w:r>
      <w:r>
        <w:rPr>
          <w:sz w:val="22"/>
        </w:rPr>
        <w:t>de</w:t>
      </w:r>
      <w:r>
        <w:rPr>
          <w:spacing w:val="-10"/>
          <w:sz w:val="22"/>
        </w:rPr>
        <w:t> </w:t>
      </w:r>
      <w:r>
        <w:rPr>
          <w:sz w:val="22"/>
        </w:rPr>
        <w:t>acuerdo</w:t>
      </w:r>
      <w:r>
        <w:rPr>
          <w:spacing w:val="-11"/>
          <w:sz w:val="22"/>
        </w:rPr>
        <w:t> </w:t>
      </w:r>
      <w:r>
        <w:rPr>
          <w:sz w:val="22"/>
        </w:rPr>
        <w:t>con los formatos vigentes (Anexo</w:t>
      </w:r>
      <w:r>
        <w:rPr>
          <w:spacing w:val="-6"/>
          <w:sz w:val="22"/>
        </w:rPr>
        <w:t> </w:t>
      </w:r>
      <w:r>
        <w:rPr>
          <w:sz w:val="22"/>
        </w:rPr>
        <w:t>3).</w:t>
      </w:r>
    </w:p>
    <w:p>
      <w:pPr>
        <w:pStyle w:val="BodyText"/>
        <w:spacing w:before="3"/>
        <w:rPr>
          <w:sz w:val="21"/>
        </w:rPr>
      </w:pPr>
    </w:p>
    <w:p>
      <w:pPr>
        <w:pStyle w:val="BodyText"/>
        <w:ind w:left="1702"/>
      </w:pPr>
      <w:r>
        <w:rPr/>
        <w:t>Organización del Servicio de Orientación Educativa</w:t>
      </w:r>
    </w:p>
    <w:p>
      <w:pPr>
        <w:pStyle w:val="BodyText"/>
        <w:spacing w:before="10"/>
      </w:pPr>
    </w:p>
    <w:p>
      <w:pPr>
        <w:pStyle w:val="BodyText"/>
        <w:spacing w:line="244" w:lineRule="auto"/>
        <w:ind w:left="1702" w:right="1480"/>
        <w:jc w:val="both"/>
      </w:pPr>
      <w:r>
        <w:rPr/>
        <w:t>El Servicio de Orientación Educativa integrará diversas líneas, áreas y niveles </w:t>
      </w:r>
      <w:r>
        <w:rPr>
          <w:spacing w:val="-3"/>
        </w:rPr>
        <w:t>de </w:t>
      </w:r>
      <w:r>
        <w:rPr/>
        <w:t>atención,</w:t>
      </w:r>
      <w:r>
        <w:rPr>
          <w:spacing w:val="-5"/>
        </w:rPr>
        <w:t> </w:t>
      </w:r>
      <w:r>
        <w:rPr/>
        <w:t>a</w:t>
      </w:r>
      <w:r>
        <w:rPr>
          <w:spacing w:val="-7"/>
        </w:rPr>
        <w:t> </w:t>
      </w:r>
      <w:r>
        <w:rPr/>
        <w:t>través</w:t>
      </w:r>
      <w:r>
        <w:rPr>
          <w:spacing w:val="-5"/>
        </w:rPr>
        <w:t> </w:t>
      </w:r>
      <w:r>
        <w:rPr/>
        <w:t>de</w:t>
      </w:r>
      <w:r>
        <w:rPr>
          <w:spacing w:val="-5"/>
        </w:rPr>
        <w:t> </w:t>
      </w:r>
      <w:r>
        <w:rPr/>
        <w:t>los</w:t>
      </w:r>
      <w:r>
        <w:rPr>
          <w:spacing w:val="-5"/>
        </w:rPr>
        <w:t> </w:t>
      </w:r>
      <w:r>
        <w:rPr/>
        <w:t>cuales</w:t>
      </w:r>
      <w:r>
        <w:rPr>
          <w:spacing w:val="-6"/>
        </w:rPr>
        <w:t> </w:t>
      </w:r>
      <w:r>
        <w:rPr/>
        <w:t>se</w:t>
      </w:r>
      <w:r>
        <w:rPr>
          <w:spacing w:val="-4"/>
        </w:rPr>
        <w:t> </w:t>
      </w:r>
      <w:r>
        <w:rPr/>
        <w:t>podrá</w:t>
      </w:r>
      <w:r>
        <w:rPr>
          <w:spacing w:val="-7"/>
        </w:rPr>
        <w:t> </w:t>
      </w:r>
      <w:r>
        <w:rPr/>
        <w:t>realizar</w:t>
      </w:r>
      <w:r>
        <w:rPr>
          <w:spacing w:val="-5"/>
        </w:rPr>
        <w:t> </w:t>
      </w:r>
      <w:r>
        <w:rPr/>
        <w:t>la</w:t>
      </w:r>
      <w:r>
        <w:rPr>
          <w:spacing w:val="-6"/>
        </w:rPr>
        <w:t> </w:t>
      </w:r>
      <w:r>
        <w:rPr/>
        <w:t>organización</w:t>
      </w:r>
      <w:r>
        <w:rPr>
          <w:spacing w:val="-6"/>
        </w:rPr>
        <w:t> </w:t>
      </w:r>
      <w:r>
        <w:rPr/>
        <w:t>de</w:t>
      </w:r>
      <w:r>
        <w:rPr>
          <w:spacing w:val="-5"/>
        </w:rPr>
        <w:t> </w:t>
      </w:r>
      <w:r>
        <w:rPr/>
        <w:t>las</w:t>
      </w:r>
      <w:r>
        <w:rPr>
          <w:spacing w:val="-5"/>
        </w:rPr>
        <w:t> </w:t>
      </w:r>
      <w:r>
        <w:rPr/>
        <w:t>acciones</w:t>
      </w:r>
      <w:r>
        <w:rPr>
          <w:spacing w:val="-6"/>
        </w:rPr>
        <w:t> </w:t>
      </w:r>
      <w:r>
        <w:rPr/>
        <w:t>a implementar en función de las necesidades detectadas, así como de la infraestructura con la que cuenta cada uno de los</w:t>
      </w:r>
      <w:r>
        <w:rPr>
          <w:spacing w:val="-7"/>
        </w:rPr>
        <w:t> </w:t>
      </w:r>
      <w:r>
        <w:rPr/>
        <w:t>planteles.</w:t>
      </w:r>
    </w:p>
    <w:p>
      <w:pPr>
        <w:pStyle w:val="BodyText"/>
        <w:spacing w:before="3"/>
      </w:pPr>
    </w:p>
    <w:p>
      <w:pPr>
        <w:pStyle w:val="BodyText"/>
        <w:spacing w:line="244" w:lineRule="auto"/>
        <w:ind w:left="1702" w:right="1481"/>
        <w:jc w:val="both"/>
      </w:pPr>
      <w:r>
        <w:rPr/>
        <w:t>Así mismo, para dicha organización se deberá contemplar las siguientes</w:t>
      </w:r>
      <w:r>
        <w:rPr>
          <w:spacing w:val="57"/>
        </w:rPr>
        <w:t> </w:t>
      </w:r>
      <w:r>
        <w:rPr/>
        <w:t>actividades:</w:t>
      </w:r>
    </w:p>
    <w:p>
      <w:pPr>
        <w:pStyle w:val="BodyText"/>
        <w:spacing w:before="4"/>
      </w:pPr>
    </w:p>
    <w:p>
      <w:pPr>
        <w:pStyle w:val="ListParagraph"/>
        <w:numPr>
          <w:ilvl w:val="0"/>
          <w:numId w:val="1"/>
        </w:numPr>
        <w:tabs>
          <w:tab w:pos="2421" w:val="left" w:leader="none"/>
          <w:tab w:pos="2422" w:val="left" w:leader="none"/>
        </w:tabs>
        <w:spacing w:line="242" w:lineRule="auto" w:before="0" w:after="0"/>
        <w:ind w:left="2422" w:right="1480" w:hanging="360"/>
        <w:jc w:val="left"/>
        <w:rPr>
          <w:sz w:val="22"/>
        </w:rPr>
      </w:pPr>
      <w:r>
        <w:rPr>
          <w:sz w:val="22"/>
        </w:rPr>
        <w:t>Difusión</w:t>
      </w:r>
      <w:r>
        <w:rPr>
          <w:spacing w:val="-13"/>
          <w:sz w:val="22"/>
        </w:rPr>
        <w:t> </w:t>
      </w:r>
      <w:r>
        <w:rPr>
          <w:sz w:val="22"/>
        </w:rPr>
        <w:t>y</w:t>
      </w:r>
      <w:r>
        <w:rPr>
          <w:spacing w:val="-12"/>
          <w:sz w:val="22"/>
        </w:rPr>
        <w:t> </w:t>
      </w:r>
      <w:r>
        <w:rPr>
          <w:sz w:val="22"/>
        </w:rPr>
        <w:t>seguimiento</w:t>
      </w:r>
      <w:r>
        <w:rPr>
          <w:spacing w:val="-12"/>
          <w:sz w:val="22"/>
        </w:rPr>
        <w:t> </w:t>
      </w:r>
      <w:r>
        <w:rPr>
          <w:sz w:val="22"/>
        </w:rPr>
        <w:t>de</w:t>
      </w:r>
      <w:r>
        <w:rPr>
          <w:spacing w:val="-11"/>
          <w:sz w:val="22"/>
        </w:rPr>
        <w:t> </w:t>
      </w:r>
      <w:r>
        <w:rPr>
          <w:sz w:val="22"/>
        </w:rPr>
        <w:t>las</w:t>
      </w:r>
      <w:r>
        <w:rPr>
          <w:spacing w:val="-15"/>
          <w:sz w:val="22"/>
        </w:rPr>
        <w:t> </w:t>
      </w:r>
      <w:r>
        <w:rPr>
          <w:sz w:val="22"/>
        </w:rPr>
        <w:t>estrategias</w:t>
      </w:r>
      <w:r>
        <w:rPr>
          <w:spacing w:val="-12"/>
          <w:sz w:val="22"/>
        </w:rPr>
        <w:t> </w:t>
      </w:r>
      <w:r>
        <w:rPr>
          <w:sz w:val="22"/>
        </w:rPr>
        <w:t>nacionales</w:t>
      </w:r>
      <w:r>
        <w:rPr>
          <w:spacing w:val="-12"/>
          <w:sz w:val="22"/>
        </w:rPr>
        <w:t> </w:t>
      </w:r>
      <w:r>
        <w:rPr>
          <w:sz w:val="22"/>
        </w:rPr>
        <w:t>implementadas,</w:t>
      </w:r>
      <w:r>
        <w:rPr>
          <w:spacing w:val="-11"/>
          <w:sz w:val="22"/>
        </w:rPr>
        <w:t> </w:t>
      </w:r>
      <w:r>
        <w:rPr>
          <w:sz w:val="22"/>
        </w:rPr>
        <w:t>tales como:</w:t>
      </w:r>
    </w:p>
    <w:p>
      <w:pPr>
        <w:pStyle w:val="ListParagraph"/>
        <w:numPr>
          <w:ilvl w:val="1"/>
          <w:numId w:val="1"/>
        </w:numPr>
        <w:tabs>
          <w:tab w:pos="3141" w:val="left" w:leader="none"/>
          <w:tab w:pos="3142" w:val="left" w:leader="none"/>
        </w:tabs>
        <w:spacing w:line="240" w:lineRule="auto" w:before="4" w:after="0"/>
        <w:ind w:left="3142" w:right="0" w:hanging="360"/>
        <w:jc w:val="left"/>
        <w:rPr>
          <w:i/>
          <w:sz w:val="22"/>
        </w:rPr>
      </w:pPr>
      <w:r>
        <w:rPr>
          <w:i/>
          <w:sz w:val="22"/>
        </w:rPr>
        <w:t>Prevención del</w:t>
      </w:r>
      <w:r>
        <w:rPr>
          <w:i/>
          <w:spacing w:val="-7"/>
          <w:sz w:val="22"/>
        </w:rPr>
        <w:t> </w:t>
      </w:r>
      <w:r>
        <w:rPr>
          <w:i/>
          <w:sz w:val="22"/>
        </w:rPr>
        <w:t>Embarazo</w:t>
      </w:r>
    </w:p>
    <w:p>
      <w:pPr>
        <w:pStyle w:val="ListParagraph"/>
        <w:numPr>
          <w:ilvl w:val="1"/>
          <w:numId w:val="1"/>
        </w:numPr>
        <w:tabs>
          <w:tab w:pos="3141" w:val="left" w:leader="none"/>
          <w:tab w:pos="3142" w:val="left" w:leader="none"/>
        </w:tabs>
        <w:spacing w:line="240" w:lineRule="auto" w:before="4" w:after="0"/>
        <w:ind w:left="3142" w:right="0" w:hanging="360"/>
        <w:jc w:val="left"/>
        <w:rPr>
          <w:i/>
          <w:sz w:val="22"/>
        </w:rPr>
      </w:pPr>
      <w:r>
        <w:rPr>
          <w:i/>
          <w:sz w:val="22"/>
        </w:rPr>
        <w:t>Prevención de</w:t>
      </w:r>
      <w:r>
        <w:rPr>
          <w:i/>
          <w:spacing w:val="-4"/>
          <w:sz w:val="22"/>
        </w:rPr>
        <w:t> </w:t>
      </w:r>
      <w:r>
        <w:rPr>
          <w:i/>
          <w:sz w:val="22"/>
        </w:rPr>
        <w:t>Adicciones</w:t>
      </w:r>
    </w:p>
    <w:p>
      <w:pPr>
        <w:pStyle w:val="ListParagraph"/>
        <w:numPr>
          <w:ilvl w:val="1"/>
          <w:numId w:val="1"/>
        </w:numPr>
        <w:tabs>
          <w:tab w:pos="3141" w:val="left" w:leader="none"/>
          <w:tab w:pos="3142" w:val="left" w:leader="none"/>
        </w:tabs>
        <w:spacing w:line="240" w:lineRule="auto" w:before="6" w:after="0"/>
        <w:ind w:left="3142" w:right="0" w:hanging="360"/>
        <w:jc w:val="left"/>
        <w:rPr>
          <w:i/>
          <w:sz w:val="22"/>
        </w:rPr>
      </w:pPr>
      <w:r>
        <w:rPr>
          <w:i/>
          <w:sz w:val="22"/>
        </w:rPr>
        <w:t>Prevención de la</w:t>
      </w:r>
      <w:r>
        <w:rPr>
          <w:i/>
          <w:spacing w:val="-2"/>
          <w:sz w:val="22"/>
        </w:rPr>
        <w:t> </w:t>
      </w:r>
      <w:r>
        <w:rPr>
          <w:i/>
          <w:sz w:val="22"/>
        </w:rPr>
        <w:t>Violencia</w:t>
      </w:r>
    </w:p>
    <w:p>
      <w:pPr>
        <w:spacing w:after="0" w:line="240" w:lineRule="auto"/>
        <w:jc w:val="left"/>
        <w:rPr>
          <w:sz w:val="22"/>
        </w:rPr>
        <w:sectPr>
          <w:pgSz w:w="12240" w:h="15840"/>
          <w:pgMar w:header="0" w:footer="1170" w:top="1340" w:bottom="1400" w:left="0" w:right="220"/>
        </w:sectPr>
      </w:pPr>
    </w:p>
    <w:p>
      <w:pPr>
        <w:pStyle w:val="ListParagraph"/>
        <w:numPr>
          <w:ilvl w:val="1"/>
          <w:numId w:val="1"/>
        </w:numPr>
        <w:tabs>
          <w:tab w:pos="3141" w:val="left" w:leader="none"/>
          <w:tab w:pos="3142" w:val="left" w:leader="none"/>
        </w:tabs>
        <w:spacing w:line="240" w:lineRule="auto" w:before="48" w:after="0"/>
        <w:ind w:left="3142" w:right="0" w:hanging="360"/>
        <w:jc w:val="left"/>
        <w:rPr>
          <w:i/>
          <w:sz w:val="22"/>
        </w:rPr>
      </w:pPr>
      <w:r>
        <w:rPr>
          <w:i/>
          <w:sz w:val="22"/>
        </w:rPr>
        <w:t>Manejo de emociones (Depresión, Ansiedad, entre</w:t>
      </w:r>
      <w:r>
        <w:rPr>
          <w:i/>
          <w:spacing w:val="-1"/>
          <w:sz w:val="22"/>
        </w:rPr>
        <w:t> </w:t>
      </w:r>
      <w:r>
        <w:rPr>
          <w:i/>
          <w:sz w:val="22"/>
        </w:rPr>
        <w:t>otras)</w:t>
      </w:r>
    </w:p>
    <w:p>
      <w:pPr>
        <w:pStyle w:val="ListParagraph"/>
        <w:numPr>
          <w:ilvl w:val="0"/>
          <w:numId w:val="1"/>
        </w:numPr>
        <w:tabs>
          <w:tab w:pos="2421" w:val="left" w:leader="none"/>
          <w:tab w:pos="2422" w:val="left" w:leader="none"/>
        </w:tabs>
        <w:spacing w:line="244" w:lineRule="auto" w:before="4" w:after="0"/>
        <w:ind w:left="2422" w:right="1480" w:hanging="360"/>
        <w:jc w:val="left"/>
        <w:rPr>
          <w:sz w:val="22"/>
        </w:rPr>
      </w:pPr>
      <w:r>
        <w:rPr>
          <w:sz w:val="22"/>
        </w:rPr>
        <w:t>Diseño y difusión de Protocolos acordes a las necesidades que demanda la</w:t>
      </w:r>
      <w:r>
        <w:rPr>
          <w:spacing w:val="-1"/>
          <w:sz w:val="22"/>
        </w:rPr>
        <w:t> </w:t>
      </w:r>
      <w:r>
        <w:rPr>
          <w:sz w:val="22"/>
        </w:rPr>
        <w:t>comunidad.</w:t>
      </w:r>
    </w:p>
    <w:p>
      <w:pPr>
        <w:pStyle w:val="ListParagraph"/>
        <w:numPr>
          <w:ilvl w:val="0"/>
          <w:numId w:val="1"/>
        </w:numPr>
        <w:tabs>
          <w:tab w:pos="2421" w:val="left" w:leader="none"/>
          <w:tab w:pos="2422" w:val="left" w:leader="none"/>
        </w:tabs>
        <w:spacing w:line="301" w:lineRule="exact" w:before="0" w:after="0"/>
        <w:ind w:left="2422" w:right="0" w:hanging="360"/>
        <w:jc w:val="left"/>
        <w:rPr>
          <w:sz w:val="22"/>
        </w:rPr>
      </w:pPr>
      <w:r>
        <w:rPr>
          <w:sz w:val="22"/>
        </w:rPr>
        <w:t>Difusión de Campañas de interés nacional, estatal y</w:t>
      </w:r>
      <w:r>
        <w:rPr>
          <w:spacing w:val="-5"/>
          <w:sz w:val="22"/>
        </w:rPr>
        <w:t> </w:t>
      </w:r>
      <w:r>
        <w:rPr>
          <w:sz w:val="22"/>
        </w:rPr>
        <w:t>municipal.</w:t>
      </w:r>
    </w:p>
    <w:p>
      <w:pPr>
        <w:pStyle w:val="BodyText"/>
        <w:spacing w:before="6"/>
        <w:rPr>
          <w:sz w:val="23"/>
        </w:rPr>
      </w:pPr>
    </w:p>
    <w:p>
      <w:pPr>
        <w:pStyle w:val="BodyText"/>
        <w:spacing w:line="244" w:lineRule="auto"/>
        <w:ind w:left="1702" w:right="1482"/>
        <w:jc w:val="both"/>
      </w:pPr>
      <w:r>
        <w:rPr/>
        <w:t>Al respecto, es importante señalar que el proceso de organización del servicio debe contar con la planeación, seguimiento y evaluación correspondiente, mismas que darán cuenta del impacto en la comunidad estudiantil.</w:t>
      </w:r>
    </w:p>
    <w:p>
      <w:pPr>
        <w:pStyle w:val="BodyText"/>
        <w:spacing w:before="1"/>
      </w:pPr>
    </w:p>
    <w:p>
      <w:pPr>
        <w:pStyle w:val="BodyText"/>
        <w:spacing w:before="1"/>
        <w:ind w:left="1702"/>
        <w:jc w:val="both"/>
      </w:pPr>
      <w:r>
        <w:rPr/>
        <w:t>Para ello, se debe considerar:</w:t>
      </w:r>
    </w:p>
    <w:p>
      <w:pPr>
        <w:pStyle w:val="BodyText"/>
        <w:spacing w:before="5"/>
        <w:rPr>
          <w:sz w:val="23"/>
        </w:rPr>
      </w:pPr>
    </w:p>
    <w:p>
      <w:pPr>
        <w:pStyle w:val="ListParagraph"/>
        <w:numPr>
          <w:ilvl w:val="0"/>
          <w:numId w:val="1"/>
        </w:numPr>
        <w:tabs>
          <w:tab w:pos="2422" w:val="left" w:leader="none"/>
        </w:tabs>
        <w:spacing w:line="244" w:lineRule="auto" w:before="1" w:after="0"/>
        <w:ind w:left="2422" w:right="1475" w:hanging="360"/>
        <w:jc w:val="both"/>
        <w:rPr>
          <w:sz w:val="22"/>
        </w:rPr>
      </w:pPr>
      <w:r>
        <w:rPr>
          <w:b/>
          <w:sz w:val="22"/>
        </w:rPr>
        <w:t>Planeación del servicio de Orientación Educativa (anexo 2)</w:t>
      </w:r>
      <w:r>
        <w:rPr>
          <w:sz w:val="22"/>
        </w:rPr>
        <w:t>: Será responsabilidad del personal asignado a este servicio la </w:t>
      </w:r>
      <w:r>
        <w:rPr>
          <w:b/>
          <w:i/>
          <w:sz w:val="22"/>
        </w:rPr>
        <w:t>realización </w:t>
      </w:r>
      <w:r>
        <w:rPr>
          <w:b/>
          <w:i/>
          <w:sz w:val="22"/>
        </w:rPr>
        <w:t>semestral </w:t>
      </w:r>
      <w:r>
        <w:rPr>
          <w:sz w:val="22"/>
        </w:rPr>
        <w:t>de la planeación. A través de esta, el personal directivo tendrá un panorama general de las acciones que serán implementadas. En aquellos casos en los que se cuente con más de una persona</w:t>
      </w:r>
      <w:r>
        <w:rPr>
          <w:spacing w:val="-34"/>
          <w:sz w:val="22"/>
        </w:rPr>
        <w:t> </w:t>
      </w:r>
      <w:r>
        <w:rPr>
          <w:sz w:val="22"/>
        </w:rPr>
        <w:t>responsable, se generará solo una planeación conjunta que brinde un panorama de</w:t>
      </w:r>
      <w:r>
        <w:rPr>
          <w:spacing w:val="-39"/>
          <w:sz w:val="22"/>
        </w:rPr>
        <w:t> </w:t>
      </w:r>
      <w:r>
        <w:rPr>
          <w:sz w:val="22"/>
        </w:rPr>
        <w:t>los alcances del</w:t>
      </w:r>
      <w:r>
        <w:rPr>
          <w:spacing w:val="-3"/>
          <w:sz w:val="22"/>
        </w:rPr>
        <w:t> </w:t>
      </w:r>
      <w:r>
        <w:rPr>
          <w:sz w:val="22"/>
        </w:rPr>
        <w:t>servicio.</w:t>
      </w:r>
    </w:p>
    <w:p>
      <w:pPr>
        <w:pStyle w:val="BodyText"/>
        <w:spacing w:before="11"/>
        <w:rPr>
          <w:sz w:val="21"/>
        </w:rPr>
      </w:pPr>
    </w:p>
    <w:p>
      <w:pPr>
        <w:pStyle w:val="ListParagraph"/>
        <w:numPr>
          <w:ilvl w:val="0"/>
          <w:numId w:val="1"/>
        </w:numPr>
        <w:tabs>
          <w:tab w:pos="2422" w:val="left" w:leader="none"/>
        </w:tabs>
        <w:spacing w:line="244" w:lineRule="auto" w:before="1" w:after="0"/>
        <w:ind w:left="2422" w:right="1476" w:hanging="360"/>
        <w:jc w:val="both"/>
        <w:rPr>
          <w:sz w:val="22"/>
        </w:rPr>
      </w:pPr>
      <w:r>
        <w:rPr>
          <w:b/>
          <w:sz w:val="22"/>
        </w:rPr>
        <w:t>Seguimiento y evaluación (Formato para informe. Anexo </w:t>
      </w:r>
      <w:r>
        <w:rPr>
          <w:b/>
          <w:spacing w:val="2"/>
          <w:sz w:val="22"/>
        </w:rPr>
        <w:t>3)</w:t>
      </w:r>
      <w:r>
        <w:rPr>
          <w:spacing w:val="2"/>
          <w:sz w:val="22"/>
        </w:rPr>
        <w:t>: </w:t>
      </w:r>
      <w:r>
        <w:rPr>
          <w:sz w:val="22"/>
        </w:rPr>
        <w:t>hace referencia al proceso de verificación del cumplimiento de objetivos, recolección de evidencias y retroalimentación, a partir de las cuales se</w:t>
      </w:r>
      <w:r>
        <w:rPr>
          <w:spacing w:val="57"/>
          <w:sz w:val="22"/>
        </w:rPr>
        <w:t> </w:t>
      </w:r>
      <w:r>
        <w:rPr>
          <w:sz w:val="22"/>
        </w:rPr>
        <w:t>podrán hacer los ajustes convenientes que permitan la prestación de un servicio</w:t>
      </w:r>
      <w:r>
        <w:rPr>
          <w:spacing w:val="-15"/>
          <w:sz w:val="22"/>
        </w:rPr>
        <w:t> </w:t>
      </w:r>
      <w:r>
        <w:rPr>
          <w:sz w:val="22"/>
        </w:rPr>
        <w:t>acorde</w:t>
      </w:r>
      <w:r>
        <w:rPr>
          <w:spacing w:val="-15"/>
          <w:sz w:val="22"/>
        </w:rPr>
        <w:t> </w:t>
      </w:r>
      <w:r>
        <w:rPr>
          <w:sz w:val="22"/>
        </w:rPr>
        <w:t>a</w:t>
      </w:r>
      <w:r>
        <w:rPr>
          <w:spacing w:val="-16"/>
          <w:sz w:val="22"/>
        </w:rPr>
        <w:t> </w:t>
      </w:r>
      <w:r>
        <w:rPr>
          <w:sz w:val="22"/>
        </w:rPr>
        <w:t>las</w:t>
      </w:r>
      <w:r>
        <w:rPr>
          <w:spacing w:val="-16"/>
          <w:sz w:val="22"/>
        </w:rPr>
        <w:t> </w:t>
      </w:r>
      <w:r>
        <w:rPr>
          <w:sz w:val="22"/>
        </w:rPr>
        <w:t>necesidades</w:t>
      </w:r>
      <w:r>
        <w:rPr>
          <w:spacing w:val="-15"/>
          <w:sz w:val="22"/>
        </w:rPr>
        <w:t> </w:t>
      </w:r>
      <w:r>
        <w:rPr>
          <w:sz w:val="22"/>
        </w:rPr>
        <w:t>del</w:t>
      </w:r>
      <w:r>
        <w:rPr>
          <w:spacing w:val="-14"/>
          <w:sz w:val="22"/>
        </w:rPr>
        <w:t> </w:t>
      </w:r>
      <w:r>
        <w:rPr>
          <w:sz w:val="22"/>
        </w:rPr>
        <w:t>estudiantado,</w:t>
      </w:r>
      <w:r>
        <w:rPr>
          <w:spacing w:val="-14"/>
          <w:sz w:val="22"/>
        </w:rPr>
        <w:t> </w:t>
      </w:r>
      <w:r>
        <w:rPr>
          <w:sz w:val="22"/>
        </w:rPr>
        <w:t>así</w:t>
      </w:r>
      <w:r>
        <w:rPr>
          <w:spacing w:val="-15"/>
          <w:sz w:val="22"/>
        </w:rPr>
        <w:t> </w:t>
      </w:r>
      <w:r>
        <w:rPr>
          <w:sz w:val="22"/>
        </w:rPr>
        <w:t>como</w:t>
      </w:r>
      <w:r>
        <w:rPr>
          <w:spacing w:val="-14"/>
          <w:sz w:val="22"/>
        </w:rPr>
        <w:t> </w:t>
      </w:r>
      <w:r>
        <w:rPr>
          <w:sz w:val="22"/>
        </w:rPr>
        <w:t>a</w:t>
      </w:r>
      <w:r>
        <w:rPr>
          <w:spacing w:val="-16"/>
          <w:sz w:val="22"/>
        </w:rPr>
        <w:t> </w:t>
      </w:r>
      <w:r>
        <w:rPr>
          <w:sz w:val="22"/>
        </w:rPr>
        <w:t>la</w:t>
      </w:r>
      <w:r>
        <w:rPr>
          <w:spacing w:val="-16"/>
          <w:sz w:val="22"/>
        </w:rPr>
        <w:t> </w:t>
      </w:r>
      <w:r>
        <w:rPr>
          <w:sz w:val="22"/>
        </w:rPr>
        <w:t>propuesta de nuevas metas.</w:t>
      </w:r>
    </w:p>
    <w:p>
      <w:pPr>
        <w:pStyle w:val="BodyText"/>
      </w:pPr>
    </w:p>
    <w:p>
      <w:pPr>
        <w:pStyle w:val="BodyText"/>
        <w:spacing w:line="242" w:lineRule="auto"/>
        <w:ind w:left="2422" w:right="1452"/>
      </w:pPr>
      <w:r>
        <w:rPr/>
        <w:t>Esta evaluación también permitirá identificar si se han consolidado las</w:t>
      </w:r>
      <w:r>
        <w:rPr>
          <w:spacing w:val="57"/>
        </w:rPr>
        <w:t> </w:t>
      </w:r>
      <w:r>
        <w:rPr/>
        <w:t>líneas de acción, así como las áreas y niveles de atención.</w:t>
      </w:r>
    </w:p>
    <w:p>
      <w:pPr>
        <w:spacing w:after="0" w:line="242" w:lineRule="auto"/>
        <w:sectPr>
          <w:pgSz w:w="12240" w:h="15840"/>
          <w:pgMar w:header="0" w:footer="1170" w:top="1340" w:bottom="1500" w:left="0" w:right="220"/>
        </w:sectPr>
      </w:pPr>
    </w:p>
    <w:p>
      <w:pPr>
        <w:pStyle w:val="Heading2"/>
        <w:spacing w:before="48"/>
      </w:pPr>
      <w:r>
        <w:rPr/>
        <w:drawing>
          <wp:anchor distT="0" distB="0" distL="0" distR="0" allowOverlap="1" layoutInCell="1" locked="0" behindDoc="0" simplePos="0" relativeHeight="7">
            <wp:simplePos x="0" y="0"/>
            <wp:positionH relativeFrom="page">
              <wp:posOffset>1740615</wp:posOffset>
            </wp:positionH>
            <wp:positionV relativeFrom="paragraph">
              <wp:posOffset>245097</wp:posOffset>
            </wp:positionV>
            <wp:extent cx="4152955" cy="4069079"/>
            <wp:effectExtent l="0" t="0" r="0" b="0"/>
            <wp:wrapTopAndBottom/>
            <wp:docPr id="17" name="image10.png" descr="Escala de tiempo  Descripción generada automáticamente"/>
            <wp:cNvGraphicFramePr>
              <a:graphicFrameLocks noChangeAspect="1"/>
            </wp:cNvGraphicFramePr>
            <a:graphic>
              <a:graphicData uri="http://schemas.openxmlformats.org/drawingml/2006/picture">
                <pic:pic>
                  <pic:nvPicPr>
                    <pic:cNvPr id="18" name="image10.png"/>
                    <pic:cNvPicPr/>
                  </pic:nvPicPr>
                  <pic:blipFill>
                    <a:blip r:embed="rId14" cstate="print"/>
                    <a:stretch>
                      <a:fillRect/>
                    </a:stretch>
                  </pic:blipFill>
                  <pic:spPr>
                    <a:xfrm>
                      <a:off x="0" y="0"/>
                      <a:ext cx="4152955" cy="4069079"/>
                    </a:xfrm>
                    <a:prstGeom prst="rect">
                      <a:avLst/>
                    </a:prstGeom>
                  </pic:spPr>
                </pic:pic>
              </a:graphicData>
            </a:graphic>
          </wp:anchor>
        </w:drawing>
      </w:r>
      <w:r>
        <w:rPr/>
        <w:t>Líneas de acción</w:t>
      </w:r>
    </w:p>
    <w:p>
      <w:pPr>
        <w:pStyle w:val="BodyText"/>
        <w:spacing w:before="13"/>
        <w:rPr>
          <w:b/>
          <w:sz w:val="20"/>
        </w:rPr>
      </w:pPr>
    </w:p>
    <w:p>
      <w:pPr>
        <w:pStyle w:val="Heading2"/>
      </w:pPr>
      <w:r>
        <w:rPr/>
        <w:t>Áreas de atención</w:t>
      </w:r>
    </w:p>
    <w:p>
      <w:pPr>
        <w:pStyle w:val="BodyText"/>
        <w:spacing w:before="4"/>
        <w:rPr>
          <w:b/>
          <w:sz w:val="21"/>
        </w:rPr>
      </w:pPr>
      <w:r>
        <w:rPr/>
        <w:drawing>
          <wp:anchor distT="0" distB="0" distL="0" distR="0" allowOverlap="1" layoutInCell="1" locked="0" behindDoc="0" simplePos="0" relativeHeight="8">
            <wp:simplePos x="0" y="0"/>
            <wp:positionH relativeFrom="page">
              <wp:posOffset>1159387</wp:posOffset>
            </wp:positionH>
            <wp:positionV relativeFrom="paragraph">
              <wp:posOffset>211705</wp:posOffset>
            </wp:positionV>
            <wp:extent cx="5439455" cy="2567463"/>
            <wp:effectExtent l="0" t="0" r="0" b="0"/>
            <wp:wrapTopAndBottom/>
            <wp:docPr id="19" name="image11.png" descr="Escala de tiempo  Descripción generada automáticamente"/>
            <wp:cNvGraphicFramePr>
              <a:graphicFrameLocks noChangeAspect="1"/>
            </wp:cNvGraphicFramePr>
            <a:graphic>
              <a:graphicData uri="http://schemas.openxmlformats.org/drawingml/2006/picture">
                <pic:pic>
                  <pic:nvPicPr>
                    <pic:cNvPr id="20" name="image11.png"/>
                    <pic:cNvPicPr/>
                  </pic:nvPicPr>
                  <pic:blipFill>
                    <a:blip r:embed="rId15" cstate="print"/>
                    <a:stretch>
                      <a:fillRect/>
                    </a:stretch>
                  </pic:blipFill>
                  <pic:spPr>
                    <a:xfrm>
                      <a:off x="0" y="0"/>
                      <a:ext cx="5439455" cy="2567463"/>
                    </a:xfrm>
                    <a:prstGeom prst="rect">
                      <a:avLst/>
                    </a:prstGeom>
                  </pic:spPr>
                </pic:pic>
              </a:graphicData>
            </a:graphic>
          </wp:anchor>
        </w:drawing>
      </w:r>
    </w:p>
    <w:p>
      <w:pPr>
        <w:spacing w:after="0"/>
        <w:rPr>
          <w:sz w:val="21"/>
        </w:rPr>
        <w:sectPr>
          <w:pgSz w:w="12240" w:h="15840"/>
          <w:pgMar w:header="0" w:footer="1170" w:top="1340" w:bottom="1500" w:left="0" w:right="220"/>
        </w:sectPr>
      </w:pPr>
    </w:p>
    <w:p>
      <w:pPr>
        <w:pStyle w:val="Heading2"/>
        <w:spacing w:before="48"/>
      </w:pPr>
      <w:r>
        <w:rPr/>
        <w:t>Niveles de atención</w:t>
      </w:r>
    </w:p>
    <w:p>
      <w:pPr>
        <w:pStyle w:val="BodyText"/>
        <w:rPr>
          <w:b/>
          <w:sz w:val="20"/>
        </w:rPr>
      </w:pPr>
    </w:p>
    <w:p>
      <w:pPr>
        <w:pStyle w:val="BodyText"/>
        <w:rPr>
          <w:b/>
          <w:sz w:val="20"/>
        </w:rPr>
      </w:pPr>
    </w:p>
    <w:p>
      <w:pPr>
        <w:pStyle w:val="BodyText"/>
        <w:rPr>
          <w:b/>
          <w:sz w:val="20"/>
        </w:rPr>
      </w:pPr>
    </w:p>
    <w:p>
      <w:pPr>
        <w:pStyle w:val="BodyText"/>
        <w:spacing w:before="8"/>
        <w:rPr>
          <w:b/>
          <w:sz w:val="11"/>
        </w:rPr>
      </w:pPr>
    </w:p>
    <w:tbl>
      <w:tblPr>
        <w:tblW w:w="0" w:type="auto"/>
        <w:jc w:val="left"/>
        <w:tblInd w:w="1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44"/>
        <w:gridCol w:w="3767"/>
        <w:gridCol w:w="3709"/>
      </w:tblGrid>
      <w:tr>
        <w:trPr>
          <w:trHeight w:val="452" w:hRule="atLeast"/>
        </w:trPr>
        <w:tc>
          <w:tcPr>
            <w:tcW w:w="1344" w:type="dxa"/>
            <w:shd w:val="clear" w:color="auto" w:fill="999999"/>
          </w:tcPr>
          <w:p>
            <w:pPr>
              <w:pStyle w:val="TableParagraph"/>
              <w:spacing w:before="76"/>
              <w:ind w:left="385"/>
              <w:rPr>
                <w:b/>
                <w:sz w:val="18"/>
              </w:rPr>
            </w:pPr>
            <w:r>
              <w:rPr>
                <w:b/>
                <w:color w:val="FFFFFF"/>
                <w:sz w:val="18"/>
              </w:rPr>
              <w:t>NIVEL</w:t>
            </w:r>
          </w:p>
        </w:tc>
        <w:tc>
          <w:tcPr>
            <w:tcW w:w="3767" w:type="dxa"/>
            <w:shd w:val="clear" w:color="auto" w:fill="999999"/>
          </w:tcPr>
          <w:p>
            <w:pPr>
              <w:pStyle w:val="TableParagraph"/>
              <w:spacing w:before="76"/>
              <w:ind w:left="1216"/>
              <w:rPr>
                <w:b/>
                <w:sz w:val="18"/>
              </w:rPr>
            </w:pPr>
            <w:r>
              <w:rPr>
                <w:b/>
                <w:color w:val="FFFFFF"/>
                <w:sz w:val="18"/>
              </w:rPr>
              <w:t>DESCRIPCIÓN</w:t>
            </w:r>
          </w:p>
        </w:tc>
        <w:tc>
          <w:tcPr>
            <w:tcW w:w="3709" w:type="dxa"/>
            <w:shd w:val="clear" w:color="auto" w:fill="999999"/>
          </w:tcPr>
          <w:p>
            <w:pPr>
              <w:pStyle w:val="TableParagraph"/>
              <w:spacing w:before="76"/>
              <w:ind w:left="920"/>
              <w:rPr>
                <w:b/>
                <w:sz w:val="18"/>
              </w:rPr>
            </w:pPr>
            <w:r>
              <w:rPr>
                <w:b/>
                <w:color w:val="FFFFFF"/>
                <w:sz w:val="18"/>
              </w:rPr>
              <w:t>CONSIDERACIONES</w:t>
            </w:r>
          </w:p>
        </w:tc>
      </w:tr>
      <w:tr>
        <w:trPr>
          <w:trHeight w:val="4742" w:hRule="atLeast"/>
        </w:trPr>
        <w:tc>
          <w:tcPr>
            <w:tcW w:w="1344" w:type="dxa"/>
          </w:tcPr>
          <w:p>
            <w:pPr>
              <w:pStyle w:val="TableParagraph"/>
              <w:spacing w:before="76"/>
              <w:ind w:left="100"/>
              <w:rPr>
                <w:b/>
                <w:sz w:val="18"/>
              </w:rPr>
            </w:pPr>
            <w:r>
              <w:rPr>
                <w:b/>
                <w:sz w:val="18"/>
              </w:rPr>
              <w:t>INDIVIDUAL</w:t>
            </w:r>
          </w:p>
        </w:tc>
        <w:tc>
          <w:tcPr>
            <w:tcW w:w="3767" w:type="dxa"/>
          </w:tcPr>
          <w:p>
            <w:pPr>
              <w:pStyle w:val="TableParagraph"/>
              <w:spacing w:line="244" w:lineRule="auto" w:before="76"/>
              <w:ind w:left="97" w:right="150"/>
              <w:rPr>
                <w:sz w:val="18"/>
              </w:rPr>
            </w:pPr>
            <w:r>
              <w:rPr>
                <w:sz w:val="18"/>
              </w:rPr>
              <w:t>Atención de situaciones y casos particulares que requieren de trato personalizado, </w:t>
            </w:r>
            <w:r>
              <w:rPr>
                <w:b/>
                <w:sz w:val="18"/>
              </w:rPr>
              <w:t>sin fines terapéuticos</w:t>
            </w:r>
            <w:r>
              <w:rPr>
                <w:sz w:val="18"/>
              </w:rPr>
              <w:t>. Este nivel se recomienda abordarlo mediante sesiones de asesoría o, en su caso, sugerir la canalización del estudiantado (con el consentimiento de la madre, padre o tutor/a), a instituciones especializadas que les brinden el servicio profesional requerido.</w:t>
            </w:r>
          </w:p>
        </w:tc>
        <w:tc>
          <w:tcPr>
            <w:tcW w:w="3709" w:type="dxa"/>
          </w:tcPr>
          <w:p>
            <w:pPr>
              <w:pStyle w:val="TableParagraph"/>
              <w:spacing w:line="244" w:lineRule="auto" w:before="76"/>
              <w:ind w:left="99" w:right="193"/>
              <w:rPr>
                <w:sz w:val="18"/>
              </w:rPr>
            </w:pPr>
            <w:r>
              <w:rPr>
                <w:sz w:val="18"/>
              </w:rPr>
              <w:t>- Las sesiones individuales tendrán una duración máxima de 50 minutos.</w:t>
            </w:r>
          </w:p>
          <w:p>
            <w:pPr>
              <w:pStyle w:val="TableParagraph"/>
              <w:spacing w:line="244" w:lineRule="auto"/>
              <w:ind w:left="99" w:right="334"/>
              <w:rPr>
                <w:sz w:val="18"/>
              </w:rPr>
            </w:pPr>
            <w:r>
              <w:rPr>
                <w:sz w:val="18"/>
              </w:rPr>
              <w:t>-Al ser menores de edad, para dicha atención se requiere del consentimiento firmado de madre, padre o tutor/a.</w:t>
            </w:r>
          </w:p>
          <w:p>
            <w:pPr>
              <w:pStyle w:val="TableParagraph"/>
              <w:spacing w:line="244" w:lineRule="auto"/>
              <w:ind w:left="99" w:right="254"/>
              <w:rPr>
                <w:sz w:val="18"/>
              </w:rPr>
            </w:pPr>
            <w:r>
              <w:rPr>
                <w:sz w:val="18"/>
              </w:rPr>
              <w:t>-Asegurar respeto y confidencialidad ética y profesional.</w:t>
            </w:r>
          </w:p>
          <w:p>
            <w:pPr>
              <w:pStyle w:val="TableParagraph"/>
              <w:spacing w:line="244" w:lineRule="auto"/>
              <w:ind w:left="99" w:right="126"/>
              <w:rPr>
                <w:sz w:val="18"/>
              </w:rPr>
            </w:pPr>
            <w:r>
              <w:rPr>
                <w:sz w:val="18"/>
              </w:rPr>
              <w:t>-Entrevista inicial, que permita conocer detalladamente la problemática y, a su vez, identificar los casos que requieran canalización.</w:t>
            </w:r>
          </w:p>
          <w:p>
            <w:pPr>
              <w:pStyle w:val="TableParagraph"/>
              <w:spacing w:line="244" w:lineRule="auto"/>
              <w:ind w:left="99" w:right="141"/>
              <w:rPr>
                <w:sz w:val="18"/>
              </w:rPr>
            </w:pPr>
            <w:r>
              <w:rPr>
                <w:sz w:val="18"/>
              </w:rPr>
              <w:t>-Seguimiento a través de la creación del expediente correspondiente (cada plantel tendrá la posibilidad de definir la estructura, integrando nombre, edad, problemática, seguimiento y si ha sido canalizado/a).</w:t>
            </w:r>
          </w:p>
        </w:tc>
      </w:tr>
      <w:tr>
        <w:trPr>
          <w:trHeight w:val="3986" w:hRule="atLeast"/>
        </w:trPr>
        <w:tc>
          <w:tcPr>
            <w:tcW w:w="1344" w:type="dxa"/>
          </w:tcPr>
          <w:p>
            <w:pPr>
              <w:pStyle w:val="TableParagraph"/>
              <w:spacing w:before="76"/>
              <w:ind w:left="100"/>
              <w:rPr>
                <w:b/>
                <w:sz w:val="18"/>
              </w:rPr>
            </w:pPr>
            <w:r>
              <w:rPr>
                <w:b/>
                <w:sz w:val="18"/>
              </w:rPr>
              <w:t>GRUPAL</w:t>
            </w:r>
          </w:p>
        </w:tc>
        <w:tc>
          <w:tcPr>
            <w:tcW w:w="3767" w:type="dxa"/>
          </w:tcPr>
          <w:p>
            <w:pPr>
              <w:pStyle w:val="TableParagraph"/>
              <w:spacing w:line="244" w:lineRule="auto" w:before="76"/>
              <w:ind w:left="97" w:right="140"/>
              <w:rPr>
                <w:b/>
                <w:sz w:val="18"/>
              </w:rPr>
            </w:pPr>
            <w:r>
              <w:rPr>
                <w:sz w:val="18"/>
              </w:rPr>
              <w:t>Tiene un propósito formativo y/o preventivo, se centra en el desarrollo de actividades, proyectos o estrategias relacionadas a las necesidades detectadas en cada sector de la población estudiantil. Este nivel de atención </w:t>
            </w:r>
            <w:r>
              <w:rPr>
                <w:b/>
                <w:sz w:val="18"/>
              </w:rPr>
              <w:t>no se conformará como una Unidad de Aprendizaje Curricular.</w:t>
            </w:r>
          </w:p>
        </w:tc>
        <w:tc>
          <w:tcPr>
            <w:tcW w:w="3709" w:type="dxa"/>
          </w:tcPr>
          <w:p>
            <w:pPr>
              <w:pStyle w:val="TableParagraph"/>
              <w:spacing w:line="244" w:lineRule="auto" w:before="76"/>
              <w:ind w:left="99" w:right="105"/>
              <w:rPr>
                <w:sz w:val="18"/>
              </w:rPr>
            </w:pPr>
            <w:r>
              <w:rPr>
                <w:sz w:val="18"/>
              </w:rPr>
              <w:t>-Las actividades a realizar estarán definidas según las necesidades detectadas en la población estudiantil o relacionadas con el PAEC (Programa Aula, Escuela, Comunidad).</w:t>
            </w:r>
          </w:p>
          <w:p>
            <w:pPr>
              <w:pStyle w:val="TableParagraph"/>
              <w:spacing w:line="244" w:lineRule="auto"/>
              <w:ind w:left="99" w:right="294"/>
              <w:rPr>
                <w:sz w:val="18"/>
              </w:rPr>
            </w:pPr>
            <w:r>
              <w:rPr>
                <w:sz w:val="18"/>
              </w:rPr>
              <w:t>-La conformación de los grupos será heterogénea, en función de las necesidades detectadas.</w:t>
            </w:r>
          </w:p>
          <w:p>
            <w:pPr>
              <w:pStyle w:val="TableParagraph"/>
              <w:spacing w:line="244" w:lineRule="auto"/>
              <w:ind w:left="99" w:right="286"/>
              <w:rPr>
                <w:sz w:val="18"/>
              </w:rPr>
            </w:pPr>
            <w:r>
              <w:rPr>
                <w:sz w:val="18"/>
              </w:rPr>
              <w:t>-Se puede apoyar de personas especialistas, previa coordinación de las actividades a realizar, así como el abordaje que se le dará al tema.</w:t>
            </w:r>
          </w:p>
          <w:p>
            <w:pPr>
              <w:pStyle w:val="TableParagraph"/>
              <w:spacing w:line="244" w:lineRule="auto"/>
              <w:ind w:left="99" w:right="316"/>
              <w:rPr>
                <w:sz w:val="18"/>
              </w:rPr>
            </w:pPr>
            <w:r>
              <w:rPr>
                <w:sz w:val="18"/>
              </w:rPr>
              <w:t>-Requiere un registro puntual de las actividades (fecha, tema, propósito, participantes, resultados).</w:t>
            </w:r>
          </w:p>
        </w:tc>
      </w:tr>
      <w:tr>
        <w:trPr>
          <w:trHeight w:val="2219" w:hRule="atLeast"/>
        </w:trPr>
        <w:tc>
          <w:tcPr>
            <w:tcW w:w="1344" w:type="dxa"/>
          </w:tcPr>
          <w:p>
            <w:pPr>
              <w:pStyle w:val="TableParagraph"/>
              <w:spacing w:before="76"/>
              <w:ind w:left="100"/>
              <w:rPr>
                <w:b/>
                <w:sz w:val="18"/>
              </w:rPr>
            </w:pPr>
            <w:r>
              <w:rPr>
                <w:b/>
                <w:sz w:val="18"/>
              </w:rPr>
              <w:t>MASIVO</w:t>
            </w:r>
          </w:p>
        </w:tc>
        <w:tc>
          <w:tcPr>
            <w:tcW w:w="3767" w:type="dxa"/>
          </w:tcPr>
          <w:p>
            <w:pPr>
              <w:pStyle w:val="TableParagraph"/>
              <w:spacing w:line="244" w:lineRule="auto" w:before="76"/>
              <w:ind w:left="97" w:right="100"/>
              <w:rPr>
                <w:sz w:val="18"/>
              </w:rPr>
            </w:pPr>
            <w:r>
              <w:rPr>
                <w:sz w:val="18"/>
              </w:rPr>
              <w:t>Actividades cuyo objetivo es la difusión e información a un gran número de estudiantes, padres, madres de familia o comunidad en general, acerca de temas vinculados a las distintas áreas o líneas de acción de la Orientación Educativa.</w:t>
            </w:r>
          </w:p>
        </w:tc>
        <w:tc>
          <w:tcPr>
            <w:tcW w:w="3709" w:type="dxa"/>
          </w:tcPr>
          <w:p>
            <w:pPr>
              <w:pStyle w:val="TableParagraph"/>
              <w:spacing w:line="244" w:lineRule="auto" w:before="76"/>
              <w:ind w:left="99" w:right="258"/>
              <w:rPr>
                <w:sz w:val="18"/>
              </w:rPr>
            </w:pPr>
            <w:r>
              <w:rPr>
                <w:sz w:val="18"/>
              </w:rPr>
              <w:t>-Actividades encabezadas por el personal directivo del plantel y coordinadas por el/la responsable de la Orientación Educativa.</w:t>
            </w:r>
          </w:p>
          <w:p>
            <w:pPr>
              <w:pStyle w:val="TableParagraph"/>
              <w:spacing w:line="244" w:lineRule="auto"/>
              <w:ind w:left="99" w:right="425"/>
              <w:rPr>
                <w:sz w:val="18"/>
              </w:rPr>
            </w:pPr>
            <w:r>
              <w:rPr>
                <w:sz w:val="18"/>
              </w:rPr>
              <w:t>-Intervenciones preventivas, permitiendo la organización y desarrollo de eventos interinstitucionales o con personas</w:t>
            </w:r>
          </w:p>
        </w:tc>
      </w:tr>
    </w:tbl>
    <w:p>
      <w:pPr>
        <w:spacing w:after="0" w:line="244" w:lineRule="auto"/>
        <w:rPr>
          <w:sz w:val="18"/>
        </w:rPr>
        <w:sectPr>
          <w:pgSz w:w="12240" w:h="15840"/>
          <w:pgMar w:header="0" w:footer="1170" w:top="1340" w:bottom="1500" w:left="0" w:right="220"/>
        </w:sectPr>
      </w:pPr>
    </w:p>
    <w:tbl>
      <w:tblPr>
        <w:tblW w:w="0" w:type="auto"/>
        <w:jc w:val="left"/>
        <w:tblInd w:w="1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44"/>
        <w:gridCol w:w="3767"/>
        <w:gridCol w:w="3709"/>
      </w:tblGrid>
      <w:tr>
        <w:trPr>
          <w:trHeight w:val="1715" w:hRule="atLeast"/>
        </w:trPr>
        <w:tc>
          <w:tcPr>
            <w:tcW w:w="1344" w:type="dxa"/>
          </w:tcPr>
          <w:p>
            <w:pPr>
              <w:pStyle w:val="TableParagraph"/>
              <w:rPr>
                <w:rFonts w:ascii="Times New Roman"/>
                <w:sz w:val="20"/>
              </w:rPr>
            </w:pPr>
          </w:p>
        </w:tc>
        <w:tc>
          <w:tcPr>
            <w:tcW w:w="3767" w:type="dxa"/>
          </w:tcPr>
          <w:p>
            <w:pPr>
              <w:pStyle w:val="TableParagraph"/>
              <w:rPr>
                <w:rFonts w:ascii="Times New Roman"/>
                <w:sz w:val="20"/>
              </w:rPr>
            </w:pPr>
          </w:p>
        </w:tc>
        <w:tc>
          <w:tcPr>
            <w:tcW w:w="3709" w:type="dxa"/>
          </w:tcPr>
          <w:p>
            <w:pPr>
              <w:pStyle w:val="TableParagraph"/>
              <w:spacing w:line="244" w:lineRule="auto" w:before="76"/>
              <w:ind w:left="99"/>
              <w:rPr>
                <w:sz w:val="18"/>
              </w:rPr>
            </w:pPr>
            <w:r>
              <w:rPr>
                <w:sz w:val="18"/>
              </w:rPr>
              <w:t>expertas, como conferencias, pláticas informativas y ponencias, entre otros.</w:t>
            </w:r>
          </w:p>
          <w:p>
            <w:pPr>
              <w:pStyle w:val="TableParagraph"/>
              <w:spacing w:line="244" w:lineRule="auto"/>
              <w:ind w:left="99" w:right="243"/>
              <w:rPr>
                <w:sz w:val="18"/>
              </w:rPr>
            </w:pPr>
            <w:r>
              <w:rPr>
                <w:sz w:val="18"/>
              </w:rPr>
              <w:t>-Contar con registro y evidencias relacionadas con la planeación, desarrollo, evaluación y participación en cada actividad.</w:t>
            </w:r>
          </w:p>
        </w:tc>
      </w:tr>
    </w:tbl>
    <w:p>
      <w:pPr>
        <w:pStyle w:val="BodyText"/>
        <w:spacing w:before="12"/>
        <w:rPr>
          <w:b/>
          <w:sz w:val="14"/>
        </w:rPr>
      </w:pPr>
    </w:p>
    <w:p>
      <w:pPr>
        <w:pStyle w:val="BodyText"/>
        <w:spacing w:line="244" w:lineRule="auto" w:before="70"/>
        <w:ind w:left="1702" w:right="1478"/>
        <w:jc w:val="both"/>
      </w:pPr>
      <w:r>
        <w:rPr/>
        <w:t>Finalmente, para fortalecer el servicio brindado al interior de los planteles, esta Dirección General ha diseñado un sitio web exclusivo para el personal responsable, con el propósito de difundir materiales de apoyo y consulta. Dicho espacio estará en constante actualización acorde a lo presentado en el presente lineamiento, por lo que se sugiere darle seguimiento.</w:t>
      </w:r>
    </w:p>
    <w:p>
      <w:pPr>
        <w:pStyle w:val="BodyText"/>
        <w:spacing w:before="10"/>
      </w:pPr>
    </w:p>
    <w:p>
      <w:pPr>
        <w:pStyle w:val="BodyText"/>
        <w:ind w:left="3088" w:right="2869"/>
        <w:jc w:val="center"/>
      </w:pPr>
      <w:hyperlink r:id="rId16">
        <w:r>
          <w:rPr>
            <w:color w:val="0000FF"/>
            <w:u w:val="single" w:color="0000FF"/>
          </w:rPr>
          <w:t>https://sites.google.com/dgb.edu.mx/orientacion/inicio</w:t>
        </w:r>
      </w:hyperlink>
    </w:p>
    <w:p>
      <w:pPr>
        <w:spacing w:after="0"/>
        <w:jc w:val="center"/>
        <w:sectPr>
          <w:pgSz w:w="12240" w:h="15840"/>
          <w:pgMar w:header="0" w:footer="1170" w:top="1420" w:bottom="1500" w:left="0" w:right="220"/>
        </w:sectPr>
      </w:pPr>
    </w:p>
    <w:p>
      <w:pPr>
        <w:pStyle w:val="Heading1"/>
        <w:jc w:val="both"/>
      </w:pPr>
      <w:bookmarkStart w:name="_TOC_250003" w:id="4"/>
      <w:bookmarkEnd w:id="4"/>
      <w:r>
        <w:rPr>
          <w:color w:val="9F2141"/>
          <w:w w:val="130"/>
        </w:rPr>
        <w:t>¿QUÉ Y CUÁNDO REPORTAR?</w:t>
      </w:r>
    </w:p>
    <w:p>
      <w:pPr>
        <w:pStyle w:val="BodyText"/>
        <w:spacing w:before="11"/>
        <w:rPr>
          <w:rFonts w:ascii="Calibri"/>
          <w:sz w:val="30"/>
        </w:rPr>
      </w:pPr>
    </w:p>
    <w:p>
      <w:pPr>
        <w:pStyle w:val="BodyText"/>
        <w:spacing w:line="244" w:lineRule="auto"/>
        <w:ind w:left="1702" w:right="1479"/>
        <w:jc w:val="both"/>
      </w:pPr>
      <w:r>
        <w:rPr/>
        <w:t>Bajo el entendido de que el propósito de los servicios de apoyo al estudiantado ofertado al interior de los planteles es lograr una mejora en la excelencia educativa, el seguimiento y evaluación por parte de la Dirección General forma parte fundamental, ya que a través de ambos procesos se logrará establecer estrategias conjuntas que fortalezcan tanto el desarrollo integral del estudiantado como las estrategias realizadas por personal directivo y las</w:t>
      </w:r>
      <w:r>
        <w:rPr>
          <w:spacing w:val="57"/>
        </w:rPr>
        <w:t> </w:t>
      </w:r>
      <w:r>
        <w:rPr/>
        <w:t>personas responsables del servicio de Orientación Educativa.</w:t>
      </w:r>
    </w:p>
    <w:p>
      <w:pPr>
        <w:pStyle w:val="BodyText"/>
        <w:spacing w:before="11"/>
        <w:rPr>
          <w:sz w:val="21"/>
        </w:rPr>
      </w:pPr>
    </w:p>
    <w:p>
      <w:pPr>
        <w:pStyle w:val="BodyText"/>
        <w:spacing w:line="244" w:lineRule="auto" w:before="1"/>
        <w:ind w:left="1702" w:right="1475"/>
        <w:jc w:val="both"/>
      </w:pPr>
      <w:r>
        <w:rPr/>
        <w:t>A continuación, se describen los insumos que permitirán tener un panorama</w:t>
      </w:r>
      <w:r>
        <w:rPr>
          <w:spacing w:val="57"/>
        </w:rPr>
        <w:t> </w:t>
      </w:r>
      <w:r>
        <w:rPr/>
        <w:t>general de las estrategias realizadas por cada uno de los planteles que integran el</w:t>
      </w:r>
      <w:r>
        <w:rPr>
          <w:spacing w:val="-11"/>
        </w:rPr>
        <w:t> </w:t>
      </w:r>
      <w:r>
        <w:rPr/>
        <w:t>Bachillerato</w:t>
      </w:r>
      <w:r>
        <w:rPr>
          <w:spacing w:val="-10"/>
        </w:rPr>
        <w:t> </w:t>
      </w:r>
      <w:r>
        <w:rPr/>
        <w:t>General</w:t>
      </w:r>
      <w:r>
        <w:rPr>
          <w:spacing w:val="-11"/>
        </w:rPr>
        <w:t> </w:t>
      </w:r>
      <w:r>
        <w:rPr/>
        <w:t>no</w:t>
      </w:r>
      <w:r>
        <w:rPr>
          <w:spacing w:val="-10"/>
        </w:rPr>
        <w:t> </w:t>
      </w:r>
      <w:r>
        <w:rPr/>
        <w:t>solo</w:t>
      </w:r>
      <w:r>
        <w:rPr>
          <w:spacing w:val="-9"/>
        </w:rPr>
        <w:t> </w:t>
      </w:r>
      <w:r>
        <w:rPr/>
        <w:t>a</w:t>
      </w:r>
      <w:r>
        <w:rPr>
          <w:spacing w:val="-12"/>
        </w:rPr>
        <w:t> </w:t>
      </w:r>
      <w:r>
        <w:rPr/>
        <w:t>través</w:t>
      </w:r>
      <w:r>
        <w:rPr>
          <w:spacing w:val="-10"/>
        </w:rPr>
        <w:t> </w:t>
      </w:r>
      <w:r>
        <w:rPr/>
        <w:t>de</w:t>
      </w:r>
      <w:r>
        <w:rPr>
          <w:spacing w:val="-10"/>
        </w:rPr>
        <w:t> </w:t>
      </w:r>
      <w:r>
        <w:rPr/>
        <w:t>los</w:t>
      </w:r>
      <w:r>
        <w:rPr>
          <w:spacing w:val="-10"/>
        </w:rPr>
        <w:t> </w:t>
      </w:r>
      <w:r>
        <w:rPr/>
        <w:t>planteles</w:t>
      </w:r>
      <w:r>
        <w:rPr>
          <w:spacing w:val="-10"/>
        </w:rPr>
        <w:t> </w:t>
      </w:r>
      <w:r>
        <w:rPr/>
        <w:t>adscritos,</w:t>
      </w:r>
      <w:r>
        <w:rPr>
          <w:spacing w:val="-10"/>
        </w:rPr>
        <w:t> </w:t>
      </w:r>
      <w:r>
        <w:rPr/>
        <w:t>sino</w:t>
      </w:r>
      <w:r>
        <w:rPr>
          <w:spacing w:val="-10"/>
        </w:rPr>
        <w:t> </w:t>
      </w:r>
      <w:r>
        <w:rPr/>
        <w:t>de</w:t>
      </w:r>
      <w:r>
        <w:rPr>
          <w:spacing w:val="-4"/>
        </w:rPr>
        <w:t> </w:t>
      </w:r>
      <w:r>
        <w:rPr/>
        <w:t>aquellos subsistemas que se coordinan</w:t>
      </w:r>
      <w:r>
        <w:rPr>
          <w:spacing w:val="-1"/>
        </w:rPr>
        <w:t> </w:t>
      </w:r>
      <w:r>
        <w:rPr/>
        <w:t>académicamente.</w:t>
      </w:r>
    </w:p>
    <w:p>
      <w:pPr>
        <w:pStyle w:val="BodyText"/>
      </w:pPr>
    </w:p>
    <w:p>
      <w:pPr>
        <w:spacing w:line="244" w:lineRule="auto" w:before="0"/>
        <w:ind w:left="1702" w:right="1472" w:firstLine="0"/>
        <w:jc w:val="both"/>
        <w:rPr>
          <w:i/>
          <w:sz w:val="22"/>
        </w:rPr>
      </w:pPr>
      <w:r>
        <w:rPr>
          <w:i/>
          <w:sz w:val="22"/>
        </w:rPr>
        <w:t>Es importante mencionar que los </w:t>
      </w:r>
      <w:r>
        <w:rPr>
          <w:b/>
          <w:i/>
          <w:sz w:val="22"/>
        </w:rPr>
        <w:t>Centros de Estudio de Bachillerato y </w:t>
      </w:r>
      <w:r>
        <w:rPr>
          <w:b/>
          <w:i/>
          <w:sz w:val="22"/>
        </w:rPr>
        <w:t>Preparatorias Federales “Lázaro Cárdenas”, deben enviar al correo electrónico </w:t>
      </w:r>
      <w:hyperlink r:id="rId17">
        <w:r>
          <w:rPr>
            <w:i/>
            <w:color w:val="0000FF"/>
            <w:sz w:val="22"/>
            <w:u w:val="single" w:color="0000FF"/>
          </w:rPr>
          <w:t>orientacion.e@dgb.edu.mx</w:t>
        </w:r>
      </w:hyperlink>
      <w:r>
        <w:rPr>
          <w:i/>
          <w:color w:val="0000FF"/>
          <w:sz w:val="22"/>
        </w:rPr>
        <w:t> </w:t>
      </w:r>
      <w:r>
        <w:rPr>
          <w:i/>
          <w:sz w:val="22"/>
        </w:rPr>
        <w:t>los siguientes formatos, considerando </w:t>
      </w:r>
      <w:r>
        <w:rPr>
          <w:i/>
          <w:sz w:val="22"/>
        </w:rPr>
        <w:t>para ello, las fechas establecidas en el calendario de actividades académico- administrativas, tanto para el semestre A, como para el semestre B de cada ciclo escolar.</w:t>
      </w:r>
    </w:p>
    <w:p>
      <w:pPr>
        <w:pStyle w:val="BodyText"/>
        <w:rPr>
          <w:i/>
        </w:rPr>
      </w:pPr>
    </w:p>
    <w:p>
      <w:pPr>
        <w:pStyle w:val="ListParagraph"/>
        <w:numPr>
          <w:ilvl w:val="0"/>
          <w:numId w:val="1"/>
        </w:numPr>
        <w:tabs>
          <w:tab w:pos="2422" w:val="left" w:leader="none"/>
        </w:tabs>
        <w:spacing w:line="244" w:lineRule="auto" w:before="0" w:after="0"/>
        <w:ind w:left="2422" w:right="1480" w:hanging="360"/>
        <w:jc w:val="both"/>
        <w:rPr>
          <w:sz w:val="22"/>
        </w:rPr>
      </w:pPr>
      <w:r>
        <w:rPr>
          <w:sz w:val="22"/>
        </w:rPr>
        <w:t>Planeación del servicio de orientación educativa (anexo 2): refiere a las acciones</w:t>
      </w:r>
      <w:r>
        <w:rPr>
          <w:spacing w:val="-7"/>
          <w:sz w:val="22"/>
        </w:rPr>
        <w:t> </w:t>
      </w:r>
      <w:r>
        <w:rPr>
          <w:sz w:val="22"/>
        </w:rPr>
        <w:t>que</w:t>
      </w:r>
      <w:r>
        <w:rPr>
          <w:spacing w:val="-5"/>
          <w:sz w:val="22"/>
        </w:rPr>
        <w:t> </w:t>
      </w:r>
      <w:r>
        <w:rPr>
          <w:sz w:val="22"/>
        </w:rPr>
        <w:t>se</w:t>
      </w:r>
      <w:r>
        <w:rPr>
          <w:spacing w:val="-4"/>
          <w:sz w:val="22"/>
        </w:rPr>
        <w:t> </w:t>
      </w:r>
      <w:r>
        <w:rPr>
          <w:sz w:val="22"/>
        </w:rPr>
        <w:t>han</w:t>
      </w:r>
      <w:r>
        <w:rPr>
          <w:spacing w:val="-6"/>
          <w:sz w:val="22"/>
        </w:rPr>
        <w:t> </w:t>
      </w:r>
      <w:r>
        <w:rPr>
          <w:sz w:val="22"/>
        </w:rPr>
        <w:t>planeado</w:t>
      </w:r>
      <w:r>
        <w:rPr>
          <w:spacing w:val="-5"/>
          <w:sz w:val="22"/>
        </w:rPr>
        <w:t> </w:t>
      </w:r>
      <w:r>
        <w:rPr>
          <w:sz w:val="22"/>
        </w:rPr>
        <w:t>a</w:t>
      </w:r>
      <w:r>
        <w:rPr>
          <w:spacing w:val="-6"/>
          <w:sz w:val="22"/>
        </w:rPr>
        <w:t> </w:t>
      </w:r>
      <w:r>
        <w:rPr>
          <w:sz w:val="22"/>
        </w:rPr>
        <w:t>lo</w:t>
      </w:r>
      <w:r>
        <w:rPr>
          <w:spacing w:val="-3"/>
          <w:sz w:val="22"/>
        </w:rPr>
        <w:t> </w:t>
      </w:r>
      <w:r>
        <w:rPr>
          <w:sz w:val="22"/>
        </w:rPr>
        <w:t>largo</w:t>
      </w:r>
      <w:r>
        <w:rPr>
          <w:spacing w:val="-6"/>
          <w:sz w:val="22"/>
        </w:rPr>
        <w:t> </w:t>
      </w:r>
      <w:r>
        <w:rPr>
          <w:sz w:val="22"/>
        </w:rPr>
        <w:t>del</w:t>
      </w:r>
      <w:r>
        <w:rPr>
          <w:spacing w:val="-8"/>
          <w:sz w:val="22"/>
        </w:rPr>
        <w:t> </w:t>
      </w:r>
      <w:r>
        <w:rPr>
          <w:sz w:val="22"/>
        </w:rPr>
        <w:t>semestre.</w:t>
      </w:r>
      <w:r>
        <w:rPr>
          <w:spacing w:val="-6"/>
          <w:sz w:val="22"/>
        </w:rPr>
        <w:t> </w:t>
      </w:r>
      <w:r>
        <w:rPr>
          <w:sz w:val="22"/>
        </w:rPr>
        <w:t>Este</w:t>
      </w:r>
      <w:r>
        <w:rPr>
          <w:spacing w:val="-5"/>
          <w:sz w:val="22"/>
        </w:rPr>
        <w:t> </w:t>
      </w:r>
      <w:r>
        <w:rPr>
          <w:sz w:val="22"/>
        </w:rPr>
        <w:t>corresponde</w:t>
      </w:r>
      <w:r>
        <w:rPr>
          <w:spacing w:val="-4"/>
          <w:sz w:val="22"/>
        </w:rPr>
        <w:t> </w:t>
      </w:r>
      <w:r>
        <w:rPr>
          <w:sz w:val="22"/>
        </w:rPr>
        <w:t>al </w:t>
      </w:r>
      <w:r>
        <w:rPr>
          <w:b/>
          <w:i/>
          <w:sz w:val="22"/>
        </w:rPr>
        <w:t>semestre inmediato</w:t>
      </w:r>
      <w:r>
        <w:rPr>
          <w:b/>
          <w:i/>
          <w:spacing w:val="-6"/>
          <w:sz w:val="22"/>
        </w:rPr>
        <w:t> </w:t>
      </w:r>
      <w:r>
        <w:rPr>
          <w:b/>
          <w:i/>
          <w:sz w:val="22"/>
        </w:rPr>
        <w:t>anterior</w:t>
      </w:r>
      <w:r>
        <w:rPr>
          <w:sz w:val="22"/>
        </w:rPr>
        <w:t>.</w:t>
      </w:r>
    </w:p>
    <w:p>
      <w:pPr>
        <w:pStyle w:val="ListParagraph"/>
        <w:numPr>
          <w:ilvl w:val="0"/>
          <w:numId w:val="1"/>
        </w:numPr>
        <w:tabs>
          <w:tab w:pos="2422" w:val="left" w:leader="none"/>
        </w:tabs>
        <w:spacing w:line="244" w:lineRule="auto" w:before="0" w:after="0"/>
        <w:ind w:left="2422" w:right="1483" w:hanging="360"/>
        <w:jc w:val="both"/>
        <w:rPr>
          <w:b/>
          <w:i/>
          <w:sz w:val="22"/>
        </w:rPr>
      </w:pPr>
      <w:r>
        <w:rPr>
          <w:sz w:val="22"/>
        </w:rPr>
        <w:t>Formato para informe (anexo 3): contiene datos cuantitativos de las acciones planeadas y ejecutadas a lo largo del semestre, Corresponde al </w:t>
      </w:r>
      <w:r>
        <w:rPr>
          <w:b/>
          <w:i/>
          <w:sz w:val="22"/>
        </w:rPr>
        <w:t>semestre inmediato</w:t>
      </w:r>
      <w:r>
        <w:rPr>
          <w:b/>
          <w:i/>
          <w:spacing w:val="-6"/>
          <w:sz w:val="22"/>
        </w:rPr>
        <w:t> </w:t>
      </w:r>
      <w:r>
        <w:rPr>
          <w:b/>
          <w:i/>
          <w:sz w:val="22"/>
        </w:rPr>
        <w:t>anterior.</w:t>
      </w:r>
    </w:p>
    <w:p>
      <w:pPr>
        <w:pStyle w:val="BodyText"/>
        <w:spacing w:before="7"/>
        <w:rPr>
          <w:b/>
          <w:i/>
        </w:rPr>
      </w:pPr>
    </w:p>
    <w:p>
      <w:pPr>
        <w:spacing w:line="244" w:lineRule="auto" w:before="0"/>
        <w:ind w:left="1702" w:right="1477" w:firstLine="0"/>
        <w:jc w:val="both"/>
        <w:rPr>
          <w:sz w:val="22"/>
        </w:rPr>
      </w:pPr>
      <w:r>
        <w:rPr>
          <w:color w:val="212121"/>
          <w:sz w:val="22"/>
        </w:rPr>
        <w:t>Para el caso de las </w:t>
      </w:r>
      <w:r>
        <w:rPr>
          <w:b/>
          <w:color w:val="212121"/>
          <w:sz w:val="22"/>
        </w:rPr>
        <w:t>Escuelas Preparatorias Particulares Incorporadas y Preparatorias Federales por Cooperación</w:t>
      </w:r>
      <w:r>
        <w:rPr>
          <w:color w:val="212121"/>
          <w:sz w:val="22"/>
        </w:rPr>
        <w:t>, </w:t>
      </w:r>
      <w:r>
        <w:rPr>
          <w:color w:val="212121"/>
          <w:sz w:val="22"/>
          <w:u w:val="single" w:color="212121"/>
        </w:rPr>
        <w:t>deberán reportar las actividades en</w:t>
      </w:r>
      <w:r>
        <w:rPr>
          <w:color w:val="212121"/>
          <w:sz w:val="22"/>
        </w:rPr>
        <w:t> </w:t>
      </w:r>
      <w:r>
        <w:rPr>
          <w:color w:val="212121"/>
          <w:sz w:val="22"/>
          <w:u w:val="single" w:color="212121"/>
        </w:rPr>
        <w:t>las fechas señaladas en el calendario de actividades académico-administrativas,</w:t>
      </w:r>
      <w:r>
        <w:rPr>
          <w:color w:val="212121"/>
          <w:sz w:val="22"/>
        </w:rPr>
        <w:t> </w:t>
      </w:r>
      <w:r>
        <w:rPr>
          <w:color w:val="212121"/>
          <w:sz w:val="22"/>
          <w:u w:val="single" w:color="212121"/>
        </w:rPr>
        <w:t>a través del siguiente formulario:</w:t>
      </w:r>
    </w:p>
    <w:p>
      <w:pPr>
        <w:pStyle w:val="BodyText"/>
        <w:spacing w:before="12"/>
        <w:rPr>
          <w:sz w:val="17"/>
        </w:rPr>
      </w:pPr>
    </w:p>
    <w:p>
      <w:pPr>
        <w:pStyle w:val="BodyText"/>
        <w:spacing w:before="69"/>
        <w:ind w:left="3088" w:right="2868"/>
        <w:jc w:val="center"/>
      </w:pPr>
      <w:hyperlink r:id="rId18">
        <w:r>
          <w:rPr>
            <w:color w:val="0000FF"/>
            <w:u w:val="single" w:color="0000FF"/>
          </w:rPr>
          <w:t>https://forms.gle/CEG2ufhsVJuF1jXP8</w:t>
        </w:r>
      </w:hyperlink>
    </w:p>
    <w:p>
      <w:pPr>
        <w:spacing w:after="0"/>
        <w:jc w:val="center"/>
        <w:sectPr>
          <w:pgSz w:w="12240" w:h="15840"/>
          <w:pgMar w:header="0" w:footer="1170" w:top="1340" w:bottom="1500" w:left="0" w:right="220"/>
        </w:sectPr>
      </w:pPr>
    </w:p>
    <w:p>
      <w:pPr>
        <w:pStyle w:val="Heading1"/>
      </w:pPr>
      <w:bookmarkStart w:name="_TOC_250002" w:id="5"/>
      <w:bookmarkEnd w:id="5"/>
      <w:r>
        <w:rPr>
          <w:color w:val="9F2141"/>
          <w:w w:val="130"/>
        </w:rPr>
        <w:t>ANEXOS</w:t>
      </w:r>
    </w:p>
    <w:p>
      <w:pPr>
        <w:pStyle w:val="BodyText"/>
        <w:spacing w:before="11"/>
        <w:rPr>
          <w:rFonts w:ascii="Calibri"/>
          <w:sz w:val="30"/>
        </w:rPr>
      </w:pPr>
    </w:p>
    <w:p>
      <w:pPr>
        <w:spacing w:before="0"/>
        <w:ind w:left="1702" w:right="0" w:firstLine="0"/>
        <w:jc w:val="left"/>
        <w:rPr>
          <w:sz w:val="22"/>
        </w:rPr>
      </w:pPr>
      <w:r>
        <w:rPr>
          <w:b/>
          <w:sz w:val="22"/>
        </w:rPr>
        <w:t>Anexo 1. </w:t>
      </w:r>
      <w:r>
        <w:rPr>
          <w:sz w:val="22"/>
        </w:rPr>
        <w:t>Profesiograma (vigente)</w:t>
      </w:r>
    </w:p>
    <w:p>
      <w:pPr>
        <w:pStyle w:val="BodyText"/>
        <w:spacing w:before="7"/>
        <w:rPr>
          <w:sz w:val="28"/>
        </w:rPr>
      </w:pPr>
      <w:r>
        <w:rPr/>
        <w:drawing>
          <wp:anchor distT="0" distB="0" distL="0" distR="0" allowOverlap="1" layoutInCell="1" locked="0" behindDoc="0" simplePos="0" relativeHeight="9">
            <wp:simplePos x="0" y="0"/>
            <wp:positionH relativeFrom="page">
              <wp:posOffset>1170207</wp:posOffset>
            </wp:positionH>
            <wp:positionV relativeFrom="paragraph">
              <wp:posOffset>274948</wp:posOffset>
            </wp:positionV>
            <wp:extent cx="5385400" cy="4907565"/>
            <wp:effectExtent l="0" t="0" r="0" b="0"/>
            <wp:wrapTopAndBottom/>
            <wp:docPr id="21" name="image12.png" descr="Texto  Descripción generada automáticamente"/>
            <wp:cNvGraphicFramePr>
              <a:graphicFrameLocks noChangeAspect="1"/>
            </wp:cNvGraphicFramePr>
            <a:graphic>
              <a:graphicData uri="http://schemas.openxmlformats.org/drawingml/2006/picture">
                <pic:pic>
                  <pic:nvPicPr>
                    <pic:cNvPr id="22" name="image12.png"/>
                    <pic:cNvPicPr/>
                  </pic:nvPicPr>
                  <pic:blipFill>
                    <a:blip r:embed="rId19" cstate="print"/>
                    <a:stretch>
                      <a:fillRect/>
                    </a:stretch>
                  </pic:blipFill>
                  <pic:spPr>
                    <a:xfrm>
                      <a:off x="0" y="0"/>
                      <a:ext cx="5385400" cy="4907565"/>
                    </a:xfrm>
                    <a:prstGeom prst="rect">
                      <a:avLst/>
                    </a:prstGeom>
                  </pic:spPr>
                </pic:pic>
              </a:graphicData>
            </a:graphic>
          </wp:anchor>
        </w:drawing>
      </w:r>
    </w:p>
    <w:p>
      <w:pPr>
        <w:spacing w:after="0"/>
        <w:rPr>
          <w:sz w:val="28"/>
        </w:rPr>
        <w:sectPr>
          <w:pgSz w:w="12240" w:h="15840"/>
          <w:pgMar w:header="0" w:footer="1170" w:top="1340" w:bottom="1500" w:left="0" w:right="220"/>
        </w:sectPr>
      </w:pPr>
    </w:p>
    <w:p>
      <w:pPr>
        <w:pStyle w:val="BodyText"/>
        <w:rPr>
          <w:sz w:val="20"/>
        </w:rPr>
      </w:pPr>
    </w:p>
    <w:p>
      <w:pPr>
        <w:pStyle w:val="BodyText"/>
        <w:spacing w:before="6"/>
        <w:rPr>
          <w:sz w:val="13"/>
        </w:rPr>
      </w:pPr>
    </w:p>
    <w:p>
      <w:pPr>
        <w:pStyle w:val="BodyText"/>
        <w:spacing w:before="70"/>
        <w:ind w:left="118"/>
      </w:pPr>
      <w:r>
        <w:rPr>
          <w:b/>
        </w:rPr>
        <w:t>Anexo 2. </w:t>
      </w:r>
      <w:r>
        <w:rPr/>
        <w:t>Planeación del servicio de orientación educativa.</w:t>
      </w:r>
    </w:p>
    <w:p>
      <w:pPr>
        <w:pStyle w:val="BodyText"/>
        <w:spacing w:before="13"/>
        <w:rPr>
          <w:sz w:val="24"/>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3"/>
        <w:gridCol w:w="1260"/>
        <w:gridCol w:w="1261"/>
        <w:gridCol w:w="677"/>
        <w:gridCol w:w="682"/>
        <w:gridCol w:w="1592"/>
        <w:gridCol w:w="3400"/>
        <w:gridCol w:w="1499"/>
        <w:gridCol w:w="1366"/>
      </w:tblGrid>
      <w:tr>
        <w:trPr>
          <w:trHeight w:val="467" w:hRule="atLeast"/>
        </w:trPr>
        <w:tc>
          <w:tcPr>
            <w:tcW w:w="13000" w:type="dxa"/>
            <w:gridSpan w:val="9"/>
            <w:shd w:val="clear" w:color="auto" w:fill="800000"/>
          </w:tcPr>
          <w:p>
            <w:pPr>
              <w:pStyle w:val="TableParagraph"/>
              <w:spacing w:before="48"/>
              <w:ind w:left="3656" w:right="3656"/>
              <w:jc w:val="center"/>
              <w:rPr>
                <w:b/>
                <w:sz w:val="22"/>
              </w:rPr>
            </w:pPr>
            <w:r>
              <w:rPr>
                <w:b/>
                <w:color w:val="FFFFFF"/>
                <w:sz w:val="22"/>
              </w:rPr>
              <w:t>Planeación del servicio de Orientación Educativa</w:t>
            </w:r>
          </w:p>
        </w:tc>
      </w:tr>
      <w:tr>
        <w:trPr>
          <w:trHeight w:val="506" w:hRule="atLeast"/>
        </w:trPr>
        <w:tc>
          <w:tcPr>
            <w:tcW w:w="4461" w:type="dxa"/>
            <w:gridSpan w:val="4"/>
            <w:shd w:val="clear" w:color="auto" w:fill="EEEEEE"/>
          </w:tcPr>
          <w:p>
            <w:pPr>
              <w:pStyle w:val="TableParagraph"/>
              <w:spacing w:before="57"/>
              <w:ind w:left="79"/>
              <w:rPr>
                <w:b/>
                <w:sz w:val="18"/>
              </w:rPr>
            </w:pPr>
            <w:r>
              <w:rPr>
                <w:b/>
                <w:sz w:val="18"/>
              </w:rPr>
              <w:t>Nombre del plantel</w:t>
            </w:r>
          </w:p>
        </w:tc>
        <w:tc>
          <w:tcPr>
            <w:tcW w:w="8539" w:type="dxa"/>
            <w:gridSpan w:val="5"/>
          </w:tcPr>
          <w:p>
            <w:pPr>
              <w:pStyle w:val="TableParagraph"/>
              <w:rPr>
                <w:rFonts w:ascii="Times New Roman"/>
                <w:sz w:val="16"/>
              </w:rPr>
            </w:pPr>
          </w:p>
        </w:tc>
      </w:tr>
      <w:tr>
        <w:trPr>
          <w:trHeight w:val="503" w:hRule="atLeast"/>
        </w:trPr>
        <w:tc>
          <w:tcPr>
            <w:tcW w:w="4461" w:type="dxa"/>
            <w:gridSpan w:val="4"/>
            <w:shd w:val="clear" w:color="auto" w:fill="EEEEEE"/>
          </w:tcPr>
          <w:p>
            <w:pPr>
              <w:pStyle w:val="TableParagraph"/>
              <w:spacing w:before="54"/>
              <w:ind w:left="79"/>
              <w:rPr>
                <w:b/>
                <w:sz w:val="18"/>
              </w:rPr>
            </w:pPr>
            <w:r>
              <w:rPr>
                <w:b/>
                <w:sz w:val="18"/>
              </w:rPr>
              <w:t>Nombre del personal directivo</w:t>
            </w:r>
          </w:p>
        </w:tc>
        <w:tc>
          <w:tcPr>
            <w:tcW w:w="8539" w:type="dxa"/>
            <w:gridSpan w:val="5"/>
          </w:tcPr>
          <w:p>
            <w:pPr>
              <w:pStyle w:val="TableParagraph"/>
              <w:rPr>
                <w:rFonts w:ascii="Times New Roman"/>
                <w:sz w:val="16"/>
              </w:rPr>
            </w:pPr>
          </w:p>
        </w:tc>
      </w:tr>
      <w:tr>
        <w:trPr>
          <w:trHeight w:val="701" w:hRule="atLeast"/>
        </w:trPr>
        <w:tc>
          <w:tcPr>
            <w:tcW w:w="4461" w:type="dxa"/>
            <w:gridSpan w:val="4"/>
            <w:shd w:val="clear" w:color="auto" w:fill="EEEEEE"/>
          </w:tcPr>
          <w:p>
            <w:pPr>
              <w:pStyle w:val="TableParagraph"/>
              <w:spacing w:line="244" w:lineRule="auto" w:before="57"/>
              <w:ind w:left="79" w:right="825"/>
              <w:rPr>
                <w:b/>
                <w:sz w:val="18"/>
              </w:rPr>
            </w:pPr>
            <w:r>
              <w:rPr>
                <w:b/>
                <w:sz w:val="18"/>
              </w:rPr>
              <w:t>Nombre del personal responsable del servicio</w:t>
            </w:r>
          </w:p>
        </w:tc>
        <w:tc>
          <w:tcPr>
            <w:tcW w:w="8539" w:type="dxa"/>
            <w:gridSpan w:val="5"/>
          </w:tcPr>
          <w:p>
            <w:pPr>
              <w:pStyle w:val="TableParagraph"/>
              <w:rPr>
                <w:rFonts w:ascii="Times New Roman"/>
                <w:sz w:val="16"/>
              </w:rPr>
            </w:pPr>
          </w:p>
        </w:tc>
      </w:tr>
      <w:tr>
        <w:trPr>
          <w:trHeight w:val="505" w:hRule="atLeast"/>
        </w:trPr>
        <w:tc>
          <w:tcPr>
            <w:tcW w:w="4461" w:type="dxa"/>
            <w:gridSpan w:val="4"/>
            <w:shd w:val="clear" w:color="auto" w:fill="EEEEEE"/>
          </w:tcPr>
          <w:p>
            <w:pPr>
              <w:pStyle w:val="TableParagraph"/>
              <w:spacing w:before="57"/>
              <w:ind w:left="79"/>
              <w:rPr>
                <w:b/>
                <w:sz w:val="18"/>
              </w:rPr>
            </w:pPr>
            <w:r>
              <w:rPr>
                <w:b/>
                <w:sz w:val="18"/>
              </w:rPr>
              <w:t>Ciclo escolar y semestre</w:t>
            </w:r>
          </w:p>
        </w:tc>
        <w:tc>
          <w:tcPr>
            <w:tcW w:w="8539" w:type="dxa"/>
            <w:gridSpan w:val="5"/>
          </w:tcPr>
          <w:p>
            <w:pPr>
              <w:pStyle w:val="TableParagraph"/>
              <w:rPr>
                <w:rFonts w:ascii="Times New Roman"/>
                <w:sz w:val="16"/>
              </w:rPr>
            </w:pPr>
          </w:p>
        </w:tc>
      </w:tr>
      <w:tr>
        <w:trPr>
          <w:trHeight w:val="290" w:hRule="atLeast"/>
        </w:trPr>
        <w:tc>
          <w:tcPr>
            <w:tcW w:w="1263" w:type="dxa"/>
            <w:tcBorders>
              <w:bottom w:val="nil"/>
            </w:tcBorders>
            <w:shd w:val="clear" w:color="auto" w:fill="D9D9D9"/>
          </w:tcPr>
          <w:p>
            <w:pPr>
              <w:pStyle w:val="TableParagraph"/>
              <w:spacing w:line="213" w:lineRule="exact" w:before="57"/>
              <w:ind w:left="273"/>
              <w:rPr>
                <w:b/>
                <w:sz w:val="16"/>
              </w:rPr>
            </w:pPr>
            <w:r>
              <w:rPr>
                <w:b/>
                <w:sz w:val="16"/>
              </w:rPr>
              <w:t>Línea de</w:t>
            </w:r>
          </w:p>
        </w:tc>
        <w:tc>
          <w:tcPr>
            <w:tcW w:w="1260" w:type="dxa"/>
            <w:tcBorders>
              <w:bottom w:val="nil"/>
            </w:tcBorders>
            <w:shd w:val="clear" w:color="auto" w:fill="D9D9D9"/>
          </w:tcPr>
          <w:p>
            <w:pPr>
              <w:pStyle w:val="TableParagraph"/>
              <w:spacing w:line="213" w:lineRule="exact" w:before="57"/>
              <w:ind w:left="237" w:right="230"/>
              <w:jc w:val="center"/>
              <w:rPr>
                <w:b/>
                <w:sz w:val="16"/>
              </w:rPr>
            </w:pPr>
            <w:r>
              <w:rPr>
                <w:b/>
                <w:sz w:val="16"/>
              </w:rPr>
              <w:t>Áreas de</w:t>
            </w:r>
          </w:p>
        </w:tc>
        <w:tc>
          <w:tcPr>
            <w:tcW w:w="1261" w:type="dxa"/>
            <w:tcBorders>
              <w:bottom w:val="nil"/>
            </w:tcBorders>
            <w:shd w:val="clear" w:color="auto" w:fill="D9D9D9"/>
          </w:tcPr>
          <w:p>
            <w:pPr>
              <w:pStyle w:val="TableParagraph"/>
              <w:spacing w:line="213" w:lineRule="exact" w:before="57"/>
              <w:ind w:left="237" w:right="233"/>
              <w:jc w:val="center"/>
              <w:rPr>
                <w:b/>
                <w:sz w:val="16"/>
              </w:rPr>
            </w:pPr>
            <w:r>
              <w:rPr>
                <w:b/>
                <w:sz w:val="16"/>
              </w:rPr>
              <w:t>Nivel de</w:t>
            </w:r>
          </w:p>
        </w:tc>
        <w:tc>
          <w:tcPr>
            <w:tcW w:w="1359" w:type="dxa"/>
            <w:gridSpan w:val="2"/>
            <w:tcBorders>
              <w:bottom w:val="nil"/>
            </w:tcBorders>
            <w:shd w:val="clear" w:color="auto" w:fill="D9D9D9"/>
          </w:tcPr>
          <w:p>
            <w:pPr>
              <w:pStyle w:val="TableParagraph"/>
              <w:spacing w:line="213" w:lineRule="exact" w:before="57"/>
              <w:ind w:left="277"/>
              <w:rPr>
                <w:b/>
                <w:sz w:val="16"/>
              </w:rPr>
            </w:pPr>
            <w:r>
              <w:rPr>
                <w:b/>
                <w:sz w:val="16"/>
              </w:rPr>
              <w:t>Actividad</w:t>
            </w:r>
          </w:p>
        </w:tc>
        <w:tc>
          <w:tcPr>
            <w:tcW w:w="1592" w:type="dxa"/>
            <w:tcBorders>
              <w:bottom w:val="nil"/>
            </w:tcBorders>
            <w:shd w:val="clear" w:color="auto" w:fill="D9D9D9"/>
          </w:tcPr>
          <w:p>
            <w:pPr>
              <w:pStyle w:val="TableParagraph"/>
              <w:spacing w:line="213" w:lineRule="exact" w:before="57"/>
              <w:ind w:left="58" w:right="57"/>
              <w:jc w:val="center"/>
              <w:rPr>
                <w:b/>
                <w:sz w:val="16"/>
              </w:rPr>
            </w:pPr>
            <w:r>
              <w:rPr>
                <w:b/>
                <w:sz w:val="16"/>
              </w:rPr>
              <w:t>Propósito y</w:t>
            </w:r>
          </w:p>
        </w:tc>
        <w:tc>
          <w:tcPr>
            <w:tcW w:w="3400" w:type="dxa"/>
            <w:tcBorders>
              <w:bottom w:val="nil"/>
            </w:tcBorders>
            <w:shd w:val="clear" w:color="auto" w:fill="D9D9D9"/>
          </w:tcPr>
          <w:p>
            <w:pPr>
              <w:pStyle w:val="TableParagraph"/>
              <w:spacing w:line="213" w:lineRule="exact" w:before="57"/>
              <w:ind w:left="99" w:right="97"/>
              <w:jc w:val="center"/>
              <w:rPr>
                <w:b/>
                <w:sz w:val="16"/>
              </w:rPr>
            </w:pPr>
            <w:r>
              <w:rPr>
                <w:b/>
                <w:sz w:val="16"/>
              </w:rPr>
              <w:t>Vinculación con área de</w:t>
            </w:r>
          </w:p>
        </w:tc>
        <w:tc>
          <w:tcPr>
            <w:tcW w:w="1499" w:type="dxa"/>
            <w:tcBorders>
              <w:bottom w:val="nil"/>
            </w:tcBorders>
            <w:shd w:val="clear" w:color="auto" w:fill="D9D9D9"/>
          </w:tcPr>
          <w:p>
            <w:pPr>
              <w:pStyle w:val="TableParagraph"/>
              <w:spacing w:line="213" w:lineRule="exact" w:before="57"/>
              <w:ind w:left="268" w:right="268"/>
              <w:jc w:val="center"/>
              <w:rPr>
                <w:b/>
                <w:sz w:val="16"/>
              </w:rPr>
            </w:pPr>
            <w:r>
              <w:rPr>
                <w:b/>
                <w:sz w:val="16"/>
              </w:rPr>
              <w:t>Periodo de</w:t>
            </w:r>
          </w:p>
        </w:tc>
        <w:tc>
          <w:tcPr>
            <w:tcW w:w="1366" w:type="dxa"/>
            <w:tcBorders>
              <w:bottom w:val="nil"/>
            </w:tcBorders>
            <w:shd w:val="clear" w:color="auto" w:fill="D9D9D9"/>
          </w:tcPr>
          <w:p>
            <w:pPr>
              <w:pStyle w:val="TableParagraph"/>
              <w:spacing w:line="213" w:lineRule="exact" w:before="57"/>
              <w:ind w:left="269"/>
              <w:rPr>
                <w:b/>
                <w:sz w:val="16"/>
              </w:rPr>
            </w:pPr>
            <w:r>
              <w:rPr>
                <w:b/>
                <w:sz w:val="16"/>
              </w:rPr>
              <w:t>Evidencia</w:t>
            </w:r>
          </w:p>
        </w:tc>
      </w:tr>
      <w:tr>
        <w:trPr>
          <w:trHeight w:val="224" w:hRule="atLeast"/>
        </w:trPr>
        <w:tc>
          <w:tcPr>
            <w:tcW w:w="1263" w:type="dxa"/>
            <w:tcBorders>
              <w:top w:val="nil"/>
              <w:bottom w:val="nil"/>
            </w:tcBorders>
            <w:shd w:val="clear" w:color="auto" w:fill="D9D9D9"/>
          </w:tcPr>
          <w:p>
            <w:pPr>
              <w:pStyle w:val="TableParagraph"/>
              <w:spacing w:line="204" w:lineRule="exact"/>
              <w:ind w:left="261"/>
              <w:rPr>
                <w:b/>
                <w:sz w:val="16"/>
              </w:rPr>
            </w:pPr>
            <w:r>
              <w:rPr>
                <w:b/>
                <w:sz w:val="16"/>
              </w:rPr>
              <w:t>atención</w:t>
            </w:r>
          </w:p>
        </w:tc>
        <w:tc>
          <w:tcPr>
            <w:tcW w:w="1260" w:type="dxa"/>
            <w:tcBorders>
              <w:top w:val="nil"/>
              <w:bottom w:val="nil"/>
            </w:tcBorders>
            <w:shd w:val="clear" w:color="auto" w:fill="D9D9D9"/>
          </w:tcPr>
          <w:p>
            <w:pPr>
              <w:pStyle w:val="TableParagraph"/>
              <w:spacing w:line="204" w:lineRule="exact"/>
              <w:ind w:left="241" w:right="229"/>
              <w:jc w:val="center"/>
              <w:rPr>
                <w:b/>
                <w:sz w:val="16"/>
              </w:rPr>
            </w:pPr>
            <w:r>
              <w:rPr>
                <w:b/>
                <w:sz w:val="16"/>
              </w:rPr>
              <w:t>atención</w:t>
            </w:r>
          </w:p>
        </w:tc>
        <w:tc>
          <w:tcPr>
            <w:tcW w:w="1261" w:type="dxa"/>
            <w:tcBorders>
              <w:top w:val="nil"/>
              <w:bottom w:val="nil"/>
            </w:tcBorders>
            <w:shd w:val="clear" w:color="auto" w:fill="D9D9D9"/>
          </w:tcPr>
          <w:p>
            <w:pPr>
              <w:pStyle w:val="TableParagraph"/>
              <w:spacing w:line="204" w:lineRule="exact"/>
              <w:ind w:left="239" w:right="233"/>
              <w:jc w:val="center"/>
              <w:rPr>
                <w:b/>
                <w:sz w:val="16"/>
              </w:rPr>
            </w:pPr>
            <w:r>
              <w:rPr>
                <w:b/>
                <w:sz w:val="16"/>
              </w:rPr>
              <w:t>atención</w:t>
            </w:r>
          </w:p>
        </w:tc>
        <w:tc>
          <w:tcPr>
            <w:tcW w:w="1359" w:type="dxa"/>
            <w:gridSpan w:val="2"/>
            <w:tcBorders>
              <w:top w:val="nil"/>
              <w:bottom w:val="nil"/>
            </w:tcBorders>
            <w:shd w:val="clear" w:color="auto" w:fill="D9D9D9"/>
          </w:tcPr>
          <w:p>
            <w:pPr>
              <w:pStyle w:val="TableParagraph"/>
              <w:rPr>
                <w:rFonts w:ascii="Times New Roman"/>
                <w:sz w:val="16"/>
              </w:rPr>
            </w:pPr>
          </w:p>
        </w:tc>
        <w:tc>
          <w:tcPr>
            <w:tcW w:w="1592" w:type="dxa"/>
            <w:tcBorders>
              <w:top w:val="nil"/>
              <w:bottom w:val="nil"/>
            </w:tcBorders>
            <w:shd w:val="clear" w:color="auto" w:fill="D9D9D9"/>
          </w:tcPr>
          <w:p>
            <w:pPr>
              <w:pStyle w:val="TableParagraph"/>
              <w:spacing w:line="204" w:lineRule="exact"/>
              <w:ind w:left="59" w:right="57"/>
              <w:jc w:val="center"/>
              <w:rPr>
                <w:b/>
                <w:sz w:val="16"/>
              </w:rPr>
            </w:pPr>
            <w:r>
              <w:rPr>
                <w:b/>
                <w:sz w:val="16"/>
              </w:rPr>
              <w:t>descripción de la</w:t>
            </w:r>
          </w:p>
        </w:tc>
        <w:tc>
          <w:tcPr>
            <w:tcW w:w="3400" w:type="dxa"/>
            <w:tcBorders>
              <w:top w:val="nil"/>
              <w:bottom w:val="nil"/>
            </w:tcBorders>
            <w:shd w:val="clear" w:color="auto" w:fill="D9D9D9"/>
          </w:tcPr>
          <w:p>
            <w:pPr>
              <w:pStyle w:val="TableParagraph"/>
              <w:spacing w:line="204" w:lineRule="exact"/>
              <w:ind w:left="99" w:right="99"/>
              <w:jc w:val="center"/>
              <w:rPr>
                <w:b/>
                <w:sz w:val="16"/>
              </w:rPr>
            </w:pPr>
            <w:r>
              <w:rPr>
                <w:b/>
                <w:sz w:val="16"/>
              </w:rPr>
              <w:t>conocimiento, recurso sociocognitivo</w:t>
            </w:r>
          </w:p>
        </w:tc>
        <w:tc>
          <w:tcPr>
            <w:tcW w:w="1499" w:type="dxa"/>
            <w:tcBorders>
              <w:top w:val="nil"/>
              <w:bottom w:val="nil"/>
            </w:tcBorders>
            <w:shd w:val="clear" w:color="auto" w:fill="D9D9D9"/>
          </w:tcPr>
          <w:p>
            <w:pPr>
              <w:pStyle w:val="TableParagraph"/>
              <w:spacing w:line="204" w:lineRule="exact"/>
              <w:ind w:left="268" w:right="268"/>
              <w:jc w:val="center"/>
              <w:rPr>
                <w:b/>
                <w:sz w:val="16"/>
              </w:rPr>
            </w:pPr>
            <w:r>
              <w:rPr>
                <w:b/>
                <w:sz w:val="16"/>
              </w:rPr>
              <w:t>realización</w:t>
            </w:r>
          </w:p>
        </w:tc>
        <w:tc>
          <w:tcPr>
            <w:tcW w:w="1366" w:type="dxa"/>
            <w:tcBorders>
              <w:top w:val="nil"/>
              <w:bottom w:val="nil"/>
            </w:tcBorders>
            <w:shd w:val="clear" w:color="auto" w:fill="D9D9D9"/>
          </w:tcPr>
          <w:p>
            <w:pPr>
              <w:pStyle w:val="TableParagraph"/>
              <w:rPr>
                <w:rFonts w:ascii="Times New Roman"/>
                <w:sz w:val="16"/>
              </w:rPr>
            </w:pPr>
          </w:p>
        </w:tc>
      </w:tr>
      <w:tr>
        <w:trPr>
          <w:trHeight w:val="224" w:hRule="atLeast"/>
        </w:trPr>
        <w:tc>
          <w:tcPr>
            <w:tcW w:w="1263" w:type="dxa"/>
            <w:tcBorders>
              <w:top w:val="nil"/>
              <w:bottom w:val="nil"/>
            </w:tcBorders>
            <w:shd w:val="clear" w:color="auto" w:fill="D9D9D9"/>
          </w:tcPr>
          <w:p>
            <w:pPr>
              <w:pStyle w:val="TableParagraph"/>
              <w:rPr>
                <w:rFonts w:ascii="Times New Roman"/>
                <w:sz w:val="16"/>
              </w:rPr>
            </w:pPr>
          </w:p>
        </w:tc>
        <w:tc>
          <w:tcPr>
            <w:tcW w:w="1260" w:type="dxa"/>
            <w:tcBorders>
              <w:top w:val="nil"/>
              <w:bottom w:val="nil"/>
            </w:tcBorders>
            <w:shd w:val="clear" w:color="auto" w:fill="D9D9D9"/>
          </w:tcPr>
          <w:p>
            <w:pPr>
              <w:pStyle w:val="TableParagraph"/>
              <w:rPr>
                <w:rFonts w:ascii="Times New Roman"/>
                <w:sz w:val="16"/>
              </w:rPr>
            </w:pPr>
          </w:p>
        </w:tc>
        <w:tc>
          <w:tcPr>
            <w:tcW w:w="1261" w:type="dxa"/>
            <w:tcBorders>
              <w:top w:val="nil"/>
              <w:bottom w:val="nil"/>
            </w:tcBorders>
            <w:shd w:val="clear" w:color="auto" w:fill="D9D9D9"/>
          </w:tcPr>
          <w:p>
            <w:pPr>
              <w:pStyle w:val="TableParagraph"/>
              <w:rPr>
                <w:rFonts w:ascii="Times New Roman"/>
                <w:sz w:val="16"/>
              </w:rPr>
            </w:pPr>
          </w:p>
        </w:tc>
        <w:tc>
          <w:tcPr>
            <w:tcW w:w="1359" w:type="dxa"/>
            <w:gridSpan w:val="2"/>
            <w:tcBorders>
              <w:top w:val="nil"/>
              <w:bottom w:val="nil"/>
            </w:tcBorders>
            <w:shd w:val="clear" w:color="auto" w:fill="D9D9D9"/>
          </w:tcPr>
          <w:p>
            <w:pPr>
              <w:pStyle w:val="TableParagraph"/>
              <w:rPr>
                <w:rFonts w:ascii="Times New Roman"/>
                <w:sz w:val="16"/>
              </w:rPr>
            </w:pPr>
          </w:p>
        </w:tc>
        <w:tc>
          <w:tcPr>
            <w:tcW w:w="1592" w:type="dxa"/>
            <w:tcBorders>
              <w:top w:val="nil"/>
              <w:bottom w:val="nil"/>
            </w:tcBorders>
            <w:shd w:val="clear" w:color="auto" w:fill="D9D9D9"/>
          </w:tcPr>
          <w:p>
            <w:pPr>
              <w:pStyle w:val="TableParagraph"/>
              <w:spacing w:line="204" w:lineRule="exact"/>
              <w:ind w:left="59" w:right="57"/>
              <w:jc w:val="center"/>
              <w:rPr>
                <w:b/>
                <w:sz w:val="16"/>
              </w:rPr>
            </w:pPr>
            <w:r>
              <w:rPr>
                <w:b/>
                <w:sz w:val="16"/>
              </w:rPr>
              <w:t>actividad</w:t>
            </w:r>
          </w:p>
        </w:tc>
        <w:tc>
          <w:tcPr>
            <w:tcW w:w="3400" w:type="dxa"/>
            <w:tcBorders>
              <w:top w:val="nil"/>
              <w:bottom w:val="nil"/>
            </w:tcBorders>
            <w:shd w:val="clear" w:color="auto" w:fill="D9D9D9"/>
          </w:tcPr>
          <w:p>
            <w:pPr>
              <w:pStyle w:val="TableParagraph"/>
              <w:spacing w:line="204" w:lineRule="exact"/>
              <w:ind w:left="99" w:right="94"/>
              <w:jc w:val="center"/>
              <w:rPr>
                <w:b/>
                <w:sz w:val="16"/>
              </w:rPr>
            </w:pPr>
            <w:r>
              <w:rPr>
                <w:b/>
                <w:sz w:val="16"/>
              </w:rPr>
              <w:t>o ámbito de formación</w:t>
            </w:r>
          </w:p>
        </w:tc>
        <w:tc>
          <w:tcPr>
            <w:tcW w:w="1499" w:type="dxa"/>
            <w:tcBorders>
              <w:top w:val="nil"/>
              <w:bottom w:val="nil"/>
            </w:tcBorders>
            <w:shd w:val="clear" w:color="auto" w:fill="D9D9D9"/>
          </w:tcPr>
          <w:p>
            <w:pPr>
              <w:pStyle w:val="TableParagraph"/>
              <w:rPr>
                <w:rFonts w:ascii="Times New Roman"/>
                <w:sz w:val="16"/>
              </w:rPr>
            </w:pPr>
          </w:p>
        </w:tc>
        <w:tc>
          <w:tcPr>
            <w:tcW w:w="1366" w:type="dxa"/>
            <w:tcBorders>
              <w:top w:val="nil"/>
              <w:bottom w:val="nil"/>
            </w:tcBorders>
            <w:shd w:val="clear" w:color="auto" w:fill="D9D9D9"/>
          </w:tcPr>
          <w:p>
            <w:pPr>
              <w:pStyle w:val="TableParagraph"/>
              <w:rPr>
                <w:rFonts w:ascii="Times New Roman"/>
                <w:sz w:val="16"/>
              </w:rPr>
            </w:pPr>
          </w:p>
        </w:tc>
      </w:tr>
      <w:tr>
        <w:trPr>
          <w:trHeight w:val="224" w:hRule="atLeast"/>
        </w:trPr>
        <w:tc>
          <w:tcPr>
            <w:tcW w:w="1263" w:type="dxa"/>
            <w:tcBorders>
              <w:top w:val="nil"/>
              <w:bottom w:val="nil"/>
            </w:tcBorders>
            <w:shd w:val="clear" w:color="auto" w:fill="D9D9D9"/>
          </w:tcPr>
          <w:p>
            <w:pPr>
              <w:pStyle w:val="TableParagraph"/>
              <w:rPr>
                <w:rFonts w:ascii="Times New Roman"/>
                <w:sz w:val="16"/>
              </w:rPr>
            </w:pPr>
          </w:p>
        </w:tc>
        <w:tc>
          <w:tcPr>
            <w:tcW w:w="1260" w:type="dxa"/>
            <w:tcBorders>
              <w:top w:val="nil"/>
              <w:bottom w:val="nil"/>
            </w:tcBorders>
            <w:shd w:val="clear" w:color="auto" w:fill="D9D9D9"/>
          </w:tcPr>
          <w:p>
            <w:pPr>
              <w:pStyle w:val="TableParagraph"/>
              <w:rPr>
                <w:rFonts w:ascii="Times New Roman"/>
                <w:sz w:val="16"/>
              </w:rPr>
            </w:pPr>
          </w:p>
        </w:tc>
        <w:tc>
          <w:tcPr>
            <w:tcW w:w="1261" w:type="dxa"/>
            <w:tcBorders>
              <w:top w:val="nil"/>
              <w:bottom w:val="nil"/>
            </w:tcBorders>
            <w:shd w:val="clear" w:color="auto" w:fill="D9D9D9"/>
          </w:tcPr>
          <w:p>
            <w:pPr>
              <w:pStyle w:val="TableParagraph"/>
              <w:rPr>
                <w:rFonts w:ascii="Times New Roman"/>
                <w:sz w:val="16"/>
              </w:rPr>
            </w:pPr>
          </w:p>
        </w:tc>
        <w:tc>
          <w:tcPr>
            <w:tcW w:w="1359" w:type="dxa"/>
            <w:gridSpan w:val="2"/>
            <w:tcBorders>
              <w:top w:val="nil"/>
              <w:bottom w:val="nil"/>
            </w:tcBorders>
            <w:shd w:val="clear" w:color="auto" w:fill="D9D9D9"/>
          </w:tcPr>
          <w:p>
            <w:pPr>
              <w:pStyle w:val="TableParagraph"/>
              <w:rPr>
                <w:rFonts w:ascii="Times New Roman"/>
                <w:sz w:val="16"/>
              </w:rPr>
            </w:pPr>
          </w:p>
        </w:tc>
        <w:tc>
          <w:tcPr>
            <w:tcW w:w="1592" w:type="dxa"/>
            <w:tcBorders>
              <w:top w:val="nil"/>
              <w:bottom w:val="nil"/>
            </w:tcBorders>
            <w:shd w:val="clear" w:color="auto" w:fill="D9D9D9"/>
          </w:tcPr>
          <w:p>
            <w:pPr>
              <w:pStyle w:val="TableParagraph"/>
              <w:rPr>
                <w:rFonts w:ascii="Times New Roman"/>
                <w:sz w:val="16"/>
              </w:rPr>
            </w:pPr>
          </w:p>
        </w:tc>
        <w:tc>
          <w:tcPr>
            <w:tcW w:w="3400" w:type="dxa"/>
            <w:tcBorders>
              <w:top w:val="nil"/>
              <w:bottom w:val="nil"/>
            </w:tcBorders>
            <w:shd w:val="clear" w:color="auto" w:fill="D9D9D9"/>
          </w:tcPr>
          <w:p>
            <w:pPr>
              <w:pStyle w:val="TableParagraph"/>
              <w:spacing w:line="204" w:lineRule="exact"/>
              <w:ind w:left="99" w:right="95"/>
              <w:jc w:val="center"/>
              <w:rPr>
                <w:b/>
                <w:sz w:val="16"/>
              </w:rPr>
            </w:pPr>
            <w:r>
              <w:rPr>
                <w:b/>
                <w:sz w:val="16"/>
              </w:rPr>
              <w:t>socioemocional/asignatura</w:t>
            </w:r>
          </w:p>
        </w:tc>
        <w:tc>
          <w:tcPr>
            <w:tcW w:w="1499" w:type="dxa"/>
            <w:tcBorders>
              <w:top w:val="nil"/>
              <w:bottom w:val="nil"/>
            </w:tcBorders>
            <w:shd w:val="clear" w:color="auto" w:fill="D9D9D9"/>
          </w:tcPr>
          <w:p>
            <w:pPr>
              <w:pStyle w:val="TableParagraph"/>
              <w:rPr>
                <w:rFonts w:ascii="Times New Roman"/>
                <w:sz w:val="16"/>
              </w:rPr>
            </w:pPr>
          </w:p>
        </w:tc>
        <w:tc>
          <w:tcPr>
            <w:tcW w:w="1366" w:type="dxa"/>
            <w:tcBorders>
              <w:top w:val="nil"/>
              <w:bottom w:val="nil"/>
            </w:tcBorders>
            <w:shd w:val="clear" w:color="auto" w:fill="D9D9D9"/>
          </w:tcPr>
          <w:p>
            <w:pPr>
              <w:pStyle w:val="TableParagraph"/>
              <w:rPr>
                <w:rFonts w:ascii="Times New Roman"/>
                <w:sz w:val="16"/>
              </w:rPr>
            </w:pPr>
          </w:p>
        </w:tc>
      </w:tr>
      <w:tr>
        <w:trPr>
          <w:trHeight w:val="317" w:hRule="atLeast"/>
        </w:trPr>
        <w:tc>
          <w:tcPr>
            <w:tcW w:w="1263" w:type="dxa"/>
            <w:tcBorders>
              <w:top w:val="nil"/>
            </w:tcBorders>
            <w:shd w:val="clear" w:color="auto" w:fill="D9D9D9"/>
          </w:tcPr>
          <w:p>
            <w:pPr>
              <w:pStyle w:val="TableParagraph"/>
              <w:rPr>
                <w:rFonts w:ascii="Times New Roman"/>
                <w:sz w:val="16"/>
              </w:rPr>
            </w:pPr>
          </w:p>
        </w:tc>
        <w:tc>
          <w:tcPr>
            <w:tcW w:w="1260" w:type="dxa"/>
            <w:tcBorders>
              <w:top w:val="nil"/>
            </w:tcBorders>
            <w:shd w:val="clear" w:color="auto" w:fill="D9D9D9"/>
          </w:tcPr>
          <w:p>
            <w:pPr>
              <w:pStyle w:val="TableParagraph"/>
              <w:rPr>
                <w:rFonts w:ascii="Times New Roman"/>
                <w:sz w:val="16"/>
              </w:rPr>
            </w:pPr>
          </w:p>
        </w:tc>
        <w:tc>
          <w:tcPr>
            <w:tcW w:w="1261" w:type="dxa"/>
            <w:tcBorders>
              <w:top w:val="nil"/>
            </w:tcBorders>
            <w:shd w:val="clear" w:color="auto" w:fill="D9D9D9"/>
          </w:tcPr>
          <w:p>
            <w:pPr>
              <w:pStyle w:val="TableParagraph"/>
              <w:rPr>
                <w:rFonts w:ascii="Times New Roman"/>
                <w:sz w:val="16"/>
              </w:rPr>
            </w:pPr>
          </w:p>
        </w:tc>
        <w:tc>
          <w:tcPr>
            <w:tcW w:w="1359" w:type="dxa"/>
            <w:gridSpan w:val="2"/>
            <w:tcBorders>
              <w:top w:val="nil"/>
            </w:tcBorders>
            <w:shd w:val="clear" w:color="auto" w:fill="D9D9D9"/>
          </w:tcPr>
          <w:p>
            <w:pPr>
              <w:pStyle w:val="TableParagraph"/>
              <w:rPr>
                <w:rFonts w:ascii="Times New Roman"/>
                <w:sz w:val="16"/>
              </w:rPr>
            </w:pPr>
          </w:p>
        </w:tc>
        <w:tc>
          <w:tcPr>
            <w:tcW w:w="1592" w:type="dxa"/>
            <w:tcBorders>
              <w:top w:val="nil"/>
            </w:tcBorders>
            <w:shd w:val="clear" w:color="auto" w:fill="D9D9D9"/>
          </w:tcPr>
          <w:p>
            <w:pPr>
              <w:pStyle w:val="TableParagraph"/>
              <w:rPr>
                <w:rFonts w:ascii="Times New Roman"/>
                <w:sz w:val="16"/>
              </w:rPr>
            </w:pPr>
          </w:p>
        </w:tc>
        <w:tc>
          <w:tcPr>
            <w:tcW w:w="3400" w:type="dxa"/>
            <w:tcBorders>
              <w:top w:val="nil"/>
            </w:tcBorders>
            <w:shd w:val="clear" w:color="auto" w:fill="D9D9D9"/>
          </w:tcPr>
          <w:p>
            <w:pPr>
              <w:pStyle w:val="TableParagraph"/>
              <w:spacing w:line="212" w:lineRule="exact"/>
              <w:ind w:left="99" w:right="92"/>
              <w:jc w:val="center"/>
              <w:rPr>
                <w:b/>
                <w:sz w:val="16"/>
              </w:rPr>
            </w:pPr>
            <w:r>
              <w:rPr>
                <w:b/>
                <w:sz w:val="16"/>
              </w:rPr>
              <w:t>(opcional)</w:t>
            </w:r>
          </w:p>
        </w:tc>
        <w:tc>
          <w:tcPr>
            <w:tcW w:w="1499" w:type="dxa"/>
            <w:tcBorders>
              <w:top w:val="nil"/>
            </w:tcBorders>
            <w:shd w:val="clear" w:color="auto" w:fill="D9D9D9"/>
          </w:tcPr>
          <w:p>
            <w:pPr>
              <w:pStyle w:val="TableParagraph"/>
              <w:rPr>
                <w:rFonts w:ascii="Times New Roman"/>
                <w:sz w:val="16"/>
              </w:rPr>
            </w:pPr>
          </w:p>
        </w:tc>
        <w:tc>
          <w:tcPr>
            <w:tcW w:w="1366" w:type="dxa"/>
            <w:tcBorders>
              <w:top w:val="nil"/>
            </w:tcBorders>
            <w:shd w:val="clear" w:color="auto" w:fill="D9D9D9"/>
          </w:tcPr>
          <w:p>
            <w:pPr>
              <w:pStyle w:val="TableParagraph"/>
              <w:rPr>
                <w:rFonts w:ascii="Times New Roman"/>
                <w:sz w:val="16"/>
              </w:rPr>
            </w:pPr>
          </w:p>
        </w:tc>
      </w:tr>
      <w:tr>
        <w:trPr>
          <w:trHeight w:val="909" w:hRule="atLeast"/>
        </w:trPr>
        <w:tc>
          <w:tcPr>
            <w:tcW w:w="1263" w:type="dxa"/>
          </w:tcPr>
          <w:p>
            <w:pPr>
              <w:pStyle w:val="TableParagraph"/>
              <w:rPr>
                <w:rFonts w:ascii="Times New Roman"/>
                <w:sz w:val="16"/>
              </w:rPr>
            </w:pPr>
          </w:p>
        </w:tc>
        <w:tc>
          <w:tcPr>
            <w:tcW w:w="1260" w:type="dxa"/>
          </w:tcPr>
          <w:p>
            <w:pPr>
              <w:pStyle w:val="TableParagraph"/>
              <w:rPr>
                <w:rFonts w:ascii="Times New Roman"/>
                <w:sz w:val="16"/>
              </w:rPr>
            </w:pPr>
          </w:p>
        </w:tc>
        <w:tc>
          <w:tcPr>
            <w:tcW w:w="1261" w:type="dxa"/>
          </w:tcPr>
          <w:p>
            <w:pPr>
              <w:pStyle w:val="TableParagraph"/>
              <w:rPr>
                <w:rFonts w:ascii="Times New Roman"/>
                <w:sz w:val="16"/>
              </w:rPr>
            </w:pPr>
          </w:p>
        </w:tc>
        <w:tc>
          <w:tcPr>
            <w:tcW w:w="1359" w:type="dxa"/>
            <w:gridSpan w:val="2"/>
          </w:tcPr>
          <w:p>
            <w:pPr>
              <w:pStyle w:val="TableParagraph"/>
              <w:rPr>
                <w:rFonts w:ascii="Times New Roman"/>
                <w:sz w:val="16"/>
              </w:rPr>
            </w:pPr>
          </w:p>
        </w:tc>
        <w:tc>
          <w:tcPr>
            <w:tcW w:w="1592" w:type="dxa"/>
          </w:tcPr>
          <w:p>
            <w:pPr>
              <w:pStyle w:val="TableParagraph"/>
              <w:rPr>
                <w:rFonts w:ascii="Times New Roman"/>
                <w:sz w:val="16"/>
              </w:rPr>
            </w:pPr>
          </w:p>
        </w:tc>
        <w:tc>
          <w:tcPr>
            <w:tcW w:w="3400" w:type="dxa"/>
          </w:tcPr>
          <w:p>
            <w:pPr>
              <w:pStyle w:val="TableParagraph"/>
              <w:rPr>
                <w:rFonts w:ascii="Times New Roman"/>
                <w:sz w:val="16"/>
              </w:rPr>
            </w:pPr>
          </w:p>
        </w:tc>
        <w:tc>
          <w:tcPr>
            <w:tcW w:w="1499" w:type="dxa"/>
          </w:tcPr>
          <w:p>
            <w:pPr>
              <w:pStyle w:val="TableParagraph"/>
              <w:rPr>
                <w:rFonts w:ascii="Times New Roman"/>
                <w:sz w:val="16"/>
              </w:rPr>
            </w:pPr>
          </w:p>
        </w:tc>
        <w:tc>
          <w:tcPr>
            <w:tcW w:w="1366" w:type="dxa"/>
          </w:tcPr>
          <w:p>
            <w:pPr>
              <w:pStyle w:val="TableParagraph"/>
              <w:rPr>
                <w:rFonts w:ascii="Times New Roman"/>
                <w:sz w:val="16"/>
              </w:rPr>
            </w:pPr>
          </w:p>
        </w:tc>
      </w:tr>
      <w:tr>
        <w:trPr>
          <w:trHeight w:val="911" w:hRule="atLeast"/>
        </w:trPr>
        <w:tc>
          <w:tcPr>
            <w:tcW w:w="1263" w:type="dxa"/>
          </w:tcPr>
          <w:p>
            <w:pPr>
              <w:pStyle w:val="TableParagraph"/>
              <w:rPr>
                <w:rFonts w:ascii="Times New Roman"/>
                <w:sz w:val="16"/>
              </w:rPr>
            </w:pPr>
          </w:p>
        </w:tc>
        <w:tc>
          <w:tcPr>
            <w:tcW w:w="1260" w:type="dxa"/>
          </w:tcPr>
          <w:p>
            <w:pPr>
              <w:pStyle w:val="TableParagraph"/>
              <w:rPr>
                <w:rFonts w:ascii="Times New Roman"/>
                <w:sz w:val="16"/>
              </w:rPr>
            </w:pPr>
          </w:p>
        </w:tc>
        <w:tc>
          <w:tcPr>
            <w:tcW w:w="1261" w:type="dxa"/>
          </w:tcPr>
          <w:p>
            <w:pPr>
              <w:pStyle w:val="TableParagraph"/>
              <w:rPr>
                <w:rFonts w:ascii="Times New Roman"/>
                <w:sz w:val="16"/>
              </w:rPr>
            </w:pPr>
          </w:p>
        </w:tc>
        <w:tc>
          <w:tcPr>
            <w:tcW w:w="1359" w:type="dxa"/>
            <w:gridSpan w:val="2"/>
          </w:tcPr>
          <w:p>
            <w:pPr>
              <w:pStyle w:val="TableParagraph"/>
              <w:rPr>
                <w:rFonts w:ascii="Times New Roman"/>
                <w:sz w:val="16"/>
              </w:rPr>
            </w:pPr>
          </w:p>
        </w:tc>
        <w:tc>
          <w:tcPr>
            <w:tcW w:w="1592" w:type="dxa"/>
          </w:tcPr>
          <w:p>
            <w:pPr>
              <w:pStyle w:val="TableParagraph"/>
              <w:rPr>
                <w:rFonts w:ascii="Times New Roman"/>
                <w:sz w:val="16"/>
              </w:rPr>
            </w:pPr>
          </w:p>
        </w:tc>
        <w:tc>
          <w:tcPr>
            <w:tcW w:w="3400" w:type="dxa"/>
          </w:tcPr>
          <w:p>
            <w:pPr>
              <w:pStyle w:val="TableParagraph"/>
              <w:rPr>
                <w:rFonts w:ascii="Times New Roman"/>
                <w:sz w:val="16"/>
              </w:rPr>
            </w:pPr>
          </w:p>
        </w:tc>
        <w:tc>
          <w:tcPr>
            <w:tcW w:w="1499" w:type="dxa"/>
          </w:tcPr>
          <w:p>
            <w:pPr>
              <w:pStyle w:val="TableParagraph"/>
              <w:rPr>
                <w:rFonts w:ascii="Times New Roman"/>
                <w:sz w:val="16"/>
              </w:rPr>
            </w:pPr>
          </w:p>
        </w:tc>
        <w:tc>
          <w:tcPr>
            <w:tcW w:w="1366" w:type="dxa"/>
          </w:tcPr>
          <w:p>
            <w:pPr>
              <w:pStyle w:val="TableParagraph"/>
              <w:rPr>
                <w:rFonts w:ascii="Times New Roman"/>
                <w:sz w:val="16"/>
              </w:rPr>
            </w:pPr>
          </w:p>
        </w:tc>
      </w:tr>
      <w:tr>
        <w:trPr>
          <w:trHeight w:val="909" w:hRule="atLeast"/>
        </w:trPr>
        <w:tc>
          <w:tcPr>
            <w:tcW w:w="1263" w:type="dxa"/>
          </w:tcPr>
          <w:p>
            <w:pPr>
              <w:pStyle w:val="TableParagraph"/>
              <w:rPr>
                <w:rFonts w:ascii="Times New Roman"/>
                <w:sz w:val="16"/>
              </w:rPr>
            </w:pPr>
          </w:p>
        </w:tc>
        <w:tc>
          <w:tcPr>
            <w:tcW w:w="1260" w:type="dxa"/>
          </w:tcPr>
          <w:p>
            <w:pPr>
              <w:pStyle w:val="TableParagraph"/>
              <w:rPr>
                <w:rFonts w:ascii="Times New Roman"/>
                <w:sz w:val="16"/>
              </w:rPr>
            </w:pPr>
          </w:p>
        </w:tc>
        <w:tc>
          <w:tcPr>
            <w:tcW w:w="1261" w:type="dxa"/>
          </w:tcPr>
          <w:p>
            <w:pPr>
              <w:pStyle w:val="TableParagraph"/>
              <w:rPr>
                <w:rFonts w:ascii="Times New Roman"/>
                <w:sz w:val="16"/>
              </w:rPr>
            </w:pPr>
          </w:p>
        </w:tc>
        <w:tc>
          <w:tcPr>
            <w:tcW w:w="1359" w:type="dxa"/>
            <w:gridSpan w:val="2"/>
          </w:tcPr>
          <w:p>
            <w:pPr>
              <w:pStyle w:val="TableParagraph"/>
              <w:rPr>
                <w:rFonts w:ascii="Times New Roman"/>
                <w:sz w:val="16"/>
              </w:rPr>
            </w:pPr>
          </w:p>
        </w:tc>
        <w:tc>
          <w:tcPr>
            <w:tcW w:w="1592" w:type="dxa"/>
          </w:tcPr>
          <w:p>
            <w:pPr>
              <w:pStyle w:val="TableParagraph"/>
              <w:rPr>
                <w:rFonts w:ascii="Times New Roman"/>
                <w:sz w:val="16"/>
              </w:rPr>
            </w:pPr>
          </w:p>
        </w:tc>
        <w:tc>
          <w:tcPr>
            <w:tcW w:w="3400" w:type="dxa"/>
          </w:tcPr>
          <w:p>
            <w:pPr>
              <w:pStyle w:val="TableParagraph"/>
              <w:rPr>
                <w:rFonts w:ascii="Times New Roman"/>
                <w:sz w:val="16"/>
              </w:rPr>
            </w:pPr>
          </w:p>
        </w:tc>
        <w:tc>
          <w:tcPr>
            <w:tcW w:w="1499" w:type="dxa"/>
          </w:tcPr>
          <w:p>
            <w:pPr>
              <w:pStyle w:val="TableParagraph"/>
              <w:rPr>
                <w:rFonts w:ascii="Times New Roman"/>
                <w:sz w:val="16"/>
              </w:rPr>
            </w:pPr>
          </w:p>
        </w:tc>
        <w:tc>
          <w:tcPr>
            <w:tcW w:w="1366" w:type="dxa"/>
          </w:tcPr>
          <w:p>
            <w:pPr>
              <w:pStyle w:val="TableParagraph"/>
              <w:rPr>
                <w:rFonts w:ascii="Times New Roman"/>
                <w:sz w:val="16"/>
              </w:rPr>
            </w:pPr>
          </w:p>
        </w:tc>
      </w:tr>
    </w:tbl>
    <w:p>
      <w:pPr>
        <w:pStyle w:val="BodyText"/>
        <w:rPr>
          <w:sz w:val="26"/>
        </w:rPr>
      </w:pPr>
    </w:p>
    <w:p>
      <w:pPr>
        <w:pStyle w:val="BodyText"/>
        <w:rPr>
          <w:sz w:val="26"/>
        </w:rPr>
      </w:pPr>
    </w:p>
    <w:p>
      <w:pPr>
        <w:pStyle w:val="BodyText"/>
        <w:rPr>
          <w:sz w:val="26"/>
        </w:rPr>
      </w:pPr>
    </w:p>
    <w:p>
      <w:pPr>
        <w:pStyle w:val="BodyText"/>
        <w:rPr>
          <w:sz w:val="26"/>
        </w:rPr>
      </w:pPr>
    </w:p>
    <w:p>
      <w:pPr>
        <w:pStyle w:val="BodyText"/>
        <w:spacing w:before="6"/>
        <w:rPr>
          <w:sz w:val="32"/>
        </w:rPr>
      </w:pPr>
    </w:p>
    <w:p>
      <w:pPr>
        <w:pStyle w:val="BodyText"/>
        <w:ind w:left="6489" w:right="6488"/>
        <w:jc w:val="center"/>
        <w:rPr>
          <w:rFonts w:ascii="Calibri"/>
        </w:rPr>
      </w:pPr>
      <w:r>
        <w:rPr>
          <w:rFonts w:ascii="Calibri"/>
        </w:rPr>
        <w:t>16</w:t>
      </w:r>
    </w:p>
    <w:p>
      <w:pPr>
        <w:spacing w:after="0"/>
        <w:jc w:val="center"/>
        <w:rPr>
          <w:rFonts w:ascii="Calibri"/>
        </w:rPr>
        <w:sectPr>
          <w:footerReference w:type="default" r:id="rId20"/>
          <w:pgSz w:w="15840" w:h="12240" w:orient="landscape"/>
          <w:pgMar w:footer="0" w:header="0" w:top="1140" w:bottom="280" w:left="1300" w:right="1300"/>
        </w:sectPr>
      </w:pPr>
    </w:p>
    <w:p>
      <w:pPr>
        <w:spacing w:before="48"/>
        <w:ind w:left="102" w:right="0" w:firstLine="0"/>
        <w:jc w:val="left"/>
        <w:rPr>
          <w:sz w:val="22"/>
        </w:rPr>
      </w:pPr>
      <w:r>
        <w:rPr>
          <w:b/>
          <w:sz w:val="22"/>
        </w:rPr>
        <w:t>Anexo 3. </w:t>
      </w:r>
      <w:r>
        <w:rPr>
          <w:sz w:val="22"/>
        </w:rPr>
        <w:t>Formato para informe</w:t>
      </w:r>
    </w:p>
    <w:p>
      <w:pPr>
        <w:pStyle w:val="BodyText"/>
        <w:spacing w:before="9"/>
        <w:rPr>
          <w:sz w:val="25"/>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9"/>
        <w:gridCol w:w="2835"/>
        <w:gridCol w:w="427"/>
        <w:gridCol w:w="607"/>
      </w:tblGrid>
      <w:tr>
        <w:trPr>
          <w:trHeight w:val="594" w:hRule="atLeast"/>
        </w:trPr>
        <w:tc>
          <w:tcPr>
            <w:tcW w:w="8828" w:type="dxa"/>
            <w:gridSpan w:val="4"/>
            <w:shd w:val="clear" w:color="auto" w:fill="800000"/>
          </w:tcPr>
          <w:p>
            <w:pPr>
              <w:pStyle w:val="TableParagraph"/>
              <w:spacing w:before="54"/>
              <w:ind w:left="3353" w:right="3346"/>
              <w:jc w:val="center"/>
              <w:rPr>
                <w:b/>
                <w:sz w:val="18"/>
              </w:rPr>
            </w:pPr>
            <w:r>
              <w:rPr>
                <w:b/>
                <w:color w:val="FFFFFF"/>
                <w:sz w:val="18"/>
              </w:rPr>
              <w:t>Formato para informe</w:t>
            </w:r>
          </w:p>
        </w:tc>
      </w:tr>
      <w:tr>
        <w:trPr>
          <w:trHeight w:val="467" w:hRule="atLeast"/>
        </w:trPr>
        <w:tc>
          <w:tcPr>
            <w:tcW w:w="4959" w:type="dxa"/>
            <w:shd w:val="clear" w:color="auto" w:fill="F1F1F1"/>
          </w:tcPr>
          <w:p>
            <w:pPr>
              <w:pStyle w:val="TableParagraph"/>
              <w:spacing w:before="54"/>
              <w:ind w:left="79"/>
              <w:rPr>
                <w:b/>
                <w:sz w:val="18"/>
              </w:rPr>
            </w:pPr>
            <w:r>
              <w:rPr>
                <w:b/>
                <w:sz w:val="18"/>
              </w:rPr>
              <w:t>Nombre del plantel</w:t>
            </w:r>
          </w:p>
        </w:tc>
        <w:tc>
          <w:tcPr>
            <w:tcW w:w="3869" w:type="dxa"/>
            <w:gridSpan w:val="3"/>
          </w:tcPr>
          <w:p>
            <w:pPr>
              <w:pStyle w:val="TableParagraph"/>
              <w:rPr>
                <w:rFonts w:ascii="Times New Roman"/>
                <w:sz w:val="18"/>
              </w:rPr>
            </w:pPr>
          </w:p>
        </w:tc>
      </w:tr>
      <w:tr>
        <w:trPr>
          <w:trHeight w:val="505" w:hRule="atLeast"/>
        </w:trPr>
        <w:tc>
          <w:tcPr>
            <w:tcW w:w="4959" w:type="dxa"/>
            <w:shd w:val="clear" w:color="auto" w:fill="F1F1F1"/>
          </w:tcPr>
          <w:p>
            <w:pPr>
              <w:pStyle w:val="TableParagraph"/>
              <w:spacing w:before="57"/>
              <w:ind w:left="79"/>
              <w:rPr>
                <w:b/>
                <w:sz w:val="18"/>
              </w:rPr>
            </w:pPr>
            <w:r>
              <w:rPr>
                <w:b/>
                <w:sz w:val="18"/>
              </w:rPr>
              <w:t>Nombre del personal directivo</w:t>
            </w:r>
          </w:p>
        </w:tc>
        <w:tc>
          <w:tcPr>
            <w:tcW w:w="3869" w:type="dxa"/>
            <w:gridSpan w:val="3"/>
          </w:tcPr>
          <w:p>
            <w:pPr>
              <w:pStyle w:val="TableParagraph"/>
              <w:rPr>
                <w:rFonts w:ascii="Times New Roman"/>
                <w:sz w:val="18"/>
              </w:rPr>
            </w:pPr>
          </w:p>
        </w:tc>
      </w:tr>
      <w:tr>
        <w:trPr>
          <w:trHeight w:val="412" w:hRule="atLeast"/>
        </w:trPr>
        <w:tc>
          <w:tcPr>
            <w:tcW w:w="4959" w:type="dxa"/>
            <w:vMerge w:val="restart"/>
            <w:shd w:val="clear" w:color="auto" w:fill="F1F1F1"/>
          </w:tcPr>
          <w:p>
            <w:pPr>
              <w:pStyle w:val="TableParagraph"/>
              <w:spacing w:line="244" w:lineRule="auto" w:before="54"/>
              <w:ind w:left="79"/>
              <w:rPr>
                <w:b/>
                <w:sz w:val="18"/>
              </w:rPr>
            </w:pPr>
            <w:r>
              <w:rPr>
                <w:b/>
                <w:sz w:val="18"/>
              </w:rPr>
              <w:t>Número de personal responsable del Servicio de Orientación Educativa</w:t>
            </w:r>
          </w:p>
        </w:tc>
        <w:tc>
          <w:tcPr>
            <w:tcW w:w="2835" w:type="dxa"/>
          </w:tcPr>
          <w:p>
            <w:pPr>
              <w:pStyle w:val="TableParagraph"/>
              <w:spacing w:before="54"/>
              <w:ind w:left="79"/>
              <w:rPr>
                <w:b/>
                <w:sz w:val="18"/>
              </w:rPr>
            </w:pPr>
            <w:r>
              <w:rPr>
                <w:b/>
                <w:sz w:val="18"/>
              </w:rPr>
              <w:t>Turno matutino</w:t>
            </w:r>
          </w:p>
        </w:tc>
        <w:tc>
          <w:tcPr>
            <w:tcW w:w="1034" w:type="dxa"/>
            <w:gridSpan w:val="2"/>
          </w:tcPr>
          <w:p>
            <w:pPr>
              <w:pStyle w:val="TableParagraph"/>
              <w:rPr>
                <w:rFonts w:ascii="Times New Roman"/>
                <w:sz w:val="18"/>
              </w:rPr>
            </w:pPr>
          </w:p>
        </w:tc>
      </w:tr>
      <w:tr>
        <w:trPr>
          <w:trHeight w:val="412" w:hRule="atLeast"/>
        </w:trPr>
        <w:tc>
          <w:tcPr>
            <w:tcW w:w="4959" w:type="dxa"/>
            <w:vMerge/>
            <w:tcBorders>
              <w:top w:val="nil"/>
            </w:tcBorders>
            <w:shd w:val="clear" w:color="auto" w:fill="F1F1F1"/>
          </w:tcPr>
          <w:p>
            <w:pPr>
              <w:rPr>
                <w:sz w:val="2"/>
                <w:szCs w:val="2"/>
              </w:rPr>
            </w:pPr>
          </w:p>
        </w:tc>
        <w:tc>
          <w:tcPr>
            <w:tcW w:w="2835" w:type="dxa"/>
          </w:tcPr>
          <w:p>
            <w:pPr>
              <w:pStyle w:val="TableParagraph"/>
              <w:spacing w:before="54"/>
              <w:ind w:left="79"/>
              <w:rPr>
                <w:b/>
                <w:sz w:val="18"/>
              </w:rPr>
            </w:pPr>
            <w:r>
              <w:rPr>
                <w:b/>
                <w:sz w:val="18"/>
              </w:rPr>
              <w:t>Turno vespertino</w:t>
            </w:r>
          </w:p>
        </w:tc>
        <w:tc>
          <w:tcPr>
            <w:tcW w:w="1034" w:type="dxa"/>
            <w:gridSpan w:val="2"/>
          </w:tcPr>
          <w:p>
            <w:pPr>
              <w:pStyle w:val="TableParagraph"/>
              <w:rPr>
                <w:rFonts w:ascii="Times New Roman"/>
                <w:sz w:val="18"/>
              </w:rPr>
            </w:pPr>
          </w:p>
        </w:tc>
      </w:tr>
      <w:tr>
        <w:trPr>
          <w:trHeight w:val="503" w:hRule="atLeast"/>
        </w:trPr>
        <w:tc>
          <w:tcPr>
            <w:tcW w:w="4959" w:type="dxa"/>
            <w:shd w:val="clear" w:color="auto" w:fill="F1F1F1"/>
          </w:tcPr>
          <w:p>
            <w:pPr>
              <w:pStyle w:val="TableParagraph"/>
              <w:spacing w:before="54"/>
              <w:ind w:left="79"/>
              <w:rPr>
                <w:b/>
                <w:sz w:val="18"/>
              </w:rPr>
            </w:pPr>
            <w:r>
              <w:rPr>
                <w:b/>
                <w:sz w:val="18"/>
              </w:rPr>
              <w:t>Ciclo escolar y semestre</w:t>
            </w:r>
          </w:p>
        </w:tc>
        <w:tc>
          <w:tcPr>
            <w:tcW w:w="3869" w:type="dxa"/>
            <w:gridSpan w:val="3"/>
          </w:tcPr>
          <w:p>
            <w:pPr>
              <w:pStyle w:val="TableParagraph"/>
              <w:rPr>
                <w:rFonts w:ascii="Times New Roman"/>
                <w:sz w:val="18"/>
              </w:rPr>
            </w:pPr>
          </w:p>
        </w:tc>
      </w:tr>
      <w:tr>
        <w:trPr>
          <w:trHeight w:val="701" w:hRule="atLeast"/>
        </w:trPr>
        <w:tc>
          <w:tcPr>
            <w:tcW w:w="4959" w:type="dxa"/>
            <w:shd w:val="clear" w:color="auto" w:fill="F1F1F1"/>
          </w:tcPr>
          <w:p>
            <w:pPr>
              <w:pStyle w:val="TableParagraph"/>
              <w:spacing w:line="244" w:lineRule="auto" w:before="57"/>
              <w:ind w:left="79" w:right="14"/>
              <w:rPr>
                <w:b/>
                <w:sz w:val="18"/>
              </w:rPr>
            </w:pPr>
            <w:r>
              <w:rPr>
                <w:b/>
                <w:sz w:val="18"/>
              </w:rPr>
              <w:t>Número total de actividades y proyectos realizados al semestre</w:t>
            </w:r>
          </w:p>
        </w:tc>
        <w:tc>
          <w:tcPr>
            <w:tcW w:w="3869" w:type="dxa"/>
            <w:gridSpan w:val="3"/>
          </w:tcPr>
          <w:p>
            <w:pPr>
              <w:pStyle w:val="TableParagraph"/>
              <w:rPr>
                <w:rFonts w:ascii="Times New Roman"/>
                <w:sz w:val="18"/>
              </w:rPr>
            </w:pPr>
          </w:p>
        </w:tc>
      </w:tr>
      <w:tr>
        <w:trPr>
          <w:trHeight w:val="700" w:hRule="atLeast"/>
        </w:trPr>
        <w:tc>
          <w:tcPr>
            <w:tcW w:w="4959" w:type="dxa"/>
            <w:shd w:val="clear" w:color="auto" w:fill="F1F1F1"/>
          </w:tcPr>
          <w:p>
            <w:pPr>
              <w:pStyle w:val="TableParagraph"/>
              <w:spacing w:before="57"/>
              <w:ind w:left="79"/>
              <w:rPr>
                <w:b/>
                <w:sz w:val="18"/>
              </w:rPr>
            </w:pPr>
            <w:r>
              <w:rPr>
                <w:b/>
                <w:sz w:val="18"/>
              </w:rPr>
              <w:t>Principales problemáticas de atención</w:t>
            </w:r>
          </w:p>
        </w:tc>
        <w:tc>
          <w:tcPr>
            <w:tcW w:w="3869" w:type="dxa"/>
            <w:gridSpan w:val="3"/>
          </w:tcPr>
          <w:p>
            <w:pPr>
              <w:pStyle w:val="TableParagraph"/>
              <w:rPr>
                <w:rFonts w:ascii="Times New Roman"/>
                <w:sz w:val="18"/>
              </w:rPr>
            </w:pPr>
          </w:p>
        </w:tc>
      </w:tr>
      <w:tr>
        <w:trPr>
          <w:trHeight w:val="412" w:hRule="atLeast"/>
        </w:trPr>
        <w:tc>
          <w:tcPr>
            <w:tcW w:w="4959" w:type="dxa"/>
            <w:vMerge w:val="restart"/>
            <w:shd w:val="clear" w:color="auto" w:fill="F1F1F1"/>
          </w:tcPr>
          <w:p>
            <w:pPr>
              <w:pStyle w:val="TableParagraph"/>
              <w:spacing w:before="54"/>
              <w:ind w:left="79"/>
              <w:rPr>
                <w:b/>
                <w:sz w:val="18"/>
              </w:rPr>
            </w:pPr>
            <w:r>
              <w:rPr>
                <w:b/>
                <w:sz w:val="18"/>
              </w:rPr>
              <w:t>Estudiantado beneficiado</w:t>
            </w:r>
          </w:p>
        </w:tc>
        <w:tc>
          <w:tcPr>
            <w:tcW w:w="2835" w:type="dxa"/>
          </w:tcPr>
          <w:p>
            <w:pPr>
              <w:pStyle w:val="TableParagraph"/>
              <w:spacing w:before="54"/>
              <w:ind w:left="79"/>
              <w:rPr>
                <w:b/>
                <w:sz w:val="18"/>
              </w:rPr>
            </w:pPr>
            <w:r>
              <w:rPr>
                <w:b/>
                <w:sz w:val="18"/>
              </w:rPr>
              <w:t>Turno matutino</w:t>
            </w:r>
          </w:p>
        </w:tc>
        <w:tc>
          <w:tcPr>
            <w:tcW w:w="427" w:type="dxa"/>
          </w:tcPr>
          <w:p>
            <w:pPr>
              <w:pStyle w:val="TableParagraph"/>
              <w:spacing w:before="54"/>
              <w:ind w:left="7"/>
              <w:jc w:val="center"/>
              <w:rPr>
                <w:b/>
                <w:sz w:val="18"/>
              </w:rPr>
            </w:pPr>
            <w:r>
              <w:rPr>
                <w:b/>
                <w:sz w:val="18"/>
              </w:rPr>
              <w:t>H</w:t>
            </w:r>
          </w:p>
        </w:tc>
        <w:tc>
          <w:tcPr>
            <w:tcW w:w="607" w:type="dxa"/>
          </w:tcPr>
          <w:p>
            <w:pPr>
              <w:pStyle w:val="TableParagraph"/>
              <w:spacing w:before="54"/>
              <w:ind w:left="7"/>
              <w:jc w:val="center"/>
              <w:rPr>
                <w:b/>
                <w:sz w:val="18"/>
              </w:rPr>
            </w:pPr>
            <w:r>
              <w:rPr>
                <w:b/>
                <w:sz w:val="18"/>
              </w:rPr>
              <w:t>M</w:t>
            </w:r>
          </w:p>
        </w:tc>
      </w:tr>
      <w:tr>
        <w:trPr>
          <w:trHeight w:val="412" w:hRule="atLeast"/>
        </w:trPr>
        <w:tc>
          <w:tcPr>
            <w:tcW w:w="4959" w:type="dxa"/>
            <w:vMerge/>
            <w:tcBorders>
              <w:top w:val="nil"/>
            </w:tcBorders>
            <w:shd w:val="clear" w:color="auto" w:fill="F1F1F1"/>
          </w:tcPr>
          <w:p>
            <w:pPr>
              <w:rPr>
                <w:sz w:val="2"/>
                <w:szCs w:val="2"/>
              </w:rPr>
            </w:pPr>
          </w:p>
        </w:tc>
        <w:tc>
          <w:tcPr>
            <w:tcW w:w="2835" w:type="dxa"/>
          </w:tcPr>
          <w:p>
            <w:pPr>
              <w:pStyle w:val="TableParagraph"/>
              <w:spacing w:before="54"/>
              <w:ind w:left="79"/>
              <w:rPr>
                <w:b/>
                <w:sz w:val="18"/>
              </w:rPr>
            </w:pPr>
            <w:r>
              <w:rPr>
                <w:b/>
                <w:sz w:val="18"/>
              </w:rPr>
              <w:t>Turno vespertino</w:t>
            </w:r>
          </w:p>
        </w:tc>
        <w:tc>
          <w:tcPr>
            <w:tcW w:w="427" w:type="dxa"/>
          </w:tcPr>
          <w:p>
            <w:pPr>
              <w:pStyle w:val="TableParagraph"/>
              <w:spacing w:before="54"/>
              <w:ind w:left="7"/>
              <w:jc w:val="center"/>
              <w:rPr>
                <w:b/>
                <w:sz w:val="18"/>
              </w:rPr>
            </w:pPr>
            <w:r>
              <w:rPr>
                <w:b/>
                <w:sz w:val="18"/>
              </w:rPr>
              <w:t>H</w:t>
            </w:r>
          </w:p>
        </w:tc>
        <w:tc>
          <w:tcPr>
            <w:tcW w:w="607" w:type="dxa"/>
          </w:tcPr>
          <w:p>
            <w:pPr>
              <w:pStyle w:val="TableParagraph"/>
              <w:spacing w:before="54"/>
              <w:ind w:left="7"/>
              <w:jc w:val="center"/>
              <w:rPr>
                <w:b/>
                <w:sz w:val="18"/>
              </w:rPr>
            </w:pPr>
            <w:r>
              <w:rPr>
                <w:b/>
                <w:sz w:val="18"/>
              </w:rPr>
              <w:t>M</w:t>
            </w:r>
          </w:p>
        </w:tc>
      </w:tr>
      <w:tr>
        <w:trPr>
          <w:trHeight w:val="412" w:hRule="atLeast"/>
        </w:trPr>
        <w:tc>
          <w:tcPr>
            <w:tcW w:w="4959" w:type="dxa"/>
            <w:vMerge w:val="restart"/>
            <w:shd w:val="clear" w:color="auto" w:fill="F1F1F1"/>
          </w:tcPr>
          <w:p>
            <w:pPr>
              <w:pStyle w:val="TableParagraph"/>
              <w:tabs>
                <w:tab w:pos="1582" w:val="left" w:leader="none"/>
                <w:tab w:pos="2830" w:val="left" w:leader="none"/>
                <w:tab w:pos="3177" w:val="left" w:leader="none"/>
                <w:tab w:pos="4638" w:val="left" w:leader="none"/>
              </w:tabs>
              <w:spacing w:line="244" w:lineRule="auto" w:before="54"/>
              <w:ind w:left="79" w:right="70"/>
              <w:rPr>
                <w:b/>
                <w:sz w:val="18"/>
              </w:rPr>
            </w:pPr>
            <w:r>
              <w:rPr>
                <w:b/>
                <w:sz w:val="18"/>
              </w:rPr>
              <w:t>Estudiantado</w:t>
              <w:tab/>
              <w:t>canalizado</w:t>
              <w:tab/>
              <w:t>a</w:t>
              <w:tab/>
              <w:t>instituciones</w:t>
              <w:tab/>
            </w:r>
            <w:r>
              <w:rPr>
                <w:b/>
                <w:spacing w:val="-9"/>
                <w:sz w:val="18"/>
              </w:rPr>
              <w:t>de </w:t>
            </w:r>
            <w:r>
              <w:rPr>
                <w:b/>
                <w:sz w:val="18"/>
              </w:rPr>
              <w:t>atención</w:t>
            </w:r>
            <w:r>
              <w:rPr>
                <w:b/>
                <w:spacing w:val="-1"/>
                <w:sz w:val="18"/>
              </w:rPr>
              <w:t> </w:t>
            </w:r>
            <w:r>
              <w:rPr>
                <w:b/>
                <w:sz w:val="18"/>
              </w:rPr>
              <w:t>especializada</w:t>
            </w:r>
          </w:p>
        </w:tc>
        <w:tc>
          <w:tcPr>
            <w:tcW w:w="2835" w:type="dxa"/>
          </w:tcPr>
          <w:p>
            <w:pPr>
              <w:pStyle w:val="TableParagraph"/>
              <w:spacing w:before="54"/>
              <w:ind w:left="79"/>
              <w:rPr>
                <w:b/>
                <w:sz w:val="18"/>
              </w:rPr>
            </w:pPr>
            <w:r>
              <w:rPr>
                <w:b/>
                <w:sz w:val="18"/>
              </w:rPr>
              <w:t>Turno matutino</w:t>
            </w:r>
          </w:p>
        </w:tc>
        <w:tc>
          <w:tcPr>
            <w:tcW w:w="427" w:type="dxa"/>
          </w:tcPr>
          <w:p>
            <w:pPr>
              <w:pStyle w:val="TableParagraph"/>
              <w:spacing w:before="54"/>
              <w:ind w:left="7"/>
              <w:jc w:val="center"/>
              <w:rPr>
                <w:b/>
                <w:sz w:val="18"/>
              </w:rPr>
            </w:pPr>
            <w:r>
              <w:rPr>
                <w:b/>
                <w:sz w:val="18"/>
              </w:rPr>
              <w:t>H</w:t>
            </w:r>
          </w:p>
        </w:tc>
        <w:tc>
          <w:tcPr>
            <w:tcW w:w="607" w:type="dxa"/>
          </w:tcPr>
          <w:p>
            <w:pPr>
              <w:pStyle w:val="TableParagraph"/>
              <w:spacing w:before="54"/>
              <w:ind w:left="7"/>
              <w:jc w:val="center"/>
              <w:rPr>
                <w:b/>
                <w:sz w:val="18"/>
              </w:rPr>
            </w:pPr>
            <w:r>
              <w:rPr>
                <w:b/>
                <w:sz w:val="18"/>
              </w:rPr>
              <w:t>M</w:t>
            </w:r>
          </w:p>
        </w:tc>
      </w:tr>
      <w:tr>
        <w:trPr>
          <w:trHeight w:val="412" w:hRule="atLeast"/>
        </w:trPr>
        <w:tc>
          <w:tcPr>
            <w:tcW w:w="4959" w:type="dxa"/>
            <w:vMerge/>
            <w:tcBorders>
              <w:top w:val="nil"/>
            </w:tcBorders>
            <w:shd w:val="clear" w:color="auto" w:fill="F1F1F1"/>
          </w:tcPr>
          <w:p>
            <w:pPr>
              <w:rPr>
                <w:sz w:val="2"/>
                <w:szCs w:val="2"/>
              </w:rPr>
            </w:pPr>
          </w:p>
        </w:tc>
        <w:tc>
          <w:tcPr>
            <w:tcW w:w="2835" w:type="dxa"/>
          </w:tcPr>
          <w:p>
            <w:pPr>
              <w:pStyle w:val="TableParagraph"/>
              <w:spacing w:before="54"/>
              <w:ind w:left="79"/>
              <w:rPr>
                <w:b/>
                <w:sz w:val="18"/>
              </w:rPr>
            </w:pPr>
            <w:r>
              <w:rPr>
                <w:b/>
                <w:sz w:val="18"/>
              </w:rPr>
              <w:t>Turno vespertino</w:t>
            </w:r>
          </w:p>
        </w:tc>
        <w:tc>
          <w:tcPr>
            <w:tcW w:w="427" w:type="dxa"/>
          </w:tcPr>
          <w:p>
            <w:pPr>
              <w:pStyle w:val="TableParagraph"/>
              <w:spacing w:before="54"/>
              <w:ind w:left="7"/>
              <w:jc w:val="center"/>
              <w:rPr>
                <w:b/>
                <w:sz w:val="18"/>
              </w:rPr>
            </w:pPr>
            <w:r>
              <w:rPr>
                <w:b/>
                <w:sz w:val="18"/>
              </w:rPr>
              <w:t>H</w:t>
            </w:r>
          </w:p>
        </w:tc>
        <w:tc>
          <w:tcPr>
            <w:tcW w:w="607" w:type="dxa"/>
          </w:tcPr>
          <w:p>
            <w:pPr>
              <w:pStyle w:val="TableParagraph"/>
              <w:spacing w:before="54"/>
              <w:ind w:left="7"/>
              <w:jc w:val="center"/>
              <w:rPr>
                <w:b/>
                <w:sz w:val="18"/>
              </w:rPr>
            </w:pPr>
            <w:r>
              <w:rPr>
                <w:b/>
                <w:sz w:val="18"/>
              </w:rPr>
              <w:t>M</w:t>
            </w:r>
          </w:p>
        </w:tc>
      </w:tr>
    </w:tbl>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5"/>
        <w:rPr>
          <w:sz w:val="27"/>
        </w:rPr>
      </w:pPr>
    </w:p>
    <w:p>
      <w:pPr>
        <w:pStyle w:val="BodyText"/>
        <w:ind w:left="262" w:right="278"/>
        <w:jc w:val="center"/>
        <w:rPr>
          <w:rFonts w:ascii="Calibri"/>
        </w:rPr>
      </w:pPr>
      <w:r>
        <w:rPr>
          <w:rFonts w:ascii="Calibri"/>
        </w:rPr>
        <w:t>17</w:t>
      </w:r>
    </w:p>
    <w:p>
      <w:pPr>
        <w:spacing w:after="0"/>
        <w:jc w:val="center"/>
        <w:rPr>
          <w:rFonts w:ascii="Calibri"/>
        </w:rPr>
        <w:sectPr>
          <w:footerReference w:type="default" r:id="rId21"/>
          <w:pgSz w:w="12240" w:h="15840"/>
          <w:pgMar w:footer="0" w:header="0" w:top="1340" w:bottom="280" w:left="1600" w:right="1580"/>
        </w:sectPr>
      </w:pPr>
    </w:p>
    <w:p>
      <w:pPr>
        <w:pStyle w:val="Heading1"/>
        <w:ind w:left="102"/>
      </w:pPr>
      <w:bookmarkStart w:name="_TOC_250001" w:id="6"/>
      <w:bookmarkEnd w:id="6"/>
      <w:r>
        <w:rPr>
          <w:color w:val="9F2141"/>
          <w:w w:val="130"/>
        </w:rPr>
        <w:t>GLOSARIO</w:t>
      </w:r>
    </w:p>
    <w:p>
      <w:pPr>
        <w:pStyle w:val="BodyText"/>
        <w:spacing w:before="11"/>
        <w:rPr>
          <w:rFonts w:ascii="Calibri"/>
          <w:sz w:val="30"/>
        </w:rPr>
      </w:pPr>
    </w:p>
    <w:p>
      <w:pPr>
        <w:pStyle w:val="BodyText"/>
        <w:spacing w:line="244" w:lineRule="auto"/>
        <w:ind w:left="102" w:right="116"/>
        <w:jc w:val="both"/>
      </w:pPr>
      <w:r>
        <w:rPr>
          <w:b/>
        </w:rPr>
        <w:t>Educación Integral: </w:t>
      </w:r>
      <w:r>
        <w:rPr/>
        <w:t>conjunto de principios educativos que parten de la noción de que el ser humano se educa con relación a su comunidad, su entorno</w:t>
      </w:r>
      <w:r>
        <w:rPr>
          <w:spacing w:val="-28"/>
        </w:rPr>
        <w:t> </w:t>
      </w:r>
      <w:r>
        <w:rPr/>
        <w:t>natural y con valores fundamentales de respeto a la dignidad humana. Requiere de conocimientos y habilidades que atiendan a todas las capacidades humanas en términos físicos, emocionales, cognitivos y</w:t>
      </w:r>
      <w:r>
        <w:rPr>
          <w:spacing w:val="-6"/>
        </w:rPr>
        <w:t> </w:t>
      </w:r>
      <w:r>
        <w:rPr/>
        <w:t>sociales.</w:t>
      </w:r>
    </w:p>
    <w:p>
      <w:pPr>
        <w:pStyle w:val="BodyText"/>
        <w:spacing w:before="7"/>
      </w:pPr>
    </w:p>
    <w:p>
      <w:pPr>
        <w:pStyle w:val="BodyText"/>
        <w:spacing w:line="244" w:lineRule="auto"/>
        <w:ind w:left="102" w:right="118"/>
        <w:jc w:val="both"/>
      </w:pPr>
      <w:r>
        <w:rPr>
          <w:b/>
        </w:rPr>
        <w:t>Habilidades</w:t>
      </w:r>
      <w:r>
        <w:rPr>
          <w:b/>
          <w:spacing w:val="-11"/>
        </w:rPr>
        <w:t> </w:t>
      </w:r>
      <w:r>
        <w:rPr>
          <w:b/>
        </w:rPr>
        <w:t>Socioemocionales:</w:t>
      </w:r>
      <w:r>
        <w:rPr>
          <w:b/>
          <w:spacing w:val="-11"/>
        </w:rPr>
        <w:t> </w:t>
      </w:r>
      <w:r>
        <w:rPr/>
        <w:t>herramientas</w:t>
      </w:r>
      <w:r>
        <w:rPr>
          <w:spacing w:val="-9"/>
        </w:rPr>
        <w:t> </w:t>
      </w:r>
      <w:r>
        <w:rPr/>
        <w:t>a</w:t>
      </w:r>
      <w:r>
        <w:rPr>
          <w:spacing w:val="-9"/>
        </w:rPr>
        <w:t> </w:t>
      </w:r>
      <w:r>
        <w:rPr/>
        <w:t>través</w:t>
      </w:r>
      <w:r>
        <w:rPr>
          <w:spacing w:val="-9"/>
        </w:rPr>
        <w:t> </w:t>
      </w:r>
      <w:r>
        <w:rPr/>
        <w:t>de</w:t>
      </w:r>
      <w:r>
        <w:rPr>
          <w:spacing w:val="-8"/>
        </w:rPr>
        <w:t> </w:t>
      </w:r>
      <w:r>
        <w:rPr/>
        <w:t>las</w:t>
      </w:r>
      <w:r>
        <w:rPr>
          <w:spacing w:val="-9"/>
        </w:rPr>
        <w:t> </w:t>
      </w:r>
      <w:r>
        <w:rPr/>
        <w:t>cuales</w:t>
      </w:r>
      <w:r>
        <w:rPr>
          <w:spacing w:val="-9"/>
        </w:rPr>
        <w:t> </w:t>
      </w:r>
      <w:r>
        <w:rPr/>
        <w:t>las</w:t>
      </w:r>
      <w:r>
        <w:rPr>
          <w:spacing w:val="-9"/>
        </w:rPr>
        <w:t> </w:t>
      </w:r>
      <w:r>
        <w:rPr/>
        <w:t>personas pueden entender y regular las emociones, establecer y alcanzar relaciones y metas positivas, sentir y mostrar empatía hacia los demás y tomar decisiones responsablemente.</w:t>
      </w:r>
    </w:p>
    <w:p>
      <w:pPr>
        <w:pStyle w:val="BodyText"/>
        <w:spacing w:before="12"/>
      </w:pPr>
    </w:p>
    <w:p>
      <w:pPr>
        <w:pStyle w:val="BodyText"/>
        <w:spacing w:line="244" w:lineRule="auto"/>
        <w:ind w:left="102" w:right="120"/>
        <w:jc w:val="both"/>
      </w:pPr>
      <w:r>
        <w:rPr>
          <w:b/>
        </w:rPr>
        <w:t>Orientación Educativa: </w:t>
      </w:r>
      <w:r>
        <w:rPr/>
        <w:t>acciones de la formación integral y armónica de la personalidad del estudiantado, en función del encargo social que asume la educación y en correspondencia con las necesidades e intereses de nuestros tiempos.</w:t>
      </w:r>
    </w:p>
    <w:p>
      <w:pPr>
        <w:pStyle w:val="BodyText"/>
        <w:spacing w:before="9"/>
      </w:pPr>
    </w:p>
    <w:p>
      <w:pPr>
        <w:pStyle w:val="BodyText"/>
        <w:spacing w:line="244" w:lineRule="auto" w:before="1"/>
        <w:ind w:left="102" w:right="117"/>
        <w:jc w:val="both"/>
      </w:pPr>
      <w:r>
        <w:rPr>
          <w:b/>
        </w:rPr>
        <w:t>Progresiones de aprendizaje</w:t>
      </w:r>
      <w:r>
        <w:rPr/>
        <w:t>: descripción secuencial de aprendizajes de conceptos, categorías y subcategorías y relaciones entre ellos, que llevarán al</w:t>
      </w:r>
      <w:r>
        <w:rPr>
          <w:spacing w:val="57"/>
        </w:rPr>
        <w:t> </w:t>
      </w:r>
      <w:r>
        <w:rPr/>
        <w:t>estudiantado a desarrollar conocimientos y habilidades de forma gradual. Es un modelo flexible que no limita el proceso de enseñanza aprendizaje debido a </w:t>
      </w:r>
      <w:r>
        <w:rPr>
          <w:spacing w:val="-3"/>
        </w:rPr>
        <w:t>que </w:t>
      </w:r>
      <w:r>
        <w:rPr/>
        <w:t>ofrece libertad al personal docente de abordar los conceptos, categorías y subcategorías desde distintas perspectivas y adaptarlas de acuerdo con el contexto en el que se encuentre, haciendo uso de diversas estrategias.</w:t>
      </w:r>
    </w:p>
    <w:p>
      <w:pPr>
        <w:pStyle w:val="BodyText"/>
        <w:spacing w:before="7"/>
      </w:pPr>
    </w:p>
    <w:p>
      <w:pPr>
        <w:pStyle w:val="BodyText"/>
        <w:spacing w:line="244" w:lineRule="auto"/>
        <w:ind w:left="102" w:right="117"/>
        <w:jc w:val="both"/>
      </w:pPr>
      <w:r>
        <w:rPr>
          <w:b/>
        </w:rPr>
        <w:t>Proyecto de vida: </w:t>
      </w:r>
      <w:r>
        <w:rPr/>
        <w:t>proceso de toma de decisiones para la vida propia, al asumir la libertad que cada individuo tiene para construir su propia identidad en interacción con su ambiente social. Es posible gracias a la adquisición de aprendizajes que permitan lograr metas personales, habilidades sociales para la interacción y el fortalecimiento de las capacidades emocionales de cada individuo. Es un ejercicio fundamental de aprender a ser.</w:t>
      </w:r>
    </w:p>
    <w:p>
      <w:pPr>
        <w:pStyle w:val="BodyText"/>
        <w:spacing w:before="7"/>
      </w:pPr>
    </w:p>
    <w:p>
      <w:pPr>
        <w:pStyle w:val="BodyText"/>
        <w:spacing w:line="244" w:lineRule="auto"/>
        <w:ind w:left="102" w:right="117"/>
        <w:jc w:val="both"/>
      </w:pPr>
      <w:r>
        <w:rPr>
          <w:b/>
        </w:rPr>
        <w:t>Unidad de Aprendizaje Curricular (UAC): </w:t>
      </w:r>
      <w:r>
        <w:rPr/>
        <w:t>serie o conjunto de aprendizajes que integran una unidad completa que tiene valor curricular porque ha sido objeto de un proceso de evaluación, acreditación y/o certificación para la asignación de créditos académicos, estas unidades pueden ser: cursos, asignaturas, materias, módulos u otra denominación que representen aprendizajes susceptibles de</w:t>
      </w:r>
      <w:r>
        <w:rPr>
          <w:spacing w:val="-40"/>
        </w:rPr>
        <w:t> </w:t>
      </w:r>
      <w:r>
        <w:rPr/>
        <w:t>ser reconocidos por su valor curricular en el Sistema Educativo</w:t>
      </w:r>
      <w:r>
        <w:rPr>
          <w:spacing w:val="-15"/>
        </w:rPr>
        <w:t> </w:t>
      </w:r>
      <w:r>
        <w:rPr/>
        <w:t>Nacional.</w:t>
      </w:r>
    </w:p>
    <w:p>
      <w:pPr>
        <w:spacing w:after="0" w:line="244" w:lineRule="auto"/>
        <w:jc w:val="both"/>
        <w:sectPr>
          <w:footerReference w:type="default" r:id="rId22"/>
          <w:pgSz w:w="12240" w:h="15840"/>
          <w:pgMar w:footer="1302" w:header="0" w:top="1340" w:bottom="1500" w:left="1600" w:right="1580"/>
          <w:pgNumType w:start="18"/>
        </w:sectPr>
      </w:pPr>
    </w:p>
    <w:p>
      <w:pPr>
        <w:pStyle w:val="Heading1"/>
        <w:ind w:left="102"/>
      </w:pPr>
      <w:bookmarkStart w:name="_TOC_250000" w:id="7"/>
      <w:bookmarkEnd w:id="7"/>
      <w:r>
        <w:rPr>
          <w:color w:val="9F2141"/>
          <w:w w:val="130"/>
        </w:rPr>
        <w:t>BIBLIOGRAFÍA</w:t>
      </w:r>
    </w:p>
    <w:p>
      <w:pPr>
        <w:pStyle w:val="BodyText"/>
        <w:spacing w:before="11"/>
        <w:rPr>
          <w:rFonts w:ascii="Calibri"/>
          <w:sz w:val="30"/>
        </w:rPr>
      </w:pPr>
    </w:p>
    <w:p>
      <w:pPr>
        <w:pStyle w:val="ListParagraph"/>
        <w:numPr>
          <w:ilvl w:val="0"/>
          <w:numId w:val="2"/>
        </w:numPr>
        <w:tabs>
          <w:tab w:pos="822" w:val="left" w:leader="none"/>
        </w:tabs>
        <w:spacing w:line="244" w:lineRule="auto" w:before="0" w:after="0"/>
        <w:ind w:left="821" w:right="122" w:hanging="360"/>
        <w:jc w:val="both"/>
        <w:rPr>
          <w:sz w:val="22"/>
        </w:rPr>
      </w:pPr>
      <w:r>
        <w:rPr>
          <w:sz w:val="22"/>
        </w:rPr>
        <w:t>Diario Oficial de la Federación, (2019). Constitución Política de los Estados Unidos Mexicanos. 30 de septiembre de 2019, México. Disponible en:</w:t>
      </w:r>
      <w:hyperlink r:id="rId23">
        <w:r>
          <w:rPr>
            <w:color w:val="0000FF"/>
            <w:sz w:val="22"/>
            <w:u w:val="single" w:color="0000FF"/>
          </w:rPr>
          <w:t> https://www.diputados.gob.mx/LeyesBiblio/pdf/CPEUM.pd</w:t>
        </w:r>
      </w:hyperlink>
      <w:r>
        <w:rPr>
          <w:color w:val="0000FF"/>
          <w:sz w:val="22"/>
          <w:u w:val="single" w:color="0000FF"/>
        </w:rPr>
        <w:t>f</w:t>
      </w:r>
      <w:r>
        <w:rPr>
          <w:color w:val="0000FF"/>
          <w:spacing w:val="-1"/>
          <w:sz w:val="22"/>
          <w:u w:val="single" w:color="0000FF"/>
        </w:rPr>
        <w:t> </w:t>
      </w:r>
    </w:p>
    <w:p>
      <w:pPr>
        <w:pStyle w:val="BodyText"/>
        <w:spacing w:before="8"/>
        <w:rPr>
          <w:sz w:val="17"/>
        </w:rPr>
      </w:pPr>
    </w:p>
    <w:p>
      <w:pPr>
        <w:pStyle w:val="ListParagraph"/>
        <w:numPr>
          <w:ilvl w:val="0"/>
          <w:numId w:val="2"/>
        </w:numPr>
        <w:tabs>
          <w:tab w:pos="822" w:val="left" w:leader="none"/>
          <w:tab w:pos="2858" w:val="left" w:leader="none"/>
          <w:tab w:pos="3868" w:val="left" w:leader="none"/>
          <w:tab w:pos="5133" w:val="left" w:leader="none"/>
          <w:tab w:pos="6692" w:val="left" w:leader="none"/>
          <w:tab w:pos="8607" w:val="left" w:leader="none"/>
        </w:tabs>
        <w:spacing w:line="244" w:lineRule="auto" w:before="70" w:after="0"/>
        <w:ind w:left="821" w:right="120" w:hanging="360"/>
        <w:jc w:val="both"/>
        <w:rPr>
          <w:sz w:val="22"/>
        </w:rPr>
      </w:pPr>
      <w:r>
        <w:rPr>
          <w:sz w:val="22"/>
        </w:rPr>
        <w:t>Diario Oficial de la Federación, (2019). Ley General de Educación. 30 de</w:t>
      </w:r>
      <w:r>
        <w:rPr>
          <w:spacing w:val="57"/>
          <w:sz w:val="22"/>
        </w:rPr>
        <w:t> </w:t>
      </w:r>
      <w:r>
        <w:rPr>
          <w:sz w:val="22"/>
        </w:rPr>
        <w:t>Septiembre</w:t>
        <w:tab/>
        <w:t>de</w:t>
        <w:tab/>
        <w:t>2019,</w:t>
        <w:tab/>
        <w:t>México.</w:t>
        <w:tab/>
        <w:t>Disponible</w:t>
        <w:tab/>
      </w:r>
      <w:r>
        <w:rPr>
          <w:spacing w:val="-7"/>
          <w:sz w:val="22"/>
        </w:rPr>
        <w:t>en:</w:t>
      </w:r>
      <w:hyperlink r:id="rId24">
        <w:r>
          <w:rPr>
            <w:color w:val="1154CC"/>
            <w:spacing w:val="-7"/>
            <w:sz w:val="22"/>
            <w:u w:val="single" w:color="1154CC"/>
          </w:rPr>
          <w:t> </w:t>
        </w:r>
        <w:r>
          <w:rPr>
            <w:color w:val="1154CC"/>
            <w:sz w:val="22"/>
            <w:u w:val="single" w:color="1154CC"/>
          </w:rPr>
          <w:t>https://www.diputados.gob.mx/LeyesBiblio/pdf/LGE.pdf</w:t>
        </w:r>
      </w:hyperlink>
    </w:p>
    <w:p>
      <w:pPr>
        <w:pStyle w:val="BodyText"/>
        <w:spacing w:before="1"/>
        <w:rPr>
          <w:sz w:val="17"/>
        </w:rPr>
      </w:pPr>
    </w:p>
    <w:p>
      <w:pPr>
        <w:pStyle w:val="ListParagraph"/>
        <w:numPr>
          <w:ilvl w:val="0"/>
          <w:numId w:val="2"/>
        </w:numPr>
        <w:tabs>
          <w:tab w:pos="821" w:val="left" w:leader="none"/>
          <w:tab w:pos="822" w:val="left" w:leader="none"/>
          <w:tab w:pos="1522" w:val="left" w:leader="none"/>
          <w:tab w:pos="1989" w:val="left" w:leader="none"/>
          <w:tab w:pos="2911" w:val="left" w:leader="none"/>
          <w:tab w:pos="3968" w:val="left" w:leader="none"/>
          <w:tab w:pos="5278" w:val="left" w:leader="none"/>
          <w:tab w:pos="6571" w:val="left" w:leader="none"/>
          <w:tab w:pos="6902" w:val="left" w:leader="none"/>
        </w:tabs>
        <w:spacing w:line="244" w:lineRule="auto" w:before="70" w:after="0"/>
        <w:ind w:left="821" w:right="659" w:hanging="360"/>
        <w:jc w:val="left"/>
        <w:rPr>
          <w:sz w:val="22"/>
        </w:rPr>
      </w:pPr>
      <w:r>
        <w:rPr>
          <w:sz w:val="22"/>
        </w:rPr>
        <w:t>SEP,</w:t>
        <w:tab/>
        <w:t>La</w:t>
        <w:tab/>
        <w:t>Nueva</w:t>
        <w:tab/>
        <w:t>Escuela</w:t>
        <w:tab/>
        <w:t>Mexicana:</w:t>
        <w:tab/>
        <w:t>principios</w:t>
        <w:tab/>
        <w:t>y</w:t>
        <w:tab/>
      </w:r>
      <w:r>
        <w:rPr>
          <w:spacing w:val="-1"/>
          <w:sz w:val="22"/>
        </w:rPr>
        <w:t>orientaciones </w:t>
      </w:r>
      <w:r>
        <w:rPr>
          <w:sz w:val="22"/>
        </w:rPr>
        <w:t>pedagógicas. 2019</w:t>
      </w:r>
    </w:p>
    <w:p>
      <w:pPr>
        <w:pStyle w:val="ListParagraph"/>
        <w:numPr>
          <w:ilvl w:val="0"/>
          <w:numId w:val="2"/>
        </w:numPr>
        <w:tabs>
          <w:tab w:pos="821" w:val="left" w:leader="none"/>
          <w:tab w:pos="822" w:val="left" w:leader="none"/>
          <w:tab w:pos="4251" w:val="left" w:leader="none"/>
          <w:tab w:pos="8400" w:val="right" w:leader="none"/>
        </w:tabs>
        <w:spacing w:line="242" w:lineRule="auto" w:before="318" w:after="0"/>
        <w:ind w:left="821" w:right="656" w:hanging="360"/>
        <w:jc w:val="left"/>
        <w:rPr>
          <w:sz w:val="22"/>
        </w:rPr>
      </w:pPr>
      <w:r>
        <w:rPr>
          <w:sz w:val="22"/>
        </w:rPr>
        <w:t>SEP, Rediseño del Marco Curricular Común de la Educación Media Superior</w:t>
        <w:tab/>
        <w:t>2019-2022,</w:t>
        <w:tab/>
        <w:t>2022</w:t>
      </w:r>
    </w:p>
    <w:p>
      <w:pPr>
        <w:pStyle w:val="ListParagraph"/>
        <w:numPr>
          <w:ilvl w:val="0"/>
          <w:numId w:val="2"/>
        </w:numPr>
        <w:tabs>
          <w:tab w:pos="822" w:val="left" w:leader="none"/>
        </w:tabs>
        <w:spacing w:line="244" w:lineRule="auto" w:before="311" w:after="0"/>
        <w:ind w:left="821" w:right="116" w:hanging="360"/>
        <w:jc w:val="both"/>
        <w:rPr>
          <w:sz w:val="22"/>
        </w:rPr>
      </w:pPr>
      <w:r>
        <w:rPr>
          <w:sz w:val="22"/>
        </w:rPr>
        <w:t>Diario Oficial de la Federación, (2023). ACUERDO número 09/08/23 por el que se establece y regula el Marco Curricular Común de la Educación Media    Superior.    25    de    agosto    de    2023,     México.     Disponible en</w:t>
      </w:r>
      <w:r>
        <w:rPr>
          <w:color w:val="1154CC"/>
          <w:sz w:val="22"/>
        </w:rPr>
        <w:t>:</w:t>
      </w:r>
      <w:r>
        <w:rPr>
          <w:color w:val="1154CC"/>
          <w:spacing w:val="14"/>
          <w:sz w:val="22"/>
        </w:rPr>
        <w:t> </w:t>
      </w:r>
      <w:r>
        <w:rPr>
          <w:color w:val="1154CC"/>
          <w:sz w:val="22"/>
          <w:u w:val="single" w:color="1154CC"/>
        </w:rPr>
        <w:t>https://</w:t>
      </w:r>
      <w:hyperlink r:id="rId25">
        <w:r>
          <w:rPr>
            <w:color w:val="1154CC"/>
            <w:sz w:val="22"/>
            <w:u w:val="single" w:color="1154CC"/>
          </w:rPr>
          <w:t>www.dof.gob.mx/nota_detalle.php?codigo=5699835&amp;fecha=25</w:t>
        </w:r>
      </w:hyperlink>
    </w:p>
    <w:p>
      <w:pPr>
        <w:pStyle w:val="BodyText"/>
        <w:spacing w:line="299" w:lineRule="exact"/>
        <w:ind w:left="821"/>
      </w:pPr>
      <w:r>
        <w:rPr>
          <w:color w:val="1154CC"/>
          <w:u w:val="single" w:color="1154CC"/>
        </w:rPr>
        <w:t>/08/2023#gsc.tab=0</w:t>
      </w:r>
    </w:p>
    <w:p>
      <w:pPr>
        <w:pStyle w:val="ListParagraph"/>
        <w:numPr>
          <w:ilvl w:val="0"/>
          <w:numId w:val="2"/>
        </w:numPr>
        <w:tabs>
          <w:tab w:pos="821" w:val="left" w:leader="none"/>
          <w:tab w:pos="822" w:val="left" w:leader="none"/>
        </w:tabs>
        <w:spacing w:line="242" w:lineRule="auto" w:before="328" w:after="0"/>
        <w:ind w:left="821" w:right="120" w:hanging="360"/>
        <w:jc w:val="left"/>
        <w:rPr>
          <w:sz w:val="22"/>
        </w:rPr>
      </w:pPr>
      <w:r>
        <w:rPr>
          <w:sz w:val="22"/>
        </w:rPr>
        <w:t>SEP, La Nueva Escuela Mexicana: principios y orientaciones pedagógicas. 2019</w:t>
      </w:r>
    </w:p>
    <w:p>
      <w:pPr>
        <w:spacing w:after="0" w:line="242" w:lineRule="auto"/>
        <w:jc w:val="left"/>
        <w:rPr>
          <w:sz w:val="22"/>
        </w:rPr>
        <w:sectPr>
          <w:pgSz w:w="12240" w:h="15840"/>
          <w:pgMar w:header="0" w:footer="1302" w:top="1340" w:bottom="1500" w:left="1600" w:right="1580"/>
        </w:sectPr>
      </w:pPr>
    </w:p>
    <w:p>
      <w:pPr>
        <w:pStyle w:val="BodyText"/>
        <w:spacing w:before="4"/>
        <w:rPr>
          <w:sz w:val="48"/>
        </w:rPr>
      </w:pPr>
    </w:p>
    <w:p>
      <w:pPr>
        <w:spacing w:before="0"/>
        <w:ind w:left="262" w:right="818" w:firstLine="0"/>
        <w:jc w:val="center"/>
        <w:rPr>
          <w:b/>
          <w:sz w:val="28"/>
        </w:rPr>
      </w:pPr>
      <w:r>
        <w:rPr>
          <w:b/>
          <w:sz w:val="28"/>
        </w:rPr>
        <w:t>Dirección General de Bachillerato</w:t>
      </w:r>
    </w:p>
    <w:p>
      <w:pPr>
        <w:pStyle w:val="BodyText"/>
        <w:rPr>
          <w:b/>
          <w:sz w:val="20"/>
        </w:rPr>
      </w:pPr>
    </w:p>
    <w:p>
      <w:pPr>
        <w:pStyle w:val="BodyText"/>
        <w:rPr>
          <w:b/>
          <w:sz w:val="20"/>
        </w:rPr>
      </w:pPr>
    </w:p>
    <w:p>
      <w:pPr>
        <w:pStyle w:val="BodyText"/>
        <w:rPr>
          <w:b/>
          <w:sz w:val="20"/>
        </w:rPr>
      </w:pPr>
    </w:p>
    <w:p>
      <w:pPr>
        <w:pStyle w:val="BodyText"/>
        <w:spacing w:before="8"/>
        <w:rPr>
          <w:b/>
          <w:sz w:val="25"/>
        </w:rPr>
      </w:pPr>
      <w:r>
        <w:rPr/>
        <w:drawing>
          <wp:anchor distT="0" distB="0" distL="0" distR="0" allowOverlap="1" layoutInCell="1" locked="0" behindDoc="0" simplePos="0" relativeHeight="10">
            <wp:simplePos x="0" y="0"/>
            <wp:positionH relativeFrom="page">
              <wp:posOffset>2960715</wp:posOffset>
            </wp:positionH>
            <wp:positionV relativeFrom="paragraph">
              <wp:posOffset>248950</wp:posOffset>
            </wp:positionV>
            <wp:extent cx="1509060" cy="1659636"/>
            <wp:effectExtent l="0" t="0" r="0" b="0"/>
            <wp:wrapTopAndBottom/>
            <wp:docPr id="25" name="image13.jpeg" descr="Logotipo, nombre de la empresa  Descripción generada automáticamente"/>
            <wp:cNvGraphicFramePr>
              <a:graphicFrameLocks noChangeAspect="1"/>
            </wp:cNvGraphicFramePr>
            <a:graphic>
              <a:graphicData uri="http://schemas.openxmlformats.org/drawingml/2006/picture">
                <pic:pic>
                  <pic:nvPicPr>
                    <pic:cNvPr id="26" name="image13.jpeg"/>
                    <pic:cNvPicPr/>
                  </pic:nvPicPr>
                  <pic:blipFill>
                    <a:blip r:embed="rId26" cstate="print"/>
                    <a:stretch>
                      <a:fillRect/>
                    </a:stretch>
                  </pic:blipFill>
                  <pic:spPr>
                    <a:xfrm>
                      <a:off x="0" y="0"/>
                      <a:ext cx="1509060" cy="1659636"/>
                    </a:xfrm>
                    <a:prstGeom prst="rect">
                      <a:avLst/>
                    </a:prstGeom>
                  </pic:spPr>
                </pic:pic>
              </a:graphicData>
            </a:graphic>
          </wp:anchor>
        </w:drawing>
      </w:r>
    </w:p>
    <w:p>
      <w:pPr>
        <w:pStyle w:val="BodyText"/>
        <w:rPr>
          <w:b/>
          <w:sz w:val="34"/>
        </w:rPr>
      </w:pPr>
    </w:p>
    <w:p>
      <w:pPr>
        <w:pStyle w:val="BodyText"/>
        <w:rPr>
          <w:b/>
          <w:sz w:val="34"/>
        </w:rPr>
      </w:pPr>
    </w:p>
    <w:p>
      <w:pPr>
        <w:pStyle w:val="BodyText"/>
        <w:spacing w:line="244" w:lineRule="auto" w:before="236"/>
        <w:ind w:left="262" w:right="824"/>
        <w:jc w:val="center"/>
      </w:pPr>
      <w:r>
        <w:rPr/>
        <w:t>Se autoriza la reproducción total o parcial de este documento, siempre y cuando se cite la fuente y no se haga con fines de lucro.</w:t>
      </w:r>
    </w:p>
    <w:p>
      <w:pPr>
        <w:pStyle w:val="BodyText"/>
        <w:spacing w:line="244" w:lineRule="auto"/>
        <w:ind w:left="1813" w:right="2429" w:firstLine="4"/>
        <w:jc w:val="center"/>
      </w:pPr>
      <w:r>
        <w:rPr/>
        <w:t>Secretaría de Educación Pública Subsecretaría de Educación Media Superior 2023</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1"/>
        </w:rPr>
      </w:pPr>
      <w:r>
        <w:rPr/>
        <w:drawing>
          <wp:anchor distT="0" distB="0" distL="0" distR="0" allowOverlap="1" layoutInCell="1" locked="0" behindDoc="0" simplePos="0" relativeHeight="11">
            <wp:simplePos x="0" y="0"/>
            <wp:positionH relativeFrom="page">
              <wp:posOffset>3141132</wp:posOffset>
            </wp:positionH>
            <wp:positionV relativeFrom="paragraph">
              <wp:posOffset>126222</wp:posOffset>
            </wp:positionV>
            <wp:extent cx="1458704" cy="611219"/>
            <wp:effectExtent l="0" t="0" r="0" b="0"/>
            <wp:wrapTopAndBottom/>
            <wp:docPr id="27" name="image14.png" descr="Imagen que contiene firmar, viendo, frente, oscuro  Descripción generada automáticamente"/>
            <wp:cNvGraphicFramePr>
              <a:graphicFrameLocks noChangeAspect="1"/>
            </wp:cNvGraphicFramePr>
            <a:graphic>
              <a:graphicData uri="http://schemas.openxmlformats.org/drawingml/2006/picture">
                <pic:pic>
                  <pic:nvPicPr>
                    <pic:cNvPr id="28" name="image14.png"/>
                    <pic:cNvPicPr/>
                  </pic:nvPicPr>
                  <pic:blipFill>
                    <a:blip r:embed="rId27" cstate="print"/>
                    <a:stretch>
                      <a:fillRect/>
                    </a:stretch>
                  </pic:blipFill>
                  <pic:spPr>
                    <a:xfrm>
                      <a:off x="0" y="0"/>
                      <a:ext cx="1458704" cy="611219"/>
                    </a:xfrm>
                    <a:prstGeom prst="rect">
                      <a:avLst/>
                    </a:prstGeom>
                  </pic:spPr>
                </pic:pic>
              </a:graphicData>
            </a:graphic>
          </wp:anchor>
        </w:drawing>
      </w:r>
    </w:p>
    <w:sectPr>
      <w:pgSz w:w="12240" w:h="15840"/>
      <w:pgMar w:header="0" w:footer="1302" w:top="1500" w:bottom="1500" w:left="160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ontserrat">
    <w:altName w:val="Montserrat"/>
    <w:charset w:val="0"/>
    <w:family w:val="auto"/>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55072">
          <wp:simplePos x="0" y="0"/>
          <wp:positionH relativeFrom="page">
            <wp:posOffset>18092</wp:posOffset>
          </wp:positionH>
          <wp:positionV relativeFrom="page">
            <wp:posOffset>9054007</wp:posOffset>
          </wp:positionV>
          <wp:extent cx="7754307" cy="997465"/>
          <wp:effectExtent l="0" t="0" r="0" b="0"/>
          <wp:wrapNone/>
          <wp:docPr id="9" name="image6.png"/>
          <wp:cNvGraphicFramePr>
            <a:graphicFrameLocks noChangeAspect="1"/>
          </wp:cNvGraphicFramePr>
          <a:graphic>
            <a:graphicData uri="http://schemas.openxmlformats.org/drawingml/2006/picture">
              <pic:pic>
                <pic:nvPicPr>
                  <pic:cNvPr id="10" name="image6.png"/>
                  <pic:cNvPicPr/>
                </pic:nvPicPr>
                <pic:blipFill>
                  <a:blip r:embed="rId1" cstate="print"/>
                  <a:stretch>
                    <a:fillRect/>
                  </a:stretch>
                </pic:blipFill>
                <pic:spPr>
                  <a:xfrm>
                    <a:off x="0" y="0"/>
                    <a:ext cx="7754307" cy="99746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97.410004pt;margin-top:728.809265pt;width:17.25pt;height:15.5pt;mso-position-horizontal-relative:page;mso-position-vertical-relative:page;z-index:-252560384"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57120">
          <wp:simplePos x="0" y="0"/>
          <wp:positionH relativeFrom="page">
            <wp:posOffset>18092</wp:posOffset>
          </wp:positionH>
          <wp:positionV relativeFrom="page">
            <wp:posOffset>9054007</wp:posOffset>
          </wp:positionV>
          <wp:extent cx="7754307" cy="997465"/>
          <wp:effectExtent l="0" t="0" r="0" b="0"/>
          <wp:wrapNone/>
          <wp:docPr id="23" name="image6.png"/>
          <wp:cNvGraphicFramePr>
            <a:graphicFrameLocks noChangeAspect="1"/>
          </wp:cNvGraphicFramePr>
          <a:graphic>
            <a:graphicData uri="http://schemas.openxmlformats.org/drawingml/2006/picture">
              <pic:pic>
                <pic:nvPicPr>
                  <pic:cNvPr id="24" name="image6.png"/>
                  <pic:cNvPicPr/>
                </pic:nvPicPr>
                <pic:blipFill>
                  <a:blip r:embed="rId1" cstate="print"/>
                  <a:stretch>
                    <a:fillRect/>
                  </a:stretch>
                </pic:blipFill>
                <pic:spPr>
                  <a:xfrm>
                    <a:off x="0" y="0"/>
                    <a:ext cx="7754307" cy="997465"/>
                  </a:xfrm>
                  <a:prstGeom prst="rect">
                    <a:avLst/>
                  </a:prstGeom>
                </pic:spPr>
              </pic:pic>
            </a:graphicData>
          </a:graphic>
        </wp:anchor>
      </w:drawing>
    </w:r>
    <w:r>
      <w:rPr/>
      <w:pict>
        <v:shape style="position:absolute;margin-left:296.209991pt;margin-top:728.809265pt;width:19.55pt;height:15.5pt;mso-position-horizontal-relative:page;mso-position-vertical-relative:page;z-index:-252558336"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20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2" w:hanging="360"/>
      </w:pPr>
      <w:rPr>
        <w:rFonts w:hint="default" w:ascii="Calibri" w:hAnsi="Calibri" w:eastAsia="Calibri" w:cs="Calibri"/>
        <w:w w:val="99"/>
        <w:sz w:val="20"/>
        <w:szCs w:val="20"/>
        <w:lang w:val="es-ES" w:eastAsia="es-ES" w:bidi="es-ES"/>
      </w:rPr>
    </w:lvl>
    <w:lvl w:ilvl="1">
      <w:start w:val="0"/>
      <w:numFmt w:val="bullet"/>
      <w:lvlText w:val="•"/>
      <w:lvlJc w:val="left"/>
      <w:pPr>
        <w:ind w:left="1644" w:hanging="360"/>
      </w:pPr>
      <w:rPr>
        <w:rFonts w:hint="default"/>
        <w:lang w:val="es-ES" w:eastAsia="es-ES" w:bidi="es-ES"/>
      </w:rPr>
    </w:lvl>
    <w:lvl w:ilvl="2">
      <w:start w:val="0"/>
      <w:numFmt w:val="bullet"/>
      <w:lvlText w:val="•"/>
      <w:lvlJc w:val="left"/>
      <w:pPr>
        <w:ind w:left="2468" w:hanging="360"/>
      </w:pPr>
      <w:rPr>
        <w:rFonts w:hint="default"/>
        <w:lang w:val="es-ES" w:eastAsia="es-ES" w:bidi="es-ES"/>
      </w:rPr>
    </w:lvl>
    <w:lvl w:ilvl="3">
      <w:start w:val="0"/>
      <w:numFmt w:val="bullet"/>
      <w:lvlText w:val="•"/>
      <w:lvlJc w:val="left"/>
      <w:pPr>
        <w:ind w:left="3292" w:hanging="360"/>
      </w:pPr>
      <w:rPr>
        <w:rFonts w:hint="default"/>
        <w:lang w:val="es-ES" w:eastAsia="es-ES" w:bidi="es-ES"/>
      </w:rPr>
    </w:lvl>
    <w:lvl w:ilvl="4">
      <w:start w:val="0"/>
      <w:numFmt w:val="bullet"/>
      <w:lvlText w:val="•"/>
      <w:lvlJc w:val="left"/>
      <w:pPr>
        <w:ind w:left="4116" w:hanging="360"/>
      </w:pPr>
      <w:rPr>
        <w:rFonts w:hint="default"/>
        <w:lang w:val="es-ES" w:eastAsia="es-ES" w:bidi="es-ES"/>
      </w:rPr>
    </w:lvl>
    <w:lvl w:ilvl="5">
      <w:start w:val="0"/>
      <w:numFmt w:val="bullet"/>
      <w:lvlText w:val="•"/>
      <w:lvlJc w:val="left"/>
      <w:pPr>
        <w:ind w:left="4940" w:hanging="360"/>
      </w:pPr>
      <w:rPr>
        <w:rFonts w:hint="default"/>
        <w:lang w:val="es-ES" w:eastAsia="es-ES" w:bidi="es-ES"/>
      </w:rPr>
    </w:lvl>
    <w:lvl w:ilvl="6">
      <w:start w:val="0"/>
      <w:numFmt w:val="bullet"/>
      <w:lvlText w:val="•"/>
      <w:lvlJc w:val="left"/>
      <w:pPr>
        <w:ind w:left="5764" w:hanging="360"/>
      </w:pPr>
      <w:rPr>
        <w:rFonts w:hint="default"/>
        <w:lang w:val="es-ES" w:eastAsia="es-ES" w:bidi="es-ES"/>
      </w:rPr>
    </w:lvl>
    <w:lvl w:ilvl="7">
      <w:start w:val="0"/>
      <w:numFmt w:val="bullet"/>
      <w:lvlText w:val="•"/>
      <w:lvlJc w:val="left"/>
      <w:pPr>
        <w:ind w:left="6588" w:hanging="360"/>
      </w:pPr>
      <w:rPr>
        <w:rFonts w:hint="default"/>
        <w:lang w:val="es-ES" w:eastAsia="es-ES" w:bidi="es-ES"/>
      </w:rPr>
    </w:lvl>
    <w:lvl w:ilvl="8">
      <w:start w:val="0"/>
      <w:numFmt w:val="bullet"/>
      <w:lvlText w:val="•"/>
      <w:lvlJc w:val="left"/>
      <w:pPr>
        <w:ind w:left="7412" w:hanging="360"/>
      </w:pPr>
      <w:rPr>
        <w:rFonts w:hint="default"/>
        <w:lang w:val="es-ES" w:eastAsia="es-ES" w:bidi="es-ES"/>
      </w:rPr>
    </w:lvl>
  </w:abstractNum>
  <w:abstractNum w:abstractNumId="0">
    <w:multiLevelType w:val="hybridMultilevel"/>
    <w:lvl w:ilvl="0">
      <w:start w:val="0"/>
      <w:numFmt w:val="bullet"/>
      <w:lvlText w:val="●"/>
      <w:lvlJc w:val="left"/>
      <w:pPr>
        <w:ind w:left="2422" w:hanging="360"/>
      </w:pPr>
      <w:rPr>
        <w:rFonts w:hint="default" w:ascii="Calibri" w:hAnsi="Calibri" w:eastAsia="Calibri" w:cs="Calibri"/>
        <w:w w:val="99"/>
        <w:sz w:val="20"/>
        <w:szCs w:val="20"/>
        <w:lang w:val="es-ES" w:eastAsia="es-ES" w:bidi="es-ES"/>
      </w:rPr>
    </w:lvl>
    <w:lvl w:ilvl="1">
      <w:start w:val="0"/>
      <w:numFmt w:val="bullet"/>
      <w:lvlText w:val="●"/>
      <w:lvlJc w:val="left"/>
      <w:pPr>
        <w:ind w:left="3142" w:hanging="360"/>
      </w:pPr>
      <w:rPr>
        <w:rFonts w:hint="default" w:ascii="Calibri" w:hAnsi="Calibri" w:eastAsia="Calibri" w:cs="Calibri"/>
        <w:w w:val="99"/>
        <w:sz w:val="20"/>
        <w:szCs w:val="20"/>
        <w:lang w:val="es-ES" w:eastAsia="es-ES" w:bidi="es-ES"/>
      </w:rPr>
    </w:lvl>
    <w:lvl w:ilvl="2">
      <w:start w:val="0"/>
      <w:numFmt w:val="bullet"/>
      <w:lvlText w:val="•"/>
      <w:lvlJc w:val="left"/>
      <w:pPr>
        <w:ind w:left="3140" w:hanging="360"/>
      </w:pPr>
      <w:rPr>
        <w:rFonts w:hint="default"/>
        <w:lang w:val="es-ES" w:eastAsia="es-ES" w:bidi="es-ES"/>
      </w:rPr>
    </w:lvl>
    <w:lvl w:ilvl="3">
      <w:start w:val="0"/>
      <w:numFmt w:val="bullet"/>
      <w:lvlText w:val="•"/>
      <w:lvlJc w:val="left"/>
      <w:pPr>
        <w:ind w:left="4250" w:hanging="360"/>
      </w:pPr>
      <w:rPr>
        <w:rFonts w:hint="default"/>
        <w:lang w:val="es-ES" w:eastAsia="es-ES" w:bidi="es-ES"/>
      </w:rPr>
    </w:lvl>
    <w:lvl w:ilvl="4">
      <w:start w:val="0"/>
      <w:numFmt w:val="bullet"/>
      <w:lvlText w:val="•"/>
      <w:lvlJc w:val="left"/>
      <w:pPr>
        <w:ind w:left="5360" w:hanging="360"/>
      </w:pPr>
      <w:rPr>
        <w:rFonts w:hint="default"/>
        <w:lang w:val="es-ES" w:eastAsia="es-ES" w:bidi="es-ES"/>
      </w:rPr>
    </w:lvl>
    <w:lvl w:ilvl="5">
      <w:start w:val="0"/>
      <w:numFmt w:val="bullet"/>
      <w:lvlText w:val="•"/>
      <w:lvlJc w:val="left"/>
      <w:pPr>
        <w:ind w:left="6470" w:hanging="360"/>
      </w:pPr>
      <w:rPr>
        <w:rFonts w:hint="default"/>
        <w:lang w:val="es-ES" w:eastAsia="es-ES" w:bidi="es-ES"/>
      </w:rPr>
    </w:lvl>
    <w:lvl w:ilvl="6">
      <w:start w:val="0"/>
      <w:numFmt w:val="bullet"/>
      <w:lvlText w:val="•"/>
      <w:lvlJc w:val="left"/>
      <w:pPr>
        <w:ind w:left="7580" w:hanging="360"/>
      </w:pPr>
      <w:rPr>
        <w:rFonts w:hint="default"/>
        <w:lang w:val="es-ES" w:eastAsia="es-ES" w:bidi="es-ES"/>
      </w:rPr>
    </w:lvl>
    <w:lvl w:ilvl="7">
      <w:start w:val="0"/>
      <w:numFmt w:val="bullet"/>
      <w:lvlText w:val="•"/>
      <w:lvlJc w:val="left"/>
      <w:pPr>
        <w:ind w:left="8690" w:hanging="360"/>
      </w:pPr>
      <w:rPr>
        <w:rFonts w:hint="default"/>
        <w:lang w:val="es-ES" w:eastAsia="es-ES" w:bidi="es-ES"/>
      </w:rPr>
    </w:lvl>
    <w:lvl w:ilvl="8">
      <w:start w:val="0"/>
      <w:numFmt w:val="bullet"/>
      <w:lvlText w:val="•"/>
      <w:lvlJc w:val="left"/>
      <w:pPr>
        <w:ind w:left="9800" w:hanging="360"/>
      </w:pPr>
      <w:rPr>
        <w:rFonts w:hint="default"/>
        <w:lang w:val="es-ES" w:eastAsia="es-ES" w:bidi="es-E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s-ES" w:eastAsia="es-ES" w:bidi="es-ES"/>
    </w:rPr>
  </w:style>
  <w:style w:styleId="TOC1" w:type="paragraph">
    <w:name w:val="TOC 1"/>
    <w:basedOn w:val="Normal"/>
    <w:uiPriority w:val="1"/>
    <w:qFormat/>
    <w:pPr>
      <w:spacing w:before="118"/>
      <w:ind w:left="1702"/>
    </w:pPr>
    <w:rPr>
      <w:rFonts w:ascii="Calibri" w:hAnsi="Calibri" w:eastAsia="Calibri" w:cs="Calibri"/>
      <w:sz w:val="22"/>
      <w:szCs w:val="22"/>
      <w:lang w:val="es-ES" w:eastAsia="es-ES" w:bidi="es-ES"/>
    </w:rPr>
  </w:style>
  <w:style w:styleId="BodyText" w:type="paragraph">
    <w:name w:val="Body Text"/>
    <w:basedOn w:val="Normal"/>
    <w:uiPriority w:val="1"/>
    <w:qFormat/>
    <w:pPr/>
    <w:rPr>
      <w:rFonts w:ascii="Montserrat" w:hAnsi="Montserrat" w:eastAsia="Montserrat" w:cs="Montserrat"/>
      <w:sz w:val="22"/>
      <w:szCs w:val="22"/>
      <w:lang w:val="es-ES" w:eastAsia="es-ES" w:bidi="es-ES"/>
    </w:rPr>
  </w:style>
  <w:style w:styleId="Heading1" w:type="paragraph">
    <w:name w:val="Heading 1"/>
    <w:basedOn w:val="Normal"/>
    <w:uiPriority w:val="1"/>
    <w:qFormat/>
    <w:pPr>
      <w:spacing w:before="83"/>
      <w:ind w:left="1702"/>
      <w:outlineLvl w:val="1"/>
    </w:pPr>
    <w:rPr>
      <w:rFonts w:ascii="Calibri" w:hAnsi="Calibri" w:eastAsia="Calibri" w:cs="Calibri"/>
      <w:sz w:val="26"/>
      <w:szCs w:val="26"/>
      <w:lang w:val="es-ES" w:eastAsia="es-ES" w:bidi="es-ES"/>
    </w:rPr>
  </w:style>
  <w:style w:styleId="Heading2" w:type="paragraph">
    <w:name w:val="Heading 2"/>
    <w:basedOn w:val="Normal"/>
    <w:uiPriority w:val="1"/>
    <w:qFormat/>
    <w:pPr>
      <w:ind w:left="1702"/>
      <w:outlineLvl w:val="2"/>
    </w:pPr>
    <w:rPr>
      <w:rFonts w:ascii="Montserrat" w:hAnsi="Montserrat" w:eastAsia="Montserrat" w:cs="Montserrat"/>
      <w:b/>
      <w:bCs/>
      <w:sz w:val="22"/>
      <w:szCs w:val="22"/>
      <w:lang w:val="es-ES" w:eastAsia="es-ES" w:bidi="es-ES"/>
    </w:rPr>
  </w:style>
  <w:style w:styleId="ListParagraph" w:type="paragraph">
    <w:name w:val="List Paragraph"/>
    <w:basedOn w:val="Normal"/>
    <w:uiPriority w:val="1"/>
    <w:qFormat/>
    <w:pPr>
      <w:ind w:left="2422" w:hanging="360"/>
      <w:jc w:val="both"/>
    </w:pPr>
    <w:rPr>
      <w:rFonts w:ascii="Montserrat" w:hAnsi="Montserrat" w:eastAsia="Montserrat" w:cs="Montserrat"/>
      <w:lang w:val="es-ES" w:eastAsia="es-ES" w:bidi="es-ES"/>
    </w:rPr>
  </w:style>
  <w:style w:styleId="TableParagraph" w:type="paragraph">
    <w:name w:val="Table Paragraph"/>
    <w:basedOn w:val="Normal"/>
    <w:uiPriority w:val="1"/>
    <w:qFormat/>
    <w:pPr/>
    <w:rPr>
      <w:rFonts w:ascii="Montserrat" w:hAnsi="Montserrat" w:eastAsia="Montserrat" w:cs="Montserrat"/>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footer" Target="footer1.xml"/><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hyperlink" Target="https://sites.google.com/dgb.edu.mx/orientacion/inicio" TargetMode="External"/><Relationship Id="rId17" Type="http://schemas.openxmlformats.org/officeDocument/2006/relationships/hyperlink" Target="mailto:orientacion.e@dgb.edu.mx" TargetMode="External"/><Relationship Id="rId18" Type="http://schemas.openxmlformats.org/officeDocument/2006/relationships/hyperlink" Target="https://forms.gle/CEG2ufhsVJuF1jXP8" TargetMode="External"/><Relationship Id="rId19" Type="http://schemas.openxmlformats.org/officeDocument/2006/relationships/image" Target="media/image12.png"/><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footer" Target="footer4.xml"/><Relationship Id="rId23" Type="http://schemas.openxmlformats.org/officeDocument/2006/relationships/hyperlink" Target="https://www.diputados.gob.mx/LeyesBiblio/pdf/CPEUM.pdf" TargetMode="External"/><Relationship Id="rId24" Type="http://schemas.openxmlformats.org/officeDocument/2006/relationships/hyperlink" Target="https://www.diputados.gob.mx/LeyesBiblio/pdf/LGE.pdf" TargetMode="External"/><Relationship Id="rId25" Type="http://schemas.openxmlformats.org/officeDocument/2006/relationships/hyperlink" Target="http://www.dof.gob.mx/nota_detalle.php?codigo=5699835&amp;fecha=25" TargetMode="External"/><Relationship Id="rId26" Type="http://schemas.openxmlformats.org/officeDocument/2006/relationships/image" Target="media/image13.jpeg"/><Relationship Id="rId27" Type="http://schemas.openxmlformats.org/officeDocument/2006/relationships/image" Target="media/image14.png"/><Relationship Id="rId2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 Casas cortes</dc:creator>
  <dcterms:created xsi:type="dcterms:W3CDTF">2024-10-07T20:21:42Z</dcterms:created>
  <dcterms:modified xsi:type="dcterms:W3CDTF">2024-10-07T20:21:42Z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para Microsoft 365</vt:lpwstr>
  </property>
  <property fmtid="{D5CDD505-2E9C-101B-9397-08002B2CF9AE}" pid="4" name="LastSaved">
    <vt:filetime>2024-10-07T00:00:00Z</vt:filetime>
  </property>
</Properties>
</file>