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0E5E" w14:textId="67E55F3C" w:rsidR="00AD6BD7" w:rsidRDefault="00C97720">
      <w:r w:rsidRPr="00C97720">
        <w:t>https://www.congresooaxaca.gob.mx/docs66.congresooaxaca.gob.mx/legislacion_estatal/Ley_de_Coordinacion_Fiscal_Para_el_Estado_de_Oaxaca_(Ref_Dto_20_aprob_LXVI_Legis_10_dic_2024_PO_51_7a_seccion_21_dic_2024).pdf</w:t>
      </w:r>
    </w:p>
    <w:sectPr w:rsidR="00AD6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07"/>
    <w:rsid w:val="00206807"/>
    <w:rsid w:val="008716DD"/>
    <w:rsid w:val="008A374E"/>
    <w:rsid w:val="00AD6BD7"/>
    <w:rsid w:val="00C97720"/>
    <w:rsid w:val="00E0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0808"/>
  <w15:chartTrackingRefBased/>
  <w15:docId w15:val="{3417DAFE-7D09-4423-A0C6-1970DA7A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6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6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6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6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68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68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68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68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68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68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68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68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68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6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68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6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2025-10-15T19:50:00Z</dcterms:created>
  <dcterms:modified xsi:type="dcterms:W3CDTF">2025-10-15T19:52:00Z</dcterms:modified>
</cp:coreProperties>
</file>